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396B9A9">
      <w:pPr>
        <w:pStyle w:val="21"/>
        <w:rPr>
          <w:rFonts w:hint="eastAsia" w:asciiTheme="minorEastAsia" w:hAnsiTheme="minorEastAsia" w:eastAsiaTheme="minorEastAsia" w:cstheme="minorEastAsia"/>
        </w:rPr>
      </w:pPr>
    </w:p>
    <w:p w14:paraId="385D64EF">
      <w:pPr>
        <w:spacing w:line="500" w:lineRule="exact"/>
        <w:jc w:val="center"/>
        <w:rPr>
          <w:rFonts w:hint="eastAsia" w:asciiTheme="minorEastAsia" w:hAnsiTheme="minorEastAsia" w:eastAsiaTheme="minorEastAsia" w:cstheme="minorEastAsia"/>
          <w:sz w:val="32"/>
        </w:rPr>
      </w:pPr>
    </w:p>
    <w:p w14:paraId="71F5E4CF">
      <w:pPr>
        <w:spacing w:line="500" w:lineRule="exact"/>
        <w:jc w:val="center"/>
        <w:rPr>
          <w:rFonts w:hint="eastAsia" w:asciiTheme="minorEastAsia" w:hAnsiTheme="minorEastAsia" w:eastAsiaTheme="minorEastAsia" w:cstheme="minorEastAsia"/>
          <w:sz w:val="32"/>
        </w:rPr>
      </w:pPr>
    </w:p>
    <w:p w14:paraId="0157DE0D">
      <w:pPr>
        <w:spacing w:line="500" w:lineRule="exact"/>
        <w:jc w:val="center"/>
        <w:rPr>
          <w:rFonts w:hint="eastAsia" w:asciiTheme="minorEastAsia" w:hAnsiTheme="minorEastAsia" w:eastAsiaTheme="minorEastAsia" w:cstheme="minorEastAsia"/>
          <w:sz w:val="32"/>
        </w:rPr>
      </w:pPr>
    </w:p>
    <w:p w14:paraId="22EE4E26">
      <w:pPr>
        <w:spacing w:line="500" w:lineRule="exact"/>
        <w:jc w:val="center"/>
        <w:rPr>
          <w:rFonts w:hint="eastAsia" w:asciiTheme="minorEastAsia" w:hAnsiTheme="minorEastAsia" w:eastAsiaTheme="minorEastAsia" w:cstheme="minorEastAsia"/>
          <w:sz w:val="52"/>
        </w:rPr>
      </w:pPr>
    </w:p>
    <w:p w14:paraId="2B38CED7">
      <w:pPr>
        <w:jc w:val="center"/>
        <w:rPr>
          <w:rFonts w:hint="eastAsia" w:asciiTheme="minorEastAsia" w:hAnsiTheme="minorEastAsia" w:eastAsiaTheme="minorEastAsia" w:cstheme="minorEastAsia"/>
          <w:sz w:val="52"/>
        </w:rPr>
      </w:pPr>
      <w:r>
        <w:rPr>
          <w:rFonts w:hint="eastAsia" w:asciiTheme="minorEastAsia" w:hAnsiTheme="minorEastAsia" w:eastAsiaTheme="minorEastAsia" w:cstheme="minorEastAsia"/>
          <w:sz w:val="52"/>
        </w:rPr>
        <w:t>广东天亿马信息产业股份有限公司</w:t>
      </w:r>
    </w:p>
    <w:p w14:paraId="3D63D493">
      <w:pPr>
        <w:jc w:val="center"/>
        <w:rPr>
          <w:rFonts w:hint="eastAsia" w:asciiTheme="minorEastAsia" w:hAnsiTheme="minorEastAsia" w:eastAsiaTheme="minorEastAsia" w:cstheme="minorEastAsia"/>
          <w:sz w:val="52"/>
        </w:rPr>
      </w:pPr>
    </w:p>
    <w:p w14:paraId="39DEF204">
      <w:pPr>
        <w:jc w:val="center"/>
        <w:rPr>
          <w:rFonts w:hint="eastAsia" w:asciiTheme="minorEastAsia" w:hAnsiTheme="minorEastAsia" w:eastAsiaTheme="minorEastAsia" w:cstheme="minorEastAsia"/>
          <w:sz w:val="52"/>
        </w:rPr>
      </w:pPr>
    </w:p>
    <w:p w14:paraId="38F7671C">
      <w:pPr>
        <w:jc w:val="center"/>
        <w:rPr>
          <w:rFonts w:hint="eastAsia" w:asciiTheme="minorEastAsia" w:hAnsiTheme="minorEastAsia" w:eastAsiaTheme="minorEastAsia" w:cstheme="minorEastAsia"/>
          <w:sz w:val="52"/>
        </w:rPr>
      </w:pPr>
      <w:r>
        <w:rPr>
          <w:rFonts w:hint="eastAsia" w:asciiTheme="minorEastAsia" w:hAnsiTheme="minorEastAsia" w:eastAsiaTheme="minorEastAsia" w:cstheme="minorEastAsia"/>
          <w:sz w:val="52"/>
        </w:rPr>
        <w:t>章程</w:t>
      </w:r>
    </w:p>
    <w:p w14:paraId="082E4F1D">
      <w:pPr>
        <w:jc w:val="center"/>
        <w:rPr>
          <w:rFonts w:hint="eastAsia" w:asciiTheme="minorEastAsia" w:hAnsiTheme="minorEastAsia" w:eastAsiaTheme="minorEastAsia" w:cstheme="minorEastAsia"/>
          <w:sz w:val="52"/>
        </w:rPr>
      </w:pPr>
    </w:p>
    <w:p w14:paraId="2FEA5B70">
      <w:pPr>
        <w:jc w:val="center"/>
        <w:rPr>
          <w:rFonts w:hint="eastAsia" w:asciiTheme="minorEastAsia" w:hAnsiTheme="minorEastAsia" w:eastAsiaTheme="minorEastAsia" w:cstheme="minorEastAsia"/>
          <w:sz w:val="84"/>
        </w:rPr>
      </w:pPr>
    </w:p>
    <w:p w14:paraId="4CC2B0A0">
      <w:pPr>
        <w:jc w:val="center"/>
        <w:rPr>
          <w:rFonts w:hint="eastAsia" w:asciiTheme="minorEastAsia" w:hAnsiTheme="minorEastAsia" w:eastAsiaTheme="minorEastAsia" w:cstheme="minorEastAsia"/>
          <w:sz w:val="84"/>
        </w:rPr>
      </w:pPr>
    </w:p>
    <w:p w14:paraId="63FEDB44">
      <w:pPr>
        <w:jc w:val="center"/>
        <w:rPr>
          <w:rFonts w:hint="eastAsia" w:asciiTheme="minorEastAsia" w:hAnsiTheme="minorEastAsia" w:eastAsiaTheme="minorEastAsia" w:cstheme="minorEastAsia"/>
          <w:sz w:val="84"/>
        </w:rPr>
      </w:pPr>
    </w:p>
    <w:p w14:paraId="432EA42F">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二〇二四年</w:t>
      </w:r>
      <w:r>
        <w:rPr>
          <w:rFonts w:hint="eastAsia" w:asciiTheme="minorEastAsia" w:hAnsiTheme="minorEastAsia" w:eastAsiaTheme="minorEastAsia" w:cstheme="minorEastAsia"/>
          <w:sz w:val="32"/>
          <w:szCs w:val="32"/>
          <w:lang w:val="en-US" w:eastAsia="zh-CN"/>
        </w:rPr>
        <w:t>九</w:t>
      </w:r>
      <w:r>
        <w:rPr>
          <w:rFonts w:hint="eastAsia" w:asciiTheme="minorEastAsia" w:hAnsiTheme="minorEastAsia" w:eastAsiaTheme="minorEastAsia" w:cstheme="minorEastAsia"/>
          <w:sz w:val="32"/>
          <w:szCs w:val="32"/>
        </w:rPr>
        <w:t>月</w:t>
      </w:r>
    </w:p>
    <w:p w14:paraId="6F5D68CD">
      <w:pPr>
        <w:spacing w:line="500" w:lineRule="exact"/>
        <w:rPr>
          <w:rFonts w:hint="eastAsia" w:asciiTheme="minorEastAsia" w:hAnsiTheme="minorEastAsia" w:eastAsiaTheme="minorEastAsia" w:cstheme="minorEastAsia"/>
          <w:sz w:val="84"/>
        </w:rPr>
      </w:pPr>
      <w:r>
        <w:rPr>
          <w:rFonts w:hint="eastAsia" w:asciiTheme="minorEastAsia" w:hAnsiTheme="minorEastAsia" w:eastAsiaTheme="minorEastAsia" w:cstheme="minorEastAsia"/>
          <w:sz w:val="84"/>
        </w:rPr>
        <w:br w:type="page"/>
      </w:r>
    </w:p>
    <w:p w14:paraId="6D8A767B">
      <w:pPr>
        <w:jc w:val="center"/>
        <w:rPr>
          <w:rFonts w:hint="eastAsia" w:asciiTheme="minorEastAsia" w:hAnsiTheme="minorEastAsia" w:eastAsiaTheme="minorEastAsia" w:cstheme="minorEastAsia"/>
          <w:b/>
          <w:sz w:val="32"/>
        </w:rPr>
      </w:pPr>
      <w:r>
        <w:rPr>
          <w:rFonts w:hint="eastAsia" w:asciiTheme="minorEastAsia" w:hAnsiTheme="minorEastAsia" w:eastAsiaTheme="minorEastAsia" w:cstheme="minorEastAsia"/>
          <w:b/>
          <w:sz w:val="32"/>
        </w:rPr>
        <w:t>目录</w:t>
      </w:r>
    </w:p>
    <w:p w14:paraId="73F0502E">
      <w:pPr>
        <w:spacing w:line="500" w:lineRule="exact"/>
        <w:rPr>
          <w:rFonts w:hint="eastAsia" w:asciiTheme="minorEastAsia" w:hAnsiTheme="minorEastAsia" w:eastAsiaTheme="minorEastAsia" w:cstheme="minorEastAsia"/>
          <w:sz w:val="24"/>
        </w:rPr>
      </w:pPr>
    </w:p>
    <w:p w14:paraId="211F102C">
      <w:pPr>
        <w:pStyle w:val="17"/>
        <w:tabs>
          <w:tab w:val="right" w:leader="dot" w:pos="9638"/>
        </w:tabs>
      </w:pP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TOC \o "1-5" \h \z \u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_Toc18227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第一章　总则</w:t>
      </w:r>
      <w:r>
        <w:tab/>
      </w:r>
      <w:r>
        <w:fldChar w:fldCharType="begin"/>
      </w:r>
      <w:r>
        <w:instrText xml:space="preserve"> PAGEREF _Toc18227 \h </w:instrText>
      </w:r>
      <w:r>
        <w:fldChar w:fldCharType="separate"/>
      </w:r>
      <w:r>
        <w:t>3</w:t>
      </w:r>
      <w:r>
        <w:fldChar w:fldCharType="end"/>
      </w:r>
      <w:r>
        <w:rPr>
          <w:rFonts w:hint="eastAsia" w:asciiTheme="minorEastAsia" w:hAnsiTheme="minorEastAsia" w:eastAsiaTheme="minorEastAsia" w:cstheme="minorEastAsia"/>
        </w:rPr>
        <w:fldChar w:fldCharType="end"/>
      </w:r>
    </w:p>
    <w:p w14:paraId="4FF41D53">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_Toc1749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第二章　经营宗旨和范围</w:t>
      </w:r>
      <w:r>
        <w:tab/>
      </w:r>
      <w:r>
        <w:fldChar w:fldCharType="begin"/>
      </w:r>
      <w:r>
        <w:instrText xml:space="preserve"> PAGEREF _Toc1749 \h </w:instrText>
      </w:r>
      <w:r>
        <w:fldChar w:fldCharType="separate"/>
      </w:r>
      <w:r>
        <w:t>4</w:t>
      </w:r>
      <w:r>
        <w:fldChar w:fldCharType="end"/>
      </w:r>
      <w:r>
        <w:rPr>
          <w:rFonts w:hint="eastAsia" w:asciiTheme="minorEastAsia" w:hAnsiTheme="minorEastAsia" w:eastAsiaTheme="minorEastAsia" w:cstheme="minorEastAsia"/>
        </w:rPr>
        <w:fldChar w:fldCharType="end"/>
      </w:r>
    </w:p>
    <w:p w14:paraId="2E1A6088">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_Toc24875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第三章　股份</w:t>
      </w:r>
      <w:r>
        <w:tab/>
      </w:r>
      <w:r>
        <w:fldChar w:fldCharType="begin"/>
      </w:r>
      <w:r>
        <w:instrText xml:space="preserve"> PAGEREF _Toc24875 \h </w:instrText>
      </w:r>
      <w:r>
        <w:fldChar w:fldCharType="separate"/>
      </w:r>
      <w:r>
        <w:t>4</w:t>
      </w:r>
      <w:r>
        <w:fldChar w:fldCharType="end"/>
      </w:r>
      <w:r>
        <w:rPr>
          <w:rFonts w:hint="eastAsia" w:asciiTheme="minorEastAsia" w:hAnsiTheme="minorEastAsia" w:eastAsiaTheme="minorEastAsia" w:cstheme="minorEastAsia"/>
        </w:rPr>
        <w:fldChar w:fldCharType="end"/>
      </w:r>
    </w:p>
    <w:p w14:paraId="761305D4">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_Toc230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股份发行</w:t>
      </w:r>
      <w:r>
        <w:tab/>
      </w:r>
      <w:r>
        <w:fldChar w:fldCharType="begin"/>
      </w:r>
      <w:r>
        <w:instrText xml:space="preserve"> PAGEREF _Toc230 \h </w:instrText>
      </w:r>
      <w:r>
        <w:fldChar w:fldCharType="separate"/>
      </w:r>
      <w:r>
        <w:t>4</w:t>
      </w:r>
      <w:r>
        <w:fldChar w:fldCharType="end"/>
      </w:r>
      <w:r>
        <w:rPr>
          <w:rFonts w:hint="eastAsia" w:asciiTheme="minorEastAsia" w:hAnsiTheme="minorEastAsia" w:eastAsiaTheme="minorEastAsia" w:cstheme="minorEastAsia"/>
        </w:rPr>
        <w:fldChar w:fldCharType="end"/>
      </w:r>
    </w:p>
    <w:p w14:paraId="65874C54">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_Toc26160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股份增减和回购</w:t>
      </w:r>
      <w:r>
        <w:tab/>
      </w:r>
      <w:r>
        <w:fldChar w:fldCharType="begin"/>
      </w:r>
      <w:r>
        <w:instrText xml:space="preserve"> PAGEREF _Toc26160 \h </w:instrText>
      </w:r>
      <w:r>
        <w:fldChar w:fldCharType="separate"/>
      </w:r>
      <w:r>
        <w:t>5</w:t>
      </w:r>
      <w:r>
        <w:fldChar w:fldCharType="end"/>
      </w:r>
      <w:r>
        <w:rPr>
          <w:rFonts w:hint="eastAsia" w:asciiTheme="minorEastAsia" w:hAnsiTheme="minorEastAsia" w:eastAsiaTheme="minorEastAsia" w:cstheme="minorEastAsia"/>
        </w:rPr>
        <w:fldChar w:fldCharType="end"/>
      </w:r>
    </w:p>
    <w:p w14:paraId="1C894B62">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_Toc14035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第三节　股份转让</w:t>
      </w:r>
      <w:r>
        <w:tab/>
      </w:r>
      <w:r>
        <w:fldChar w:fldCharType="begin"/>
      </w:r>
      <w:r>
        <w:instrText xml:space="preserve"> PAGEREF _Toc14035 \h </w:instrText>
      </w:r>
      <w:r>
        <w:fldChar w:fldCharType="separate"/>
      </w:r>
      <w:r>
        <w:t>6</w:t>
      </w:r>
      <w:r>
        <w:fldChar w:fldCharType="end"/>
      </w:r>
      <w:r>
        <w:rPr>
          <w:rFonts w:hint="eastAsia" w:asciiTheme="minorEastAsia" w:hAnsiTheme="minorEastAsia" w:eastAsiaTheme="minorEastAsia" w:cstheme="minorEastAsia"/>
        </w:rPr>
        <w:fldChar w:fldCharType="end"/>
      </w:r>
    </w:p>
    <w:p w14:paraId="5C2D6A55">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_Toc6555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第四章　股东和股东会</w:t>
      </w:r>
      <w:r>
        <w:tab/>
      </w:r>
      <w:r>
        <w:fldChar w:fldCharType="begin"/>
      </w:r>
      <w:r>
        <w:instrText xml:space="preserve"> PAGEREF _Toc6555 \h </w:instrText>
      </w:r>
      <w:r>
        <w:fldChar w:fldCharType="separate"/>
      </w:r>
      <w:r>
        <w:t>7</w:t>
      </w:r>
      <w:r>
        <w:fldChar w:fldCharType="end"/>
      </w:r>
      <w:r>
        <w:rPr>
          <w:rFonts w:hint="eastAsia" w:asciiTheme="minorEastAsia" w:hAnsiTheme="minorEastAsia" w:eastAsiaTheme="minorEastAsia" w:cstheme="minorEastAsia"/>
        </w:rPr>
        <w:fldChar w:fldCharType="end"/>
      </w:r>
    </w:p>
    <w:p w14:paraId="02AA21E1">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_Toc12449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股东</w:t>
      </w:r>
      <w:r>
        <w:tab/>
      </w:r>
      <w:r>
        <w:fldChar w:fldCharType="begin"/>
      </w:r>
      <w:r>
        <w:instrText xml:space="preserve"> PAGEREF _Toc12449 \h </w:instrText>
      </w:r>
      <w:r>
        <w:fldChar w:fldCharType="separate"/>
      </w:r>
      <w:r>
        <w:t>7</w:t>
      </w:r>
      <w:r>
        <w:fldChar w:fldCharType="end"/>
      </w:r>
      <w:r>
        <w:rPr>
          <w:rFonts w:hint="eastAsia" w:asciiTheme="minorEastAsia" w:hAnsiTheme="minorEastAsia" w:eastAsiaTheme="minorEastAsia" w:cstheme="minorEastAsia"/>
        </w:rPr>
        <w:fldChar w:fldCharType="end"/>
      </w:r>
    </w:p>
    <w:p w14:paraId="524AEE45">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_Toc13604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股东会的一般规定</w:t>
      </w:r>
      <w:r>
        <w:tab/>
      </w:r>
      <w:r>
        <w:fldChar w:fldCharType="begin"/>
      </w:r>
      <w:r>
        <w:instrText xml:space="preserve"> PAGEREF _Toc13604 \h </w:instrText>
      </w:r>
      <w:r>
        <w:fldChar w:fldCharType="separate"/>
      </w:r>
      <w:r>
        <w:t>9</w:t>
      </w:r>
      <w:r>
        <w:fldChar w:fldCharType="end"/>
      </w:r>
      <w:r>
        <w:rPr>
          <w:rFonts w:hint="eastAsia" w:asciiTheme="minorEastAsia" w:hAnsiTheme="minorEastAsia" w:eastAsiaTheme="minorEastAsia" w:cstheme="minorEastAsia"/>
        </w:rPr>
        <w:fldChar w:fldCharType="end"/>
      </w:r>
    </w:p>
    <w:p w14:paraId="5EB5A781">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_Toc29642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第三节　股东会的召集</w:t>
      </w:r>
      <w:r>
        <w:tab/>
      </w:r>
      <w:r>
        <w:fldChar w:fldCharType="begin"/>
      </w:r>
      <w:r>
        <w:instrText xml:space="preserve"> PAGEREF _Toc29642 \h </w:instrText>
      </w:r>
      <w:r>
        <w:fldChar w:fldCharType="separate"/>
      </w:r>
      <w:r>
        <w:t>13</w:t>
      </w:r>
      <w:r>
        <w:fldChar w:fldCharType="end"/>
      </w:r>
      <w:r>
        <w:rPr>
          <w:rFonts w:hint="eastAsia" w:asciiTheme="minorEastAsia" w:hAnsiTheme="minorEastAsia" w:eastAsiaTheme="minorEastAsia" w:cstheme="minorEastAsia"/>
        </w:rPr>
        <w:fldChar w:fldCharType="end"/>
      </w:r>
    </w:p>
    <w:p w14:paraId="6FE50C9C">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_Toc6266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第四节　股东会的提案与通知</w:t>
      </w:r>
      <w:r>
        <w:tab/>
      </w:r>
      <w:r>
        <w:fldChar w:fldCharType="begin"/>
      </w:r>
      <w:r>
        <w:instrText xml:space="preserve"> PAGEREF _Toc6266 \h </w:instrText>
      </w:r>
      <w:r>
        <w:fldChar w:fldCharType="separate"/>
      </w:r>
      <w:r>
        <w:t>15</w:t>
      </w:r>
      <w:r>
        <w:fldChar w:fldCharType="end"/>
      </w:r>
      <w:r>
        <w:rPr>
          <w:rFonts w:hint="eastAsia" w:asciiTheme="minorEastAsia" w:hAnsiTheme="minorEastAsia" w:eastAsiaTheme="minorEastAsia" w:cstheme="minorEastAsia"/>
        </w:rPr>
        <w:fldChar w:fldCharType="end"/>
      </w:r>
    </w:p>
    <w:p w14:paraId="5FE849AB">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_Toc30965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第五节　股东会的召开</w:t>
      </w:r>
      <w:r>
        <w:tab/>
      </w:r>
      <w:r>
        <w:fldChar w:fldCharType="begin"/>
      </w:r>
      <w:r>
        <w:instrText xml:space="preserve"> PAGEREF _Toc30965 \h </w:instrText>
      </w:r>
      <w:r>
        <w:fldChar w:fldCharType="separate"/>
      </w:r>
      <w:r>
        <w:t>16</w:t>
      </w:r>
      <w:r>
        <w:fldChar w:fldCharType="end"/>
      </w:r>
      <w:r>
        <w:rPr>
          <w:rFonts w:hint="eastAsia" w:asciiTheme="minorEastAsia" w:hAnsiTheme="minorEastAsia" w:eastAsiaTheme="minorEastAsia" w:cstheme="minorEastAsia"/>
        </w:rPr>
        <w:fldChar w:fldCharType="end"/>
      </w:r>
    </w:p>
    <w:p w14:paraId="596DB201">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_Toc23185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第六节　股东会的表决和决议</w:t>
      </w:r>
      <w:r>
        <w:tab/>
      </w:r>
      <w:r>
        <w:fldChar w:fldCharType="begin"/>
      </w:r>
      <w:r>
        <w:instrText xml:space="preserve"> PAGEREF _Toc23185 \h </w:instrText>
      </w:r>
      <w:r>
        <w:fldChar w:fldCharType="separate"/>
      </w:r>
      <w:r>
        <w:t>19</w:t>
      </w:r>
      <w:r>
        <w:fldChar w:fldCharType="end"/>
      </w:r>
      <w:r>
        <w:rPr>
          <w:rFonts w:hint="eastAsia" w:asciiTheme="minorEastAsia" w:hAnsiTheme="minorEastAsia" w:eastAsiaTheme="minorEastAsia" w:cstheme="minorEastAsia"/>
        </w:rPr>
        <w:fldChar w:fldCharType="end"/>
      </w:r>
    </w:p>
    <w:p w14:paraId="10042897">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_Toc8326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第五章　董事会</w:t>
      </w:r>
      <w:r>
        <w:tab/>
      </w:r>
      <w:r>
        <w:fldChar w:fldCharType="begin"/>
      </w:r>
      <w:r>
        <w:instrText xml:space="preserve"> PAGEREF _Toc8326 \h </w:instrText>
      </w:r>
      <w:r>
        <w:fldChar w:fldCharType="separate"/>
      </w:r>
      <w:r>
        <w:t>22</w:t>
      </w:r>
      <w:r>
        <w:fldChar w:fldCharType="end"/>
      </w:r>
      <w:r>
        <w:rPr>
          <w:rFonts w:hint="eastAsia" w:asciiTheme="minorEastAsia" w:hAnsiTheme="minorEastAsia" w:eastAsiaTheme="minorEastAsia" w:cstheme="minorEastAsia"/>
        </w:rPr>
        <w:fldChar w:fldCharType="end"/>
      </w:r>
    </w:p>
    <w:p w14:paraId="3A8E0664">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_Toc29301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董事</w:t>
      </w:r>
      <w:r>
        <w:tab/>
      </w:r>
      <w:r>
        <w:fldChar w:fldCharType="begin"/>
      </w:r>
      <w:r>
        <w:instrText xml:space="preserve"> PAGEREF _Toc29301 \h </w:instrText>
      </w:r>
      <w:r>
        <w:fldChar w:fldCharType="separate"/>
      </w:r>
      <w:r>
        <w:t>22</w:t>
      </w:r>
      <w:r>
        <w:fldChar w:fldCharType="end"/>
      </w:r>
      <w:r>
        <w:rPr>
          <w:rFonts w:hint="eastAsia" w:asciiTheme="minorEastAsia" w:hAnsiTheme="minorEastAsia" w:eastAsiaTheme="minorEastAsia" w:cstheme="minorEastAsia"/>
        </w:rPr>
        <w:fldChar w:fldCharType="end"/>
      </w:r>
    </w:p>
    <w:p w14:paraId="46D043BF">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_Toc9390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董事会</w:t>
      </w:r>
      <w:r>
        <w:tab/>
      </w:r>
      <w:r>
        <w:fldChar w:fldCharType="begin"/>
      </w:r>
      <w:r>
        <w:instrText xml:space="preserve"> PAGEREF _Toc9390 \h </w:instrText>
      </w:r>
      <w:r>
        <w:fldChar w:fldCharType="separate"/>
      </w:r>
      <w:r>
        <w:t>25</w:t>
      </w:r>
      <w:r>
        <w:fldChar w:fldCharType="end"/>
      </w:r>
      <w:r>
        <w:rPr>
          <w:rFonts w:hint="eastAsia" w:asciiTheme="minorEastAsia" w:hAnsiTheme="minorEastAsia" w:eastAsiaTheme="minorEastAsia" w:cstheme="minorEastAsia"/>
        </w:rPr>
        <w:fldChar w:fldCharType="end"/>
      </w:r>
    </w:p>
    <w:p w14:paraId="72069241">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_Toc7075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第六章　总经理及其他高级管理人员</w:t>
      </w:r>
      <w:r>
        <w:tab/>
      </w:r>
      <w:r>
        <w:fldChar w:fldCharType="begin"/>
      </w:r>
      <w:r>
        <w:instrText xml:space="preserve"> PAGEREF _Toc7075 \h </w:instrText>
      </w:r>
      <w:r>
        <w:fldChar w:fldCharType="separate"/>
      </w:r>
      <w:r>
        <w:t>30</w:t>
      </w:r>
      <w:r>
        <w:fldChar w:fldCharType="end"/>
      </w:r>
      <w:r>
        <w:rPr>
          <w:rFonts w:hint="eastAsia" w:asciiTheme="minorEastAsia" w:hAnsiTheme="minorEastAsia" w:eastAsiaTheme="minorEastAsia" w:cstheme="minorEastAsia"/>
        </w:rPr>
        <w:fldChar w:fldCharType="end"/>
      </w:r>
    </w:p>
    <w:p w14:paraId="64D0209E">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_Toc15574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第七章　监事会</w:t>
      </w:r>
      <w:r>
        <w:tab/>
      </w:r>
      <w:r>
        <w:fldChar w:fldCharType="begin"/>
      </w:r>
      <w:r>
        <w:instrText xml:space="preserve"> PAGEREF _Toc15574 \h </w:instrText>
      </w:r>
      <w:r>
        <w:fldChar w:fldCharType="separate"/>
      </w:r>
      <w:r>
        <w:t>32</w:t>
      </w:r>
      <w:r>
        <w:fldChar w:fldCharType="end"/>
      </w:r>
      <w:r>
        <w:rPr>
          <w:rFonts w:hint="eastAsia" w:asciiTheme="minorEastAsia" w:hAnsiTheme="minorEastAsia" w:eastAsiaTheme="minorEastAsia" w:cstheme="minorEastAsia"/>
        </w:rPr>
        <w:fldChar w:fldCharType="end"/>
      </w:r>
    </w:p>
    <w:p w14:paraId="427FE80A">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_Toc31285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监事</w:t>
      </w:r>
      <w:r>
        <w:tab/>
      </w:r>
      <w:r>
        <w:fldChar w:fldCharType="begin"/>
      </w:r>
      <w:r>
        <w:instrText xml:space="preserve"> PAGEREF _Toc31285 \h </w:instrText>
      </w:r>
      <w:r>
        <w:fldChar w:fldCharType="separate"/>
      </w:r>
      <w:r>
        <w:t>32</w:t>
      </w:r>
      <w:r>
        <w:fldChar w:fldCharType="end"/>
      </w:r>
      <w:r>
        <w:rPr>
          <w:rFonts w:hint="eastAsia" w:asciiTheme="minorEastAsia" w:hAnsiTheme="minorEastAsia" w:eastAsiaTheme="minorEastAsia" w:cstheme="minorEastAsia"/>
        </w:rPr>
        <w:fldChar w:fldCharType="end"/>
      </w:r>
    </w:p>
    <w:p w14:paraId="3639B19E">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_Toc1444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监事会</w:t>
      </w:r>
      <w:r>
        <w:tab/>
      </w:r>
      <w:r>
        <w:fldChar w:fldCharType="begin"/>
      </w:r>
      <w:r>
        <w:instrText xml:space="preserve"> PAGEREF _Toc1444 \h </w:instrText>
      </w:r>
      <w:r>
        <w:fldChar w:fldCharType="separate"/>
      </w:r>
      <w:r>
        <w:t>33</w:t>
      </w:r>
      <w:r>
        <w:fldChar w:fldCharType="end"/>
      </w:r>
      <w:r>
        <w:rPr>
          <w:rFonts w:hint="eastAsia" w:asciiTheme="minorEastAsia" w:hAnsiTheme="minorEastAsia" w:eastAsiaTheme="minorEastAsia" w:cstheme="minorEastAsia"/>
        </w:rPr>
        <w:fldChar w:fldCharType="end"/>
      </w:r>
    </w:p>
    <w:p w14:paraId="1B927E26">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_Toc25956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第八章　财务会计制度、利润分配和审计</w:t>
      </w:r>
      <w:r>
        <w:tab/>
      </w:r>
      <w:r>
        <w:fldChar w:fldCharType="begin"/>
      </w:r>
      <w:r>
        <w:instrText xml:space="preserve"> PAGEREF _Toc25956 \h </w:instrText>
      </w:r>
      <w:r>
        <w:fldChar w:fldCharType="separate"/>
      </w:r>
      <w:r>
        <w:t>34</w:t>
      </w:r>
      <w:r>
        <w:fldChar w:fldCharType="end"/>
      </w:r>
      <w:r>
        <w:rPr>
          <w:rFonts w:hint="eastAsia" w:asciiTheme="minorEastAsia" w:hAnsiTheme="minorEastAsia" w:eastAsiaTheme="minorEastAsia" w:cstheme="minorEastAsia"/>
        </w:rPr>
        <w:fldChar w:fldCharType="end"/>
      </w:r>
    </w:p>
    <w:p w14:paraId="67A6BB97">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_Toc6635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财务会计制度</w:t>
      </w:r>
      <w:r>
        <w:tab/>
      </w:r>
      <w:r>
        <w:fldChar w:fldCharType="begin"/>
      </w:r>
      <w:r>
        <w:instrText xml:space="preserve"> PAGEREF _Toc6635 \h </w:instrText>
      </w:r>
      <w:r>
        <w:fldChar w:fldCharType="separate"/>
      </w:r>
      <w:r>
        <w:t>34</w:t>
      </w:r>
      <w:r>
        <w:fldChar w:fldCharType="end"/>
      </w:r>
      <w:r>
        <w:rPr>
          <w:rFonts w:hint="eastAsia" w:asciiTheme="minorEastAsia" w:hAnsiTheme="minorEastAsia" w:eastAsiaTheme="minorEastAsia" w:cstheme="minorEastAsia"/>
        </w:rPr>
        <w:fldChar w:fldCharType="end"/>
      </w:r>
    </w:p>
    <w:p w14:paraId="6F9F1092">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_Toc13105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利润分配</w:t>
      </w:r>
      <w:r>
        <w:tab/>
      </w:r>
      <w:r>
        <w:fldChar w:fldCharType="begin"/>
      </w:r>
      <w:r>
        <w:instrText xml:space="preserve"> PAGEREF _Toc13105 \h </w:instrText>
      </w:r>
      <w:r>
        <w:fldChar w:fldCharType="separate"/>
      </w:r>
      <w:r>
        <w:t>35</w:t>
      </w:r>
      <w:r>
        <w:fldChar w:fldCharType="end"/>
      </w:r>
      <w:r>
        <w:rPr>
          <w:rFonts w:hint="eastAsia" w:asciiTheme="minorEastAsia" w:hAnsiTheme="minorEastAsia" w:eastAsiaTheme="minorEastAsia" w:cstheme="minorEastAsia"/>
        </w:rPr>
        <w:fldChar w:fldCharType="end"/>
      </w:r>
    </w:p>
    <w:p w14:paraId="7FC3DB28">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_Toc27710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第三节　内部审计</w:t>
      </w:r>
      <w:r>
        <w:tab/>
      </w:r>
      <w:r>
        <w:fldChar w:fldCharType="begin"/>
      </w:r>
      <w:r>
        <w:instrText xml:space="preserve"> PAGEREF _Toc27710 \h </w:instrText>
      </w:r>
      <w:r>
        <w:fldChar w:fldCharType="separate"/>
      </w:r>
      <w:r>
        <w:t>37</w:t>
      </w:r>
      <w:r>
        <w:fldChar w:fldCharType="end"/>
      </w:r>
      <w:r>
        <w:rPr>
          <w:rFonts w:hint="eastAsia" w:asciiTheme="minorEastAsia" w:hAnsiTheme="minorEastAsia" w:eastAsiaTheme="minorEastAsia" w:cstheme="minorEastAsia"/>
        </w:rPr>
        <w:fldChar w:fldCharType="end"/>
      </w:r>
    </w:p>
    <w:p w14:paraId="56B3E1C9">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_Toc30255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第四节　会计师事务所的聘任</w:t>
      </w:r>
      <w:r>
        <w:tab/>
      </w:r>
      <w:r>
        <w:fldChar w:fldCharType="begin"/>
      </w:r>
      <w:r>
        <w:instrText xml:space="preserve"> PAGEREF _Toc30255 \h </w:instrText>
      </w:r>
      <w:r>
        <w:fldChar w:fldCharType="separate"/>
      </w:r>
      <w:r>
        <w:t>38</w:t>
      </w:r>
      <w:r>
        <w:fldChar w:fldCharType="end"/>
      </w:r>
      <w:r>
        <w:rPr>
          <w:rFonts w:hint="eastAsia" w:asciiTheme="minorEastAsia" w:hAnsiTheme="minorEastAsia" w:eastAsiaTheme="minorEastAsia" w:cstheme="minorEastAsia"/>
        </w:rPr>
        <w:fldChar w:fldCharType="end"/>
      </w:r>
    </w:p>
    <w:p w14:paraId="26F11EE2">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_Toc11778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第九章　通知和公告</w:t>
      </w:r>
      <w:r>
        <w:tab/>
      </w:r>
      <w:r>
        <w:fldChar w:fldCharType="begin"/>
      </w:r>
      <w:r>
        <w:instrText xml:space="preserve"> PAGEREF _Toc11778 \h </w:instrText>
      </w:r>
      <w:r>
        <w:fldChar w:fldCharType="separate"/>
      </w:r>
      <w:r>
        <w:t>38</w:t>
      </w:r>
      <w:r>
        <w:fldChar w:fldCharType="end"/>
      </w:r>
      <w:r>
        <w:rPr>
          <w:rFonts w:hint="eastAsia" w:asciiTheme="minorEastAsia" w:hAnsiTheme="minorEastAsia" w:eastAsiaTheme="minorEastAsia" w:cstheme="minorEastAsia"/>
        </w:rPr>
        <w:fldChar w:fldCharType="end"/>
      </w:r>
    </w:p>
    <w:p w14:paraId="5AC4AD8E">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_Toc26310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通知</w:t>
      </w:r>
      <w:r>
        <w:tab/>
      </w:r>
      <w:r>
        <w:fldChar w:fldCharType="begin"/>
      </w:r>
      <w:r>
        <w:instrText xml:space="preserve"> PAGEREF _Toc26310 \h </w:instrText>
      </w:r>
      <w:r>
        <w:fldChar w:fldCharType="separate"/>
      </w:r>
      <w:r>
        <w:t>38</w:t>
      </w:r>
      <w:r>
        <w:fldChar w:fldCharType="end"/>
      </w:r>
      <w:r>
        <w:rPr>
          <w:rFonts w:hint="eastAsia" w:asciiTheme="minorEastAsia" w:hAnsiTheme="minorEastAsia" w:eastAsiaTheme="minorEastAsia" w:cstheme="minorEastAsia"/>
        </w:rPr>
        <w:fldChar w:fldCharType="end"/>
      </w:r>
    </w:p>
    <w:p w14:paraId="6778F263">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_Toc14389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公告</w:t>
      </w:r>
      <w:r>
        <w:tab/>
      </w:r>
      <w:r>
        <w:fldChar w:fldCharType="begin"/>
      </w:r>
      <w:r>
        <w:instrText xml:space="preserve"> PAGEREF _Toc14389 \h </w:instrText>
      </w:r>
      <w:r>
        <w:fldChar w:fldCharType="separate"/>
      </w:r>
      <w:r>
        <w:t>39</w:t>
      </w:r>
      <w:r>
        <w:fldChar w:fldCharType="end"/>
      </w:r>
      <w:r>
        <w:rPr>
          <w:rFonts w:hint="eastAsia" w:asciiTheme="minorEastAsia" w:hAnsiTheme="minorEastAsia" w:eastAsiaTheme="minorEastAsia" w:cstheme="minorEastAsia"/>
        </w:rPr>
        <w:fldChar w:fldCharType="end"/>
      </w:r>
    </w:p>
    <w:p w14:paraId="04EFD37F">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_Toc15207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第十章　合并、分立、增资、减资、解散和清算</w:t>
      </w:r>
      <w:r>
        <w:tab/>
      </w:r>
      <w:r>
        <w:fldChar w:fldCharType="begin"/>
      </w:r>
      <w:r>
        <w:instrText xml:space="preserve"> PAGEREF _Toc15207 \h </w:instrText>
      </w:r>
      <w:r>
        <w:fldChar w:fldCharType="separate"/>
      </w:r>
      <w:r>
        <w:t>39</w:t>
      </w:r>
      <w:r>
        <w:fldChar w:fldCharType="end"/>
      </w:r>
      <w:r>
        <w:rPr>
          <w:rFonts w:hint="eastAsia" w:asciiTheme="minorEastAsia" w:hAnsiTheme="minorEastAsia" w:eastAsiaTheme="minorEastAsia" w:cstheme="minorEastAsia"/>
        </w:rPr>
        <w:fldChar w:fldCharType="end"/>
      </w:r>
    </w:p>
    <w:p w14:paraId="39257D83">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_Toc19267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第一节　合并、分立、增资和减资</w:t>
      </w:r>
      <w:r>
        <w:tab/>
      </w:r>
      <w:r>
        <w:fldChar w:fldCharType="begin"/>
      </w:r>
      <w:r>
        <w:instrText xml:space="preserve"> PAGEREF _Toc19267 \h </w:instrText>
      </w:r>
      <w:r>
        <w:fldChar w:fldCharType="separate"/>
      </w:r>
      <w:r>
        <w:t>39</w:t>
      </w:r>
      <w:r>
        <w:fldChar w:fldCharType="end"/>
      </w:r>
      <w:r>
        <w:rPr>
          <w:rFonts w:hint="eastAsia" w:asciiTheme="minorEastAsia" w:hAnsiTheme="minorEastAsia" w:eastAsiaTheme="minorEastAsia" w:cstheme="minorEastAsia"/>
        </w:rPr>
        <w:fldChar w:fldCharType="end"/>
      </w:r>
    </w:p>
    <w:p w14:paraId="4C61C326">
      <w:pPr>
        <w:pStyle w:val="19"/>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_Toc3977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28"/>
        </w:rPr>
        <w:t>第二节　解散和清算</w:t>
      </w:r>
      <w:r>
        <w:tab/>
      </w:r>
      <w:r>
        <w:fldChar w:fldCharType="begin"/>
      </w:r>
      <w:r>
        <w:instrText xml:space="preserve"> PAGEREF _Toc3977 \h </w:instrText>
      </w:r>
      <w:r>
        <w:fldChar w:fldCharType="separate"/>
      </w:r>
      <w:r>
        <w:t>40</w:t>
      </w:r>
      <w:r>
        <w:fldChar w:fldCharType="end"/>
      </w:r>
      <w:r>
        <w:rPr>
          <w:rFonts w:hint="eastAsia" w:asciiTheme="minorEastAsia" w:hAnsiTheme="minorEastAsia" w:eastAsiaTheme="minorEastAsia" w:cstheme="minorEastAsia"/>
        </w:rPr>
        <w:fldChar w:fldCharType="end"/>
      </w:r>
    </w:p>
    <w:p w14:paraId="3C0FB749">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_Toc26266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第十一章　修改章程</w:t>
      </w:r>
      <w:r>
        <w:tab/>
      </w:r>
      <w:r>
        <w:fldChar w:fldCharType="begin"/>
      </w:r>
      <w:r>
        <w:instrText xml:space="preserve"> PAGEREF _Toc26266 \h </w:instrText>
      </w:r>
      <w:r>
        <w:fldChar w:fldCharType="separate"/>
      </w:r>
      <w:r>
        <w:t>42</w:t>
      </w:r>
      <w:r>
        <w:fldChar w:fldCharType="end"/>
      </w:r>
      <w:r>
        <w:rPr>
          <w:rFonts w:hint="eastAsia" w:asciiTheme="minorEastAsia" w:hAnsiTheme="minorEastAsia" w:eastAsiaTheme="minorEastAsia" w:cstheme="minorEastAsia"/>
        </w:rPr>
        <w:fldChar w:fldCharType="end"/>
      </w:r>
    </w:p>
    <w:p w14:paraId="5CA40FC2">
      <w:pPr>
        <w:pStyle w:val="17"/>
        <w:tabs>
          <w:tab w:val="right" w:leader="dot" w:pos="9638"/>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_Toc14184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Cs w:val="32"/>
        </w:rPr>
        <w:t>第十二章　附则</w:t>
      </w:r>
      <w:r>
        <w:tab/>
      </w:r>
      <w:r>
        <w:fldChar w:fldCharType="begin"/>
      </w:r>
      <w:r>
        <w:instrText xml:space="preserve"> PAGEREF _Toc14184 \h </w:instrText>
      </w:r>
      <w:r>
        <w:fldChar w:fldCharType="separate"/>
      </w:r>
      <w:r>
        <w:t>42</w:t>
      </w:r>
      <w:r>
        <w:fldChar w:fldCharType="end"/>
      </w:r>
      <w:r>
        <w:rPr>
          <w:rFonts w:hint="eastAsia" w:asciiTheme="minorEastAsia" w:hAnsiTheme="minorEastAsia" w:eastAsiaTheme="minorEastAsia" w:cstheme="minorEastAsia"/>
        </w:rPr>
        <w:fldChar w:fldCharType="end"/>
      </w:r>
    </w:p>
    <w:p w14:paraId="03C38716">
      <w:pPr>
        <w:tabs>
          <w:tab w:val="right" w:leader="dot" w:pos="9639"/>
        </w:tabs>
        <w:spacing w:line="36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rPr>
        <w:fldChar w:fldCharType="end"/>
      </w:r>
    </w:p>
    <w:p w14:paraId="2731B3F2">
      <w:pPr>
        <w:pStyle w:val="33"/>
        <w:spacing w:line="500" w:lineRule="exact"/>
        <w:rPr>
          <w:rFonts w:hint="eastAsia" w:asciiTheme="minorEastAsia" w:hAnsiTheme="minorEastAsia" w:eastAsiaTheme="minorEastAsia" w:cstheme="minorEastAsia"/>
        </w:rPr>
        <w:sectPr>
          <w:footerReference r:id="rId3" w:type="default"/>
          <w:pgSz w:w="11906" w:h="16838"/>
          <w:pgMar w:top="1134" w:right="1134" w:bottom="993" w:left="1134" w:header="851" w:footer="992" w:gutter="0"/>
          <w:cols w:space="720" w:num="1"/>
          <w:docGrid w:type="lines" w:linePitch="312" w:charSpace="0"/>
        </w:sectPr>
      </w:pPr>
    </w:p>
    <w:p w14:paraId="564C2289">
      <w:pPr>
        <w:pStyle w:val="33"/>
        <w:spacing w:before="0" w:after="0" w:line="360" w:lineRule="auto"/>
        <w:outlineLvl w:val="0"/>
        <w:rPr>
          <w:rFonts w:hint="eastAsia" w:asciiTheme="minorEastAsia" w:hAnsiTheme="minorEastAsia" w:eastAsiaTheme="minorEastAsia" w:cstheme="minorEastAsia"/>
          <w:b/>
          <w:sz w:val="32"/>
          <w:szCs w:val="32"/>
        </w:rPr>
      </w:pPr>
      <w:bookmarkStart w:id="0" w:name="_Toc18227"/>
      <w:r>
        <w:rPr>
          <w:rFonts w:hint="eastAsia" w:asciiTheme="minorEastAsia" w:hAnsiTheme="minorEastAsia" w:eastAsiaTheme="minorEastAsia" w:cstheme="minorEastAsia"/>
          <w:b/>
          <w:sz w:val="32"/>
          <w:szCs w:val="32"/>
        </w:rPr>
        <w:t>第一章　</w:t>
      </w:r>
      <w:bookmarkStart w:id="1" w:name="_Toc261168808"/>
      <w:r>
        <w:rPr>
          <w:rFonts w:hint="eastAsia" w:asciiTheme="minorEastAsia" w:hAnsiTheme="minorEastAsia" w:eastAsiaTheme="minorEastAsia" w:cstheme="minorEastAsia"/>
          <w:b/>
          <w:sz w:val="32"/>
          <w:szCs w:val="32"/>
        </w:rPr>
        <w:t>总则</w:t>
      </w:r>
      <w:bookmarkEnd w:id="0"/>
      <w:bookmarkEnd w:id="1"/>
    </w:p>
    <w:p w14:paraId="41D5BB75">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为维护公司、股东和债权人的合法权益，规范公司的组织和行为，根据《中华人民共和国公司法》（以下简称“《公司法》”）《中华人民共和国证券法》（以下简称“《证券法》”）《上市公司章程指引》和其他有关规定，制订本章程。</w:t>
      </w:r>
    </w:p>
    <w:p w14:paraId="3F85619A">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广东天亿马信息产业股份有限公司系依照《公司法》和其他有关规定成立的股份有限公司（以下简称“公司”）。</w:t>
      </w:r>
    </w:p>
    <w:p w14:paraId="7AFE3293">
      <w:pPr>
        <w:tabs>
          <w:tab w:val="left" w:pos="0"/>
          <w:tab w:val="left" w:pos="1440"/>
        </w:tabs>
        <w:spacing w:line="36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公司系广东天亿马信息产业有限公司按账面净资产值折股整体变更设立的股份有限公司，在汕头市市场监督管理局注册登记并取得营业执照,统一社会信用代码为914405007080295548。</w:t>
      </w:r>
    </w:p>
    <w:p w14:paraId="2F112B6D">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公司于2021年9月7日经中国证券监督管理委员会同意注册，首次向社会公众发行人民币普通股1,177.80万股，于2021年11月12日在深圳证券交易所创业板上市。</w:t>
      </w:r>
    </w:p>
    <w:p w14:paraId="328C8E78">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公司名称：</w:t>
      </w:r>
    </w:p>
    <w:p w14:paraId="0CE4426D">
      <w:pPr>
        <w:tabs>
          <w:tab w:val="left" w:pos="0"/>
          <w:tab w:val="left" w:pos="1440"/>
        </w:tabs>
        <w:spacing w:line="36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中文名称：广东天亿马信息产业股份有限公司</w:t>
      </w:r>
    </w:p>
    <w:p w14:paraId="2BD50207">
      <w:pPr>
        <w:spacing w:line="360" w:lineRule="auto"/>
        <w:ind w:firstLine="48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 w:val="24"/>
        </w:rPr>
        <w:t>英文名称：Guangdong TianYiMa Information Industry Co.,Ltd.</w:t>
      </w:r>
    </w:p>
    <w:p w14:paraId="6FD6FBC2">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公司住所：</w:t>
      </w:r>
      <w:r>
        <w:rPr>
          <w:rFonts w:hint="eastAsia" w:asciiTheme="minorEastAsia" w:hAnsiTheme="minorEastAsia" w:eastAsiaTheme="minorEastAsia" w:cstheme="minorEastAsia"/>
          <w:kern w:val="0"/>
          <w:sz w:val="24"/>
        </w:rPr>
        <w:t>汕头市嵩山路南20号天澜国际大厦西塔2111-2112房，515041</w:t>
      </w:r>
      <w:r>
        <w:rPr>
          <w:rFonts w:hint="eastAsia" w:asciiTheme="minorEastAsia" w:hAnsiTheme="minorEastAsia" w:eastAsiaTheme="minorEastAsia" w:cstheme="minorEastAsia"/>
          <w:kern w:val="0"/>
          <w:sz w:val="24"/>
          <w:lang w:val="zh-CN"/>
        </w:rPr>
        <w:t>。</w:t>
      </w:r>
    </w:p>
    <w:p w14:paraId="258544AE">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公司注册资本为人民币6,710.88万</w:t>
      </w:r>
      <w:r>
        <w:rPr>
          <w:rFonts w:hint="eastAsia" w:asciiTheme="minorEastAsia" w:hAnsiTheme="minorEastAsia" w:eastAsiaTheme="minorEastAsia" w:cstheme="minorEastAsia"/>
          <w:kern w:val="0"/>
          <w:sz w:val="24"/>
        </w:rPr>
        <w:t>元</w:t>
      </w:r>
      <w:r>
        <w:rPr>
          <w:rFonts w:hint="eastAsia" w:asciiTheme="minorEastAsia" w:hAnsiTheme="minorEastAsia" w:eastAsiaTheme="minorEastAsia" w:cstheme="minorEastAsia"/>
          <w:sz w:val="24"/>
        </w:rPr>
        <w:t>。</w:t>
      </w:r>
    </w:p>
    <w:p w14:paraId="04A87CCA">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公司为永久存续的股份有限公司。</w:t>
      </w:r>
    </w:p>
    <w:p w14:paraId="4EC7FFFD">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董事长为公司的法定代表人。董事长辞任的，视为同时辞去法定代表人。法定代表人辞任的，公司应当在法定代表人辞任之日起三十日内确定新的法定代表人。</w:t>
      </w:r>
    </w:p>
    <w:p w14:paraId="69B465FF">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公司全部资产分为等额股份，公司股东以其认购的股份为限对公司承担责任，公司以其全部资产对公司的债务承担责任。</w:t>
      </w:r>
    </w:p>
    <w:p w14:paraId="5FAD7B1B">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公司章程自生效之日起，即成为规范公司的组织与行为、公司与股东、股东与股东之间权利义务关系的具有法律约束力的文件，对公司、股东、董事、监事、高级管理人员具有法律约束力的文件。依据本章程，股东可以起诉股东，股东可以起诉公司董事、监事、经理和其他高级管理人员，股东可以起诉公司，公司可以起诉股东、董事、监事、经理和其他高级管理人员。公司、股东、董事、监事、高级管理人员之间涉及章程规定的纠纷，应当先行通过协商解决。协商不成的，任何一方均有权向公司所在地人民法院提起诉讼。</w:t>
      </w:r>
    </w:p>
    <w:p w14:paraId="663E1B52">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本章程所称其他高级管理人员是指公司的副总经理、财务负责人、董事会秘书和其他依本章程规定被公司董事会聘任为高级管理人员的公司雇员。</w:t>
      </w:r>
    </w:p>
    <w:p w14:paraId="17635715">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公司根据中国共产党章程的规定，设立共产党组织、开展党的活动。公司为党组织的活动提供必要条件。</w:t>
      </w:r>
    </w:p>
    <w:p w14:paraId="77AB07C1">
      <w:pPr>
        <w:pStyle w:val="33"/>
        <w:spacing w:before="0" w:after="0" w:line="360" w:lineRule="auto"/>
        <w:outlineLvl w:val="0"/>
        <w:rPr>
          <w:rFonts w:hint="eastAsia" w:asciiTheme="minorEastAsia" w:hAnsiTheme="minorEastAsia" w:eastAsiaTheme="minorEastAsia" w:cstheme="minorEastAsia"/>
          <w:b/>
          <w:sz w:val="32"/>
          <w:szCs w:val="32"/>
        </w:rPr>
      </w:pPr>
      <w:bookmarkStart w:id="2" w:name="_Toc1749"/>
      <w:r>
        <w:rPr>
          <w:rFonts w:hint="eastAsia" w:asciiTheme="minorEastAsia" w:hAnsiTheme="minorEastAsia" w:eastAsiaTheme="minorEastAsia" w:cstheme="minorEastAsia"/>
          <w:b/>
          <w:sz w:val="32"/>
          <w:szCs w:val="32"/>
        </w:rPr>
        <w:t>第二章　</w:t>
      </w:r>
      <w:bookmarkStart w:id="3" w:name="_Toc261168809"/>
      <w:r>
        <w:rPr>
          <w:rFonts w:hint="eastAsia" w:asciiTheme="minorEastAsia" w:hAnsiTheme="minorEastAsia" w:eastAsiaTheme="minorEastAsia" w:cstheme="minorEastAsia"/>
          <w:b/>
          <w:sz w:val="32"/>
          <w:szCs w:val="32"/>
        </w:rPr>
        <w:t>经营宗旨和范围</w:t>
      </w:r>
      <w:bookmarkEnd w:id="2"/>
      <w:bookmarkEnd w:id="3"/>
    </w:p>
    <w:p w14:paraId="0462E53C">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公司的经营宗旨：致力IT产品与服务解决方案提供，秉承“技术缔造价值，服务成就未来”的经营理念，成为智慧城市建设与行业应用提供商。</w:t>
      </w:r>
    </w:p>
    <w:p w14:paraId="4D78A20A">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经营范围：计算机软件开发，计算机及信息化配套产品的研发，计算机信息系统集成及服务；智慧城市项目、电子政务项目、建筑智能化工程、电子自动化工程、防雷工程、通信工程、城市交通设施工程、电力工程的设计、施工及服务；计算机信息系统安全服务；安全技术防范系统设计、施工、维修；电子信息技术服务；交通信号灯系统、道路交通安全设施的制作及安装；电子计算机及配件、教学仪器、实验实训设备、通信设备、办公自动化设备的销售、维护、维修、安装、调试；地理信息数据处理，地理信息系统的技术开发及服务；销售：电子计算机软件，电子通信设备，通用机械设备，文化办公机械，文化用品，五金交电，空调、无线电设备，汽车、摩托车及零配件、新能源汽车整车；设计、制作、发布、代理国内外各类广告；档案管理咨询、评估、鉴定、整理、修复、档案管理技术和数字化服务；增值电信业务；电子产品租赁；新兴能源技术研发；新能源原动设备销售；发电技术服务；电气安装服务；输电、供电、受电设施的安装、维修和试验；以下项目限由其分支机构经营：生产：计算机及信息化配套产品；电子出版物零售。(依法须经批准的项目，经相关部门批准后方可开展经营活动)</w:t>
      </w:r>
    </w:p>
    <w:p w14:paraId="327485BB">
      <w:pPr>
        <w:tabs>
          <w:tab w:val="left" w:pos="0"/>
          <w:tab w:val="left" w:pos="1440"/>
        </w:tabs>
        <w:spacing w:line="36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前款所指的公司经营范围以公司登记机关核准登记的为准。</w:t>
      </w:r>
    </w:p>
    <w:p w14:paraId="64F99992">
      <w:pPr>
        <w:tabs>
          <w:tab w:val="left" w:pos="0"/>
          <w:tab w:val="left" w:pos="1440"/>
        </w:tabs>
        <w:spacing w:line="36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公司可以按照市场导向，根据经营发展的需要和自身能力，调整经营范围，并按规定办理有关变更登记手续。</w:t>
      </w:r>
    </w:p>
    <w:p w14:paraId="56856382">
      <w:pPr>
        <w:pStyle w:val="33"/>
        <w:spacing w:before="0" w:after="0" w:line="360" w:lineRule="auto"/>
        <w:outlineLvl w:val="0"/>
        <w:rPr>
          <w:rFonts w:hint="eastAsia" w:asciiTheme="minorEastAsia" w:hAnsiTheme="minorEastAsia" w:eastAsiaTheme="minorEastAsia" w:cstheme="minorEastAsia"/>
          <w:b/>
          <w:sz w:val="32"/>
          <w:szCs w:val="32"/>
        </w:rPr>
      </w:pPr>
      <w:bookmarkStart w:id="4" w:name="_Toc24875"/>
      <w:r>
        <w:rPr>
          <w:rFonts w:hint="eastAsia" w:asciiTheme="minorEastAsia" w:hAnsiTheme="minorEastAsia" w:eastAsiaTheme="minorEastAsia" w:cstheme="minorEastAsia"/>
          <w:b/>
          <w:sz w:val="32"/>
          <w:szCs w:val="32"/>
        </w:rPr>
        <w:t>第三章　股份</w:t>
      </w:r>
      <w:bookmarkEnd w:id="4"/>
    </w:p>
    <w:p w14:paraId="56475A87">
      <w:pPr>
        <w:pStyle w:val="31"/>
        <w:spacing w:before="0" w:after="0" w:line="360" w:lineRule="auto"/>
        <w:outlineLvl w:val="1"/>
        <w:rPr>
          <w:rFonts w:hint="eastAsia" w:asciiTheme="minorEastAsia" w:hAnsiTheme="minorEastAsia" w:eastAsiaTheme="minorEastAsia" w:cstheme="minorEastAsia"/>
          <w:sz w:val="28"/>
          <w:szCs w:val="28"/>
        </w:rPr>
      </w:pPr>
      <w:bookmarkStart w:id="5" w:name="_Toc230"/>
      <w:r>
        <w:rPr>
          <w:rFonts w:hint="eastAsia" w:asciiTheme="minorEastAsia" w:hAnsiTheme="minorEastAsia" w:eastAsiaTheme="minorEastAsia" w:cstheme="minorEastAsia"/>
          <w:sz w:val="28"/>
          <w:szCs w:val="28"/>
        </w:rPr>
        <w:t>第一节　股份发行</w:t>
      </w:r>
      <w:bookmarkEnd w:id="5"/>
    </w:p>
    <w:p w14:paraId="0A68C0E4">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公司的股份采取股票的形式。</w:t>
      </w:r>
    </w:p>
    <w:p w14:paraId="6FBCA81E">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公司股份的发行，实行公开、公平、公正的原则，同种类的每一股份应当具有同等权利。同次发行的同种类股票，每股的发行条件和价格应当相同；任何单位或者个人所认购的股份，每股应当支付相同价额。</w:t>
      </w:r>
    </w:p>
    <w:p w14:paraId="338A7711">
      <w:pPr>
        <w:numPr>
          <w:ilvl w:val="0"/>
          <w:numId w:val="1"/>
        </w:numPr>
        <w:tabs>
          <w:tab w:val="left" w:pos="0"/>
          <w:tab w:val="left" w:pos="1440"/>
          <w:tab w:val="left" w:pos="2040"/>
        </w:tabs>
        <w:spacing w:line="360" w:lineRule="auto"/>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公司发行的股票，以人民币标明面值，每股面值人民币1元。</w:t>
      </w:r>
    </w:p>
    <w:p w14:paraId="0633BD6F">
      <w:pPr>
        <w:numPr>
          <w:ilvl w:val="0"/>
          <w:numId w:val="1"/>
        </w:numPr>
        <w:tabs>
          <w:tab w:val="left" w:pos="0"/>
          <w:tab w:val="left" w:pos="1440"/>
          <w:tab w:val="left" w:pos="2040"/>
        </w:tabs>
        <w:spacing w:line="360" w:lineRule="auto"/>
        <w:ind w:left="0" w:firstLine="53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公司发行的股份，在中国证券登记结算有限责任公司深圳分公司集中存管。</w:t>
      </w:r>
    </w:p>
    <w:p w14:paraId="4C2DE072">
      <w:pPr>
        <w:numPr>
          <w:ilvl w:val="0"/>
          <w:numId w:val="1"/>
        </w:numPr>
        <w:tabs>
          <w:tab w:val="left" w:pos="0"/>
          <w:tab w:val="left" w:pos="1440"/>
          <w:tab w:val="left" w:pos="2040"/>
        </w:tabs>
        <w:spacing w:line="360" w:lineRule="auto"/>
        <w:ind w:left="0" w:firstLine="53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公司设立时各发起人及其持有的公司股份数额、比例情况如下：</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722"/>
        <w:gridCol w:w="1707"/>
        <w:gridCol w:w="1561"/>
        <w:gridCol w:w="1415"/>
        <w:gridCol w:w="1807"/>
      </w:tblGrid>
      <w:tr w14:paraId="0F1E8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shd w:val="clear" w:color="auto" w:fill="D8D8D8" w:themeFill="background1" w:themeFillShade="D9"/>
            <w:vAlign w:val="center"/>
          </w:tcPr>
          <w:p w14:paraId="6EE039B8">
            <w:pPr>
              <w:jc w:val="center"/>
              <w:rPr>
                <w:rFonts w:hint="eastAsia" w:asciiTheme="minorEastAsia" w:hAnsiTheme="minorEastAsia" w:eastAsiaTheme="minorEastAsia" w:cstheme="minorEastAsia"/>
                <w:b/>
                <w:caps/>
                <w:szCs w:val="21"/>
              </w:rPr>
            </w:pPr>
            <w:r>
              <w:rPr>
                <w:rFonts w:hint="eastAsia" w:asciiTheme="minorEastAsia" w:hAnsiTheme="minorEastAsia" w:eastAsiaTheme="minorEastAsia" w:cstheme="minorEastAsia"/>
                <w:b/>
                <w:caps/>
                <w:szCs w:val="21"/>
              </w:rPr>
              <w:t>序号</w:t>
            </w:r>
          </w:p>
        </w:tc>
        <w:tc>
          <w:tcPr>
            <w:tcW w:w="1381" w:type="pct"/>
            <w:shd w:val="clear" w:color="auto" w:fill="D8D8D8" w:themeFill="background1" w:themeFillShade="D9"/>
            <w:vAlign w:val="center"/>
          </w:tcPr>
          <w:p w14:paraId="2B13334B">
            <w:pPr>
              <w:widowControl/>
              <w:jc w:val="center"/>
              <w:rPr>
                <w:rFonts w:hint="eastAsia" w:asciiTheme="minorEastAsia" w:hAnsiTheme="minorEastAsia" w:eastAsiaTheme="minorEastAsia" w:cstheme="minorEastAsia"/>
                <w:b/>
                <w:caps/>
                <w:szCs w:val="21"/>
              </w:rPr>
            </w:pPr>
            <w:r>
              <w:rPr>
                <w:rFonts w:hint="eastAsia" w:asciiTheme="minorEastAsia" w:hAnsiTheme="minorEastAsia" w:eastAsiaTheme="minorEastAsia" w:cstheme="minorEastAsia"/>
                <w:b/>
                <w:caps/>
                <w:szCs w:val="21"/>
              </w:rPr>
              <w:t>发起人姓名/名称</w:t>
            </w:r>
          </w:p>
        </w:tc>
        <w:tc>
          <w:tcPr>
            <w:tcW w:w="866" w:type="pct"/>
            <w:shd w:val="clear" w:color="auto" w:fill="D8D8D8" w:themeFill="background1" w:themeFillShade="D9"/>
            <w:vAlign w:val="center"/>
          </w:tcPr>
          <w:p w14:paraId="1AA38A02">
            <w:pPr>
              <w:widowControl/>
              <w:jc w:val="center"/>
              <w:rPr>
                <w:rFonts w:hint="eastAsia" w:asciiTheme="minorEastAsia" w:hAnsiTheme="minorEastAsia" w:eastAsiaTheme="minorEastAsia" w:cstheme="minorEastAsia"/>
                <w:b/>
                <w:caps/>
                <w:szCs w:val="21"/>
              </w:rPr>
            </w:pPr>
            <w:r>
              <w:rPr>
                <w:rFonts w:hint="eastAsia" w:asciiTheme="minorEastAsia" w:hAnsiTheme="minorEastAsia" w:eastAsiaTheme="minorEastAsia" w:cstheme="minorEastAsia"/>
                <w:b/>
                <w:caps/>
                <w:szCs w:val="21"/>
              </w:rPr>
              <w:t>股份数额（股）</w:t>
            </w:r>
          </w:p>
        </w:tc>
        <w:tc>
          <w:tcPr>
            <w:tcW w:w="792" w:type="pct"/>
            <w:shd w:val="clear" w:color="auto" w:fill="D8D8D8" w:themeFill="background1" w:themeFillShade="D9"/>
            <w:vAlign w:val="center"/>
          </w:tcPr>
          <w:p w14:paraId="0EF22654">
            <w:pPr>
              <w:widowControl/>
              <w:jc w:val="center"/>
              <w:rPr>
                <w:rFonts w:hint="eastAsia" w:asciiTheme="minorEastAsia" w:hAnsiTheme="minorEastAsia" w:eastAsiaTheme="minorEastAsia" w:cstheme="minorEastAsia"/>
                <w:b/>
                <w:caps/>
                <w:szCs w:val="21"/>
              </w:rPr>
            </w:pPr>
            <w:r>
              <w:rPr>
                <w:rFonts w:hint="eastAsia" w:asciiTheme="minorEastAsia" w:hAnsiTheme="minorEastAsia" w:eastAsiaTheme="minorEastAsia" w:cstheme="minorEastAsia"/>
                <w:b/>
                <w:caps/>
                <w:szCs w:val="21"/>
              </w:rPr>
              <w:t>股份比例（%）</w:t>
            </w:r>
          </w:p>
        </w:tc>
        <w:tc>
          <w:tcPr>
            <w:tcW w:w="718" w:type="pct"/>
            <w:shd w:val="clear" w:color="auto" w:fill="D8D8D8" w:themeFill="background1" w:themeFillShade="D9"/>
            <w:vAlign w:val="center"/>
          </w:tcPr>
          <w:p w14:paraId="7AB50F72">
            <w:pPr>
              <w:widowControl/>
              <w:jc w:val="center"/>
              <w:rPr>
                <w:rFonts w:hint="eastAsia" w:asciiTheme="minorEastAsia" w:hAnsiTheme="minorEastAsia" w:eastAsiaTheme="minorEastAsia" w:cstheme="minorEastAsia"/>
                <w:b/>
                <w:caps/>
                <w:szCs w:val="21"/>
              </w:rPr>
            </w:pPr>
            <w:r>
              <w:rPr>
                <w:rFonts w:hint="eastAsia" w:asciiTheme="minorEastAsia" w:hAnsiTheme="minorEastAsia" w:eastAsiaTheme="minorEastAsia" w:cstheme="minorEastAsia"/>
                <w:b/>
                <w:caps/>
                <w:szCs w:val="21"/>
              </w:rPr>
              <w:t>出资方式</w:t>
            </w:r>
          </w:p>
        </w:tc>
        <w:tc>
          <w:tcPr>
            <w:tcW w:w="917" w:type="pct"/>
            <w:shd w:val="clear" w:color="auto" w:fill="D8D8D8" w:themeFill="background1" w:themeFillShade="D9"/>
            <w:vAlign w:val="center"/>
          </w:tcPr>
          <w:p w14:paraId="0C283241">
            <w:pPr>
              <w:widowControl/>
              <w:jc w:val="center"/>
              <w:rPr>
                <w:rFonts w:hint="eastAsia" w:asciiTheme="minorEastAsia" w:hAnsiTheme="minorEastAsia" w:eastAsiaTheme="minorEastAsia" w:cstheme="minorEastAsia"/>
                <w:b/>
                <w:caps/>
                <w:szCs w:val="21"/>
              </w:rPr>
            </w:pPr>
            <w:r>
              <w:rPr>
                <w:rFonts w:hint="eastAsia" w:asciiTheme="minorEastAsia" w:hAnsiTheme="minorEastAsia" w:eastAsiaTheme="minorEastAsia" w:cstheme="minorEastAsia"/>
                <w:b/>
                <w:caps/>
                <w:szCs w:val="21"/>
              </w:rPr>
              <w:t>出资时间</w:t>
            </w:r>
          </w:p>
        </w:tc>
      </w:tr>
      <w:tr w14:paraId="7B7DE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21E1C1C5">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1381" w:type="pct"/>
            <w:vAlign w:val="center"/>
          </w:tcPr>
          <w:p w14:paraId="6CD36C71">
            <w:pPr>
              <w:widowControl/>
              <w:jc w:val="lef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林明玲</w:t>
            </w:r>
          </w:p>
        </w:tc>
        <w:tc>
          <w:tcPr>
            <w:tcW w:w="866" w:type="pct"/>
            <w:vAlign w:val="center"/>
          </w:tcPr>
          <w:p w14:paraId="05F42F01">
            <w:pPr>
              <w:widowControl/>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10,441,600</w:t>
            </w:r>
          </w:p>
        </w:tc>
        <w:tc>
          <w:tcPr>
            <w:tcW w:w="792" w:type="pct"/>
            <w:vAlign w:val="center"/>
          </w:tcPr>
          <w:p w14:paraId="03BBE7E6">
            <w:pPr>
              <w:widowControl/>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46.80</w:t>
            </w:r>
          </w:p>
        </w:tc>
        <w:tc>
          <w:tcPr>
            <w:tcW w:w="718" w:type="pct"/>
            <w:vAlign w:val="center"/>
          </w:tcPr>
          <w:p w14:paraId="5ABC0E50">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净资产折股</w:t>
            </w:r>
          </w:p>
        </w:tc>
        <w:tc>
          <w:tcPr>
            <w:tcW w:w="917" w:type="pct"/>
            <w:vAlign w:val="center"/>
          </w:tcPr>
          <w:p w14:paraId="4EA18594">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7C1D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2969266B">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1381" w:type="pct"/>
            <w:vAlign w:val="center"/>
          </w:tcPr>
          <w:p w14:paraId="41F3A506">
            <w:pPr>
              <w:widowControl/>
              <w:jc w:val="lef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马学沛</w:t>
            </w:r>
          </w:p>
        </w:tc>
        <w:tc>
          <w:tcPr>
            <w:tcW w:w="866" w:type="pct"/>
            <w:vAlign w:val="center"/>
          </w:tcPr>
          <w:p w14:paraId="3B0E9BF7">
            <w:pPr>
              <w:widowControl/>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2,008,000</w:t>
            </w:r>
          </w:p>
        </w:tc>
        <w:tc>
          <w:tcPr>
            <w:tcW w:w="792" w:type="pct"/>
            <w:vAlign w:val="center"/>
          </w:tcPr>
          <w:p w14:paraId="3A8222D4">
            <w:pPr>
              <w:widowControl/>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9.00</w:t>
            </w:r>
          </w:p>
        </w:tc>
        <w:tc>
          <w:tcPr>
            <w:tcW w:w="718" w:type="pct"/>
            <w:vAlign w:val="center"/>
          </w:tcPr>
          <w:p w14:paraId="2D7EFF86">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净资产折股</w:t>
            </w:r>
          </w:p>
        </w:tc>
        <w:tc>
          <w:tcPr>
            <w:tcW w:w="917" w:type="pct"/>
            <w:vAlign w:val="center"/>
          </w:tcPr>
          <w:p w14:paraId="5FE18FE0">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46E7C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151F7018">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1381" w:type="pct"/>
            <w:vAlign w:val="center"/>
          </w:tcPr>
          <w:p w14:paraId="721C1212">
            <w:pPr>
              <w:widowControl/>
              <w:jc w:val="lef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张传庆</w:t>
            </w:r>
          </w:p>
        </w:tc>
        <w:tc>
          <w:tcPr>
            <w:tcW w:w="866" w:type="pct"/>
            <w:vAlign w:val="center"/>
          </w:tcPr>
          <w:p w14:paraId="39EE3613">
            <w:pPr>
              <w:widowControl/>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1,606,400</w:t>
            </w:r>
          </w:p>
        </w:tc>
        <w:tc>
          <w:tcPr>
            <w:tcW w:w="792" w:type="pct"/>
            <w:vAlign w:val="center"/>
          </w:tcPr>
          <w:p w14:paraId="029D425C">
            <w:pPr>
              <w:widowControl/>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7.20</w:t>
            </w:r>
          </w:p>
        </w:tc>
        <w:tc>
          <w:tcPr>
            <w:tcW w:w="718" w:type="pct"/>
            <w:vAlign w:val="center"/>
          </w:tcPr>
          <w:p w14:paraId="66077386">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净资产折股</w:t>
            </w:r>
          </w:p>
        </w:tc>
        <w:tc>
          <w:tcPr>
            <w:tcW w:w="917" w:type="pct"/>
            <w:vAlign w:val="center"/>
          </w:tcPr>
          <w:p w14:paraId="63823BF9">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701EB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45B22F62">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381" w:type="pct"/>
            <w:vAlign w:val="center"/>
          </w:tcPr>
          <w:p w14:paraId="5FD09D43">
            <w:pPr>
              <w:widowControl/>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广州奥邦投资咨询有限公司</w:t>
            </w:r>
          </w:p>
        </w:tc>
        <w:tc>
          <w:tcPr>
            <w:tcW w:w="866" w:type="pct"/>
            <w:vAlign w:val="center"/>
          </w:tcPr>
          <w:p w14:paraId="612E0B4C">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4,016,000</w:t>
            </w:r>
          </w:p>
        </w:tc>
        <w:tc>
          <w:tcPr>
            <w:tcW w:w="792" w:type="pct"/>
            <w:vAlign w:val="center"/>
          </w:tcPr>
          <w:p w14:paraId="3E745B65">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18.00</w:t>
            </w:r>
          </w:p>
        </w:tc>
        <w:tc>
          <w:tcPr>
            <w:tcW w:w="718" w:type="pct"/>
            <w:vAlign w:val="center"/>
          </w:tcPr>
          <w:p w14:paraId="10E3040A">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净资产折股</w:t>
            </w:r>
          </w:p>
        </w:tc>
        <w:tc>
          <w:tcPr>
            <w:tcW w:w="917" w:type="pct"/>
            <w:vAlign w:val="center"/>
          </w:tcPr>
          <w:p w14:paraId="3ACFC51C">
            <w:pPr>
              <w:widowControl/>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0DA0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6692A596">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1381" w:type="pct"/>
            <w:vAlign w:val="center"/>
          </w:tcPr>
          <w:p w14:paraId="22E7610F">
            <w:pPr>
              <w:widowControl/>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汕头市励志投资管理合伙企业（有限合伙）</w:t>
            </w:r>
          </w:p>
        </w:tc>
        <w:tc>
          <w:tcPr>
            <w:tcW w:w="866" w:type="pct"/>
            <w:vAlign w:val="center"/>
          </w:tcPr>
          <w:p w14:paraId="21832FB4">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2,008,000</w:t>
            </w:r>
          </w:p>
        </w:tc>
        <w:tc>
          <w:tcPr>
            <w:tcW w:w="792" w:type="pct"/>
            <w:vAlign w:val="center"/>
          </w:tcPr>
          <w:p w14:paraId="40C9C928">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9.00</w:t>
            </w:r>
          </w:p>
        </w:tc>
        <w:tc>
          <w:tcPr>
            <w:tcW w:w="718" w:type="pct"/>
            <w:vAlign w:val="center"/>
          </w:tcPr>
          <w:p w14:paraId="1836E94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净资产折股</w:t>
            </w:r>
          </w:p>
        </w:tc>
        <w:tc>
          <w:tcPr>
            <w:tcW w:w="917" w:type="pct"/>
            <w:vAlign w:val="center"/>
          </w:tcPr>
          <w:p w14:paraId="02D32233">
            <w:pPr>
              <w:widowControl/>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49FD0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5CF4441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1381" w:type="pct"/>
            <w:vAlign w:val="center"/>
          </w:tcPr>
          <w:p w14:paraId="21E496B3">
            <w:pPr>
              <w:widowControl/>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西藏思科瑞股权投资中心（有限合伙）</w:t>
            </w:r>
          </w:p>
        </w:tc>
        <w:tc>
          <w:tcPr>
            <w:tcW w:w="866" w:type="pct"/>
            <w:vAlign w:val="center"/>
          </w:tcPr>
          <w:p w14:paraId="597605ED">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1,434,286</w:t>
            </w:r>
          </w:p>
        </w:tc>
        <w:tc>
          <w:tcPr>
            <w:tcW w:w="792" w:type="pct"/>
            <w:vAlign w:val="center"/>
          </w:tcPr>
          <w:p w14:paraId="1FCE3815">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6.43</w:t>
            </w:r>
          </w:p>
        </w:tc>
        <w:tc>
          <w:tcPr>
            <w:tcW w:w="718" w:type="pct"/>
            <w:vAlign w:val="center"/>
          </w:tcPr>
          <w:p w14:paraId="454A2F15">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净资产折股</w:t>
            </w:r>
          </w:p>
        </w:tc>
        <w:tc>
          <w:tcPr>
            <w:tcW w:w="917" w:type="pct"/>
            <w:vAlign w:val="center"/>
          </w:tcPr>
          <w:p w14:paraId="6C27249F">
            <w:pPr>
              <w:widowControl/>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64064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6" w:type="pct"/>
            <w:vAlign w:val="center"/>
          </w:tcPr>
          <w:p w14:paraId="0C0DDF07">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c>
          <w:tcPr>
            <w:tcW w:w="1381" w:type="pct"/>
            <w:vAlign w:val="center"/>
          </w:tcPr>
          <w:p w14:paraId="0B31D3A8">
            <w:pPr>
              <w:widowControl/>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新疆融汇湘疆创业投资有限合伙企业</w:t>
            </w:r>
          </w:p>
        </w:tc>
        <w:tc>
          <w:tcPr>
            <w:tcW w:w="866" w:type="pct"/>
            <w:vAlign w:val="center"/>
          </w:tcPr>
          <w:p w14:paraId="11918BC8">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796,825</w:t>
            </w:r>
          </w:p>
        </w:tc>
        <w:tc>
          <w:tcPr>
            <w:tcW w:w="792" w:type="pct"/>
            <w:vAlign w:val="center"/>
          </w:tcPr>
          <w:p w14:paraId="17AC3088">
            <w:pPr>
              <w:widowControl/>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3.57</w:t>
            </w:r>
          </w:p>
        </w:tc>
        <w:tc>
          <w:tcPr>
            <w:tcW w:w="718" w:type="pct"/>
            <w:vAlign w:val="center"/>
          </w:tcPr>
          <w:p w14:paraId="43CE7FB6">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净资产折股</w:t>
            </w:r>
          </w:p>
        </w:tc>
        <w:tc>
          <w:tcPr>
            <w:tcW w:w="917" w:type="pct"/>
            <w:vAlign w:val="center"/>
          </w:tcPr>
          <w:p w14:paraId="19B291CF">
            <w:pPr>
              <w:widowControl/>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2015年8月28日</w:t>
            </w:r>
          </w:p>
        </w:tc>
      </w:tr>
      <w:tr w14:paraId="0BC7D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07" w:type="pct"/>
            <w:gridSpan w:val="2"/>
            <w:vAlign w:val="center"/>
          </w:tcPr>
          <w:p w14:paraId="60B931DD">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合计</w:t>
            </w:r>
          </w:p>
        </w:tc>
        <w:tc>
          <w:tcPr>
            <w:tcW w:w="866" w:type="pct"/>
            <w:vAlign w:val="center"/>
          </w:tcPr>
          <w:p w14:paraId="3BBAC606">
            <w:pPr>
              <w:widowControl/>
              <w:jc w:val="right"/>
              <w:textAlignment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22,311,111</w:t>
            </w:r>
          </w:p>
        </w:tc>
        <w:tc>
          <w:tcPr>
            <w:tcW w:w="792" w:type="pct"/>
            <w:vAlign w:val="center"/>
          </w:tcPr>
          <w:p w14:paraId="074BACC0">
            <w:pPr>
              <w:widowControl/>
              <w:jc w:val="right"/>
              <w:textAlignment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100.00</w:t>
            </w:r>
          </w:p>
        </w:tc>
        <w:tc>
          <w:tcPr>
            <w:tcW w:w="718" w:type="pct"/>
            <w:vAlign w:val="center"/>
          </w:tcPr>
          <w:p w14:paraId="7D2EE9AF">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w:t>
            </w:r>
          </w:p>
        </w:tc>
        <w:tc>
          <w:tcPr>
            <w:tcW w:w="917" w:type="pct"/>
          </w:tcPr>
          <w:p w14:paraId="2BD82A25">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w:t>
            </w:r>
          </w:p>
        </w:tc>
      </w:tr>
    </w:tbl>
    <w:p w14:paraId="3F6CEC9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i/>
          <w:szCs w:val="21"/>
        </w:rPr>
      </w:pPr>
      <w:r>
        <w:rPr>
          <w:rFonts w:hint="eastAsia" w:asciiTheme="minorEastAsia" w:hAnsiTheme="minorEastAsia" w:eastAsiaTheme="minorEastAsia" w:cstheme="minorEastAsia"/>
          <w:sz w:val="24"/>
        </w:rPr>
        <w:t>公司股份总数为6,710.88万股，均为普通股。</w:t>
      </w:r>
    </w:p>
    <w:p w14:paraId="482DA69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公司或公司的子公司（包括公司的附属企业）不以赠与、垫资、担保、补偿或贷款等形式，对购买或者拟购买公司股份的人提供任何资助。</w:t>
      </w:r>
    </w:p>
    <w:p w14:paraId="1A5D4FF1">
      <w:pPr>
        <w:pStyle w:val="31"/>
        <w:spacing w:before="360" w:after="360" w:line="500" w:lineRule="exact"/>
        <w:outlineLvl w:val="1"/>
        <w:rPr>
          <w:rFonts w:hint="eastAsia" w:asciiTheme="minorEastAsia" w:hAnsiTheme="minorEastAsia" w:eastAsiaTheme="minorEastAsia" w:cstheme="minorEastAsia"/>
          <w:sz w:val="28"/>
          <w:szCs w:val="28"/>
        </w:rPr>
      </w:pPr>
      <w:bookmarkStart w:id="6" w:name="_Toc26160"/>
      <w:r>
        <w:rPr>
          <w:rFonts w:hint="eastAsia" w:asciiTheme="minorEastAsia" w:hAnsiTheme="minorEastAsia" w:eastAsiaTheme="minorEastAsia" w:cstheme="minorEastAsia"/>
          <w:sz w:val="28"/>
          <w:szCs w:val="28"/>
        </w:rPr>
        <w:t>第二节　股份增减和回购</w:t>
      </w:r>
      <w:bookmarkEnd w:id="6"/>
    </w:p>
    <w:p w14:paraId="08D09CE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公司根据经营和发展的需要，依照法律、行政法规的规定，经股东会分别作出决议，可以采用下列方式增加资本： </w:t>
      </w:r>
    </w:p>
    <w:p w14:paraId="4620274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（一）公开发行股份；</w:t>
      </w:r>
    </w:p>
    <w:p w14:paraId="5A8FB51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（二）非公开发行股份；</w:t>
      </w:r>
    </w:p>
    <w:p w14:paraId="56224B0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（三）向现有股东派送红股；</w:t>
      </w:r>
    </w:p>
    <w:p w14:paraId="7CA637E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（四）以公积金转增股本；</w:t>
      </w:r>
    </w:p>
    <w:p w14:paraId="0FBC186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（五）法律、行政法规规定以及政府有权机关批准的其他方式。</w:t>
      </w:r>
    </w:p>
    <w:p w14:paraId="3E01D05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公司可以减少注册资本。公司减少注册资本，应当按照《公司法》以及其他有关规定和本章程规定的程序办理。</w:t>
      </w:r>
    </w:p>
    <w:p w14:paraId="66A32D3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公司在下列情况下，可以依照法律、行政法规、部门规章和本章程的规定，收购本公司的股份：</w:t>
      </w:r>
    </w:p>
    <w:p w14:paraId="1D098D7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（一）减少公司注册资本；</w:t>
      </w:r>
    </w:p>
    <w:p w14:paraId="7DC76F1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（二）与持有本公司股份的其他公司合并；</w:t>
      </w:r>
    </w:p>
    <w:p w14:paraId="6350E3B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（三）将股份用于员工持股计划或者股权激励；</w:t>
      </w:r>
    </w:p>
    <w:p w14:paraId="4E2CF88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（四）股东因对股东会作出的公司合并、分立决议持异议，要求公司收购其股份；</w:t>
      </w:r>
    </w:p>
    <w:p w14:paraId="734895B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（五）将股份用于转换上市公司发行的可转换为股票的公司债券；</w:t>
      </w:r>
    </w:p>
    <w:p w14:paraId="7FEA6CA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（六）上市公司为维护公司价值及股东权益所必需。</w:t>
      </w:r>
    </w:p>
    <w:p w14:paraId="2E46729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除上述情形外，公司不得收购本公司股份。</w:t>
      </w:r>
    </w:p>
    <w:p w14:paraId="5FA7AD47">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公司收购本公司股份，可以通过公开的集中交易方式，或者法</w:t>
      </w:r>
      <w:r>
        <w:rPr>
          <w:rFonts w:hint="eastAsia" w:asciiTheme="minorEastAsia" w:hAnsiTheme="minorEastAsia" w:eastAsiaTheme="minorEastAsia" w:cstheme="minorEastAsia"/>
          <w:b w:val="0"/>
          <w:bCs w:val="0"/>
          <w:sz w:val="24"/>
        </w:rPr>
        <w:t>律、行政法</w:t>
      </w:r>
      <w:r>
        <w:rPr>
          <w:rFonts w:hint="eastAsia" w:asciiTheme="minorEastAsia" w:hAnsiTheme="minorEastAsia" w:eastAsiaTheme="minorEastAsia" w:cstheme="minorEastAsia"/>
          <w:sz w:val="24"/>
        </w:rPr>
        <w:t>规和中国证监会认可的其他方式进行。</w:t>
      </w:r>
    </w:p>
    <w:p w14:paraId="16C1002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公司因本章程第二十四条第一款第（三）项、第（五）项、第（六）项规定的情形收购本公司股份的，应当通过公开的集中交易方式进行。</w:t>
      </w:r>
    </w:p>
    <w:p w14:paraId="7BC4D8B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因本章程第二十四条第一款第（一）项、第（二）项的原因收购本公司股份的，应当经股东会决议；公司因本章程第二十四条第一款第（三）项、第（五）项、第（六）项规定的情形收购本公司股份的，应当经三分之二以上董事出席的董事会会议决议。</w:t>
      </w:r>
    </w:p>
    <w:p w14:paraId="06A43FC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公司依照</w:t>
      </w:r>
      <w:bookmarkStart w:id="7" w:name="_Hlk6769540"/>
      <w:r>
        <w:rPr>
          <w:rFonts w:hint="eastAsia" w:asciiTheme="minorEastAsia" w:hAnsiTheme="minorEastAsia" w:eastAsiaTheme="minorEastAsia" w:cstheme="minorEastAsia"/>
          <w:sz w:val="24"/>
        </w:rPr>
        <w:t>本章程第二十四条</w:t>
      </w:r>
      <w:bookmarkEnd w:id="7"/>
      <w:r>
        <w:rPr>
          <w:rFonts w:hint="eastAsia" w:asciiTheme="minorEastAsia" w:hAnsiTheme="minorEastAsia" w:eastAsiaTheme="minorEastAsia" w:cstheme="minorEastAsia"/>
          <w:sz w:val="24"/>
        </w:rPr>
        <w:t>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额的10%，并应当在三年内转让或者注销。</w:t>
      </w:r>
    </w:p>
    <w:p w14:paraId="55675B1C">
      <w:pPr>
        <w:pStyle w:val="31"/>
        <w:spacing w:before="360" w:after="360" w:line="500" w:lineRule="exact"/>
        <w:outlineLvl w:val="1"/>
        <w:rPr>
          <w:rFonts w:hint="eastAsia" w:asciiTheme="minorEastAsia" w:hAnsiTheme="minorEastAsia" w:eastAsiaTheme="minorEastAsia" w:cstheme="minorEastAsia"/>
          <w:sz w:val="28"/>
          <w:szCs w:val="28"/>
        </w:rPr>
      </w:pPr>
      <w:bookmarkStart w:id="8" w:name="_Toc14035"/>
      <w:r>
        <w:rPr>
          <w:rFonts w:hint="eastAsia" w:asciiTheme="minorEastAsia" w:hAnsiTheme="minorEastAsia" w:eastAsiaTheme="minorEastAsia" w:cstheme="minorEastAsia"/>
          <w:sz w:val="28"/>
          <w:szCs w:val="28"/>
        </w:rPr>
        <w:t>第三节　股份转让</w:t>
      </w:r>
      <w:bookmarkEnd w:id="8"/>
    </w:p>
    <w:p w14:paraId="791F2127">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公司的股份可以依法转让，《公司法》和其他规范性文件以及本章程另有规定的除外。</w:t>
      </w:r>
    </w:p>
    <w:p w14:paraId="3A47C92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公司不接受以本公司的股票作为质押权的标的。</w:t>
      </w:r>
    </w:p>
    <w:p w14:paraId="6EFCE44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发起人持有的本公司股份，自公司成立之日起一年内不得转让。公司公开发行股份前已发行的股份，自公司股票在证券交易所上市交易之日起一年内不得转让。</w:t>
      </w:r>
    </w:p>
    <w:p w14:paraId="2DB5750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 w:val="0"/>
          <w:bCs w:val="0"/>
          <w:sz w:val="24"/>
        </w:rPr>
        <w:t>公司董事、监事、高级管理人员应当向公司申报所持有的本公司的股份及其变动情况，在其就任时确定的任期内和任期届满后六个月内，每年转让的股份不得超过其所持有本公司股份总数的25%，因司法强制执行、继承、遗赠、依法分割财产导致股份变动的除外；</w:t>
      </w:r>
      <w:r>
        <w:rPr>
          <w:rFonts w:hint="eastAsia" w:asciiTheme="minorEastAsia" w:hAnsiTheme="minorEastAsia" w:eastAsiaTheme="minorEastAsia" w:cstheme="minorEastAsia"/>
          <w:sz w:val="24"/>
        </w:rPr>
        <w:t>所持本公司股份自公司股票上市交易之日起一年内不得转让。上述人员离职后半年内，不得转让其所持有的本公司的股份。</w:t>
      </w:r>
    </w:p>
    <w:p w14:paraId="4FFC8D8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监事、高级管理人员、持有本公司股份5%以上的股东，将其持有的本公司股票或者其他具有股权性质的证券在买入后六个月内卖出，或者在卖出后六个月内又买入，由此所得收益归本公司所有，本公司董事会将收回其所得收益。但是，证券公司因包销购入售后剩余股票而持有5%以上股份的，以及有中国证监会规定的其他情形的除外。</w:t>
      </w:r>
    </w:p>
    <w:p w14:paraId="1AF7D3B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前款所称董事、监事、高级管理人员、自然人股东持有的股票或者其他具有股权性质的证券，包括其配偶、父母、子女持有的及利用他人账户持有的股票或者其他具有股权性质的证券。</w:t>
      </w:r>
    </w:p>
    <w:p w14:paraId="26CF58E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公司董事会不按照前款规定执行的，股东有权要求董事会在三十日内执行。公司董事会未在上述期限内执行的，股东有权为了公司的利益以自己的名义直接向人民法院提起诉讼。</w:t>
      </w:r>
    </w:p>
    <w:p w14:paraId="6F1885E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公司董事会不按照第一款的规定执行的，负有责任的董事依法承担连带责任。</w:t>
      </w:r>
    </w:p>
    <w:p w14:paraId="5F37BFA4">
      <w:pPr>
        <w:pStyle w:val="33"/>
        <w:spacing w:before="360" w:after="360" w:line="500" w:lineRule="exact"/>
        <w:outlineLvl w:val="0"/>
        <w:rPr>
          <w:rFonts w:hint="eastAsia" w:asciiTheme="minorEastAsia" w:hAnsiTheme="minorEastAsia" w:eastAsiaTheme="minorEastAsia" w:cstheme="minorEastAsia"/>
          <w:b/>
          <w:sz w:val="32"/>
          <w:szCs w:val="32"/>
        </w:rPr>
      </w:pPr>
      <w:bookmarkStart w:id="9" w:name="_Toc6555"/>
      <w:r>
        <w:rPr>
          <w:rFonts w:hint="eastAsia" w:asciiTheme="minorEastAsia" w:hAnsiTheme="minorEastAsia" w:eastAsiaTheme="minorEastAsia" w:cstheme="minorEastAsia"/>
          <w:b/>
          <w:sz w:val="32"/>
          <w:szCs w:val="32"/>
        </w:rPr>
        <w:t>第四章　股东和股东会</w:t>
      </w:r>
      <w:bookmarkEnd w:id="9"/>
    </w:p>
    <w:p w14:paraId="78BFE3BF">
      <w:pPr>
        <w:pStyle w:val="31"/>
        <w:spacing w:before="360" w:after="360" w:line="500" w:lineRule="exact"/>
        <w:outlineLvl w:val="1"/>
        <w:rPr>
          <w:rFonts w:hint="eastAsia" w:asciiTheme="minorEastAsia" w:hAnsiTheme="minorEastAsia" w:eastAsiaTheme="minorEastAsia" w:cstheme="minorEastAsia"/>
          <w:sz w:val="28"/>
          <w:szCs w:val="28"/>
        </w:rPr>
      </w:pPr>
      <w:bookmarkStart w:id="10" w:name="_Toc12449"/>
      <w:r>
        <w:rPr>
          <w:rFonts w:hint="eastAsia" w:asciiTheme="minorEastAsia" w:hAnsiTheme="minorEastAsia" w:eastAsiaTheme="minorEastAsia" w:cstheme="minorEastAsia"/>
          <w:sz w:val="28"/>
          <w:szCs w:val="28"/>
        </w:rPr>
        <w:t>第一节　股东</w:t>
      </w:r>
      <w:bookmarkEnd w:id="10"/>
    </w:p>
    <w:p w14:paraId="7491092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公司依据证券登记机构提供的凭证建立股东名册，股东名册是证明股东持有公司股份的充分证据。股东按其所持有股份的种类享有权利，承担义务；持有同一种类股份的股东，享有同等权利，承担同种义务。</w:t>
      </w:r>
    </w:p>
    <w:p w14:paraId="7B19E7A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公司召开股东会、分配股利、清算及从事其他需要确认股东身份的行为时，由董事会或股东会召集人确定股权登记日，股权登记日收市后登记在册的股东为享有相关权益的股东。</w:t>
      </w:r>
    </w:p>
    <w:p w14:paraId="2BD9BA1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公司股东享有下列权利：</w:t>
      </w:r>
    </w:p>
    <w:p w14:paraId="5AC4703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（一）依照其所持有的股份份额获得股利和其他形式的利益分配；</w:t>
      </w:r>
    </w:p>
    <w:p w14:paraId="3D1133B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（二）依法请求、召集、主持、参加或者委派股东代理人参加股东会，并行使相应的表决权；</w:t>
      </w:r>
    </w:p>
    <w:p w14:paraId="57F8B4A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（三）对公司的经营进行监督，提出建议或者质询；</w:t>
      </w:r>
    </w:p>
    <w:p w14:paraId="7B36B8E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（四）依照法律、行政法规及本章程的规定转让、赠与或质押其所持有的股份；</w:t>
      </w:r>
    </w:p>
    <w:p w14:paraId="7D60D1D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（五）查阅、复制本章程、股东名册、股东会会议记录、董事会会议决议、监事会会议决议、财务会计报告；</w:t>
      </w:r>
    </w:p>
    <w:p w14:paraId="065EB6B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（六）公司终止或者清算时，按其所持有的股份份额参加公司剩余财产的分配；</w:t>
      </w:r>
    </w:p>
    <w:p w14:paraId="7A94585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（七）对股东会作出的公司合并、分立决议持异议的股东，要求公司收购其股份；</w:t>
      </w:r>
    </w:p>
    <w:p w14:paraId="280D842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（八）法律、行政法规、部门规章或本章程规定的其他权利。</w:t>
      </w:r>
    </w:p>
    <w:p w14:paraId="2993ACE7">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股东提出查阅前条所述有关信息或者索取资料的，应当向公司提供证明其持有公司股份的种类以及持股数量的书面文件，公司经核实股东身份后按照股东的要求予以提供。</w:t>
      </w:r>
    </w:p>
    <w:p w14:paraId="215CE08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公司股东会、董事会决议内容违反法律、行政法规的，股东有权请求人民法院认定无效。</w:t>
      </w:r>
    </w:p>
    <w:p w14:paraId="031D6C6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股东会、董事会的会议召集程序、表决方式违反法律、行政法规或者本章程，或者决议内容违反本章程的，股东有权自决议作出之日起六十日内，请求人民法院撤销。</w:t>
      </w:r>
    </w:p>
    <w:p w14:paraId="1AD3DC4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高级管理人员执行公司职务时违反法律、行政法规或者本章程的规定，给公司造成损失的，连续一百八十日以上单独或合并持有公司百分之一以上股份的股东有权书面请求监事会向人民法院提起诉讼；监事会执行公司职务时违反法律、行政法规或者本章程的规定，给公司造成损失的，股东可以书面请求董事会向人民法院提起诉讼。</w:t>
      </w:r>
    </w:p>
    <w:p w14:paraId="4CB70A4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董事会收到前款规定的股东书面请求后拒绝提起诉讼，或者自收到请求之日起三十日内未提起诉讼，或者情况紧急、不立即提起诉讼将会使公司利益受到难以弥补的损害的，前款规定的股东有权为了公司的利益以自己的名义直接向人民法院提起诉讼。</w:t>
      </w:r>
    </w:p>
    <w:p w14:paraId="25123F4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他人侵犯公司合法权益，给公司造成损失的，本条第一款规定的股东可以依照前两款的规定向人民法院提起诉讼。</w:t>
      </w:r>
    </w:p>
    <w:p w14:paraId="481164F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董事、高级管理人员违反法律、行政法规或者本章程的规定，损害股东利益的，股东可以向人民法院提起诉讼。</w:t>
      </w:r>
    </w:p>
    <w:p w14:paraId="5E5A8AE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公司股东承担下列义务：</w:t>
      </w:r>
    </w:p>
    <w:p w14:paraId="52909F5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（一）遵守法律、行政法规和本章程；</w:t>
      </w:r>
    </w:p>
    <w:p w14:paraId="113D55A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（二）依其所认购的股份和入股方式缴纳股金，并依其所认购的股份承担公司的亏损及债务，但以其所认购的股份为限；</w:t>
      </w:r>
    </w:p>
    <w:p w14:paraId="790C807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（三）除法律、法规规定的情形外，不得退股；</w:t>
      </w:r>
    </w:p>
    <w:p w14:paraId="6FAA803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（四）不得滥用股东权利损害公司或者其他股东的利益；不得滥用公司法人独立地位和股东有限责任损害公司债权人的利益；公司股东滥用股东权利给公司或者其他股东造成损失的，应当依法承担赔偿责任。</w:t>
      </w:r>
    </w:p>
    <w:p w14:paraId="7B06D15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公司股东滥用公司法人独立地位和股东有限责任，逃避债务，严重损害公司债权人利益的，应当对公司债务承担连带责任。</w:t>
      </w:r>
    </w:p>
    <w:p w14:paraId="4F9907F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（五）法律、行政法规及本章程规定应当承担的其他义务。</w:t>
      </w:r>
    </w:p>
    <w:p w14:paraId="3CD2513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持有公司5%以上有表决权股份的股东，将其持有的股份进行质押的，应当自该事实发生当日，向公司作出书面报告。</w:t>
      </w:r>
    </w:p>
    <w:p w14:paraId="6B835CD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公司的控股股东、实际控制人不得利用其关联关系损害公司利益。违反规定给公司造成损失的，应当承担赔偿责任。</w:t>
      </w:r>
    </w:p>
    <w:p w14:paraId="07E0CF3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控股股东及实际控制人对公司和公司其他股东负有诚信义务。控股股东应严格依法行使出资人的权利，控股股东不得利用利润分配、资产重组、对外投资、资金占用、借款担保等方式损害公司和公司其他股东的合法权益，不得利用其控制地位损害公司和公司其他股东的利益。</w:t>
      </w:r>
    </w:p>
    <w:p w14:paraId="1F7827CB">
      <w:pPr>
        <w:pStyle w:val="31"/>
        <w:spacing w:before="360" w:after="360" w:line="500" w:lineRule="exact"/>
        <w:outlineLvl w:val="1"/>
        <w:rPr>
          <w:rFonts w:hint="eastAsia" w:asciiTheme="minorEastAsia" w:hAnsiTheme="minorEastAsia" w:eastAsiaTheme="minorEastAsia" w:cstheme="minorEastAsia"/>
          <w:sz w:val="28"/>
          <w:szCs w:val="28"/>
        </w:rPr>
      </w:pPr>
      <w:bookmarkStart w:id="11" w:name="_Toc13604"/>
      <w:r>
        <w:rPr>
          <w:rFonts w:hint="eastAsia" w:asciiTheme="minorEastAsia" w:hAnsiTheme="minorEastAsia" w:eastAsiaTheme="minorEastAsia" w:cstheme="minorEastAsia"/>
          <w:sz w:val="28"/>
          <w:szCs w:val="28"/>
        </w:rPr>
        <w:t>第二节　股东会的一般规定</w:t>
      </w:r>
      <w:bookmarkEnd w:id="11"/>
    </w:p>
    <w:p w14:paraId="5F9B4AB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股东会是公司的权力机构，依法行使下列职权：</w:t>
      </w:r>
    </w:p>
    <w:p w14:paraId="638F5D7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（一）决定公司的经营方针和投资计划；</w:t>
      </w:r>
    </w:p>
    <w:p w14:paraId="0E01CDD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（二）选举和更换非由职工代表担任的董事、监事，决定有关董事、监事的报酬事项；</w:t>
      </w:r>
    </w:p>
    <w:p w14:paraId="7643682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（三）审议批准董事会的报告；</w:t>
      </w:r>
    </w:p>
    <w:p w14:paraId="12FEB9D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（四）审议批准监事会的报告；</w:t>
      </w:r>
    </w:p>
    <w:p w14:paraId="512B5C4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（五）审议批准公司的年度财务预算方案、决算方案；</w:t>
      </w:r>
    </w:p>
    <w:p w14:paraId="077F98A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（六）审议批准公司的利润分配方案和弥补亏损方案；</w:t>
      </w:r>
    </w:p>
    <w:p w14:paraId="450F695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（七）对公司增加或者减少注册资本作出决议；</w:t>
      </w:r>
    </w:p>
    <w:p w14:paraId="7B48734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（八）对发行公司债券作出决议；</w:t>
      </w:r>
    </w:p>
    <w:p w14:paraId="257AB09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（九）对公司合并、分立、解散、清算或者变更公司形式作出决议；</w:t>
      </w:r>
    </w:p>
    <w:p w14:paraId="6ED4CC2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（十）修改本章程；</w:t>
      </w:r>
    </w:p>
    <w:p w14:paraId="74A891F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（十一）对公司聘用、解聘会计师事务所作出决议；</w:t>
      </w:r>
    </w:p>
    <w:p w14:paraId="01F57C2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（十二）审议批准本章程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_Ref422062556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第四十二条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规定的交易事项；</w:t>
      </w:r>
    </w:p>
    <w:p w14:paraId="41A833D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（十三）审议批准本章程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_Ref422062602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第四十三条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规定的担保、财务资助事项；</w:t>
      </w:r>
    </w:p>
    <w:p w14:paraId="6CD992E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（十四）审议公司在一年内购买、出售重大资产超过公司最近一期经审计总资产30%的事项；</w:t>
      </w:r>
    </w:p>
    <w:p w14:paraId="71E48F1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（十五）审议批准公司与关联方发生的交易（公司获赠现金资产和提供担保除外）金额在人民币3,000万元以上且占公司最近一期经审计净资产绝对值5%以上的关联交易事项；</w:t>
      </w:r>
    </w:p>
    <w:p w14:paraId="6851440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（十六）审议批准变更募集资金用途事项；</w:t>
      </w:r>
    </w:p>
    <w:p w14:paraId="10ABE46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（十七）审议股权激励计划；</w:t>
      </w:r>
    </w:p>
    <w:p w14:paraId="2D66738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（十八）审议法律、行政法规、部门规章或本章程规定应当由股东会决定的其他事项。</w:t>
      </w:r>
    </w:p>
    <w:p w14:paraId="4E69C9C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上述股东会的职权不得通过授权的形式由董事会或其他机构和个人代为行使。</w:t>
      </w:r>
    </w:p>
    <w:p w14:paraId="4B6F57D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12" w:name="_Ref422062556"/>
      <w:r>
        <w:rPr>
          <w:rFonts w:hint="eastAsia" w:asciiTheme="minorEastAsia" w:hAnsiTheme="minorEastAsia" w:eastAsiaTheme="minorEastAsia" w:cstheme="minorEastAsia"/>
          <w:sz w:val="24"/>
        </w:rPr>
        <w:t>公司发生的交易（提供担保、提供财务资助除外）达到下列标准之一的</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 w:val="24"/>
        </w:rPr>
        <w:t>须经股东会审议通过（本条下述指标计算中涉及的数据如为负值，取其绝对值为计算数据）：</w:t>
      </w:r>
      <w:bookmarkEnd w:id="12"/>
    </w:p>
    <w:p w14:paraId="0989F74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（一）交易涉及的资产总额占公司最近一期经审计总资产的50%以上，该交易涉及的资产总额同时存在账面值和评估值的，以较高者作为计算数据；</w:t>
      </w:r>
    </w:p>
    <w:p w14:paraId="0CE0114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（二）交易标的（如股权）在最近一个会计年度相关的营业收入占公司最近一个会计年度经审计营业收入的50%以上，且绝对金额超过人民币5,000万元；</w:t>
      </w:r>
    </w:p>
    <w:p w14:paraId="0B04546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（三）交易标的（如股权）在最近一个会计年度相关的净利润占公司最近一个会计年度经审计净利润的50%以上，且绝对金额超过500万元；</w:t>
      </w:r>
    </w:p>
    <w:p w14:paraId="4027757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（四）交易的成交金额（含承担债务和费用）占公司最近一期经审计净资产的50%以上，且绝对金额超过5,000万元；</w:t>
      </w:r>
    </w:p>
    <w:p w14:paraId="44D26C5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（五）交易产生的利润占公司最近一个会计年度经审计净利润的50%以上，且绝对金额超过500万元；</w:t>
      </w:r>
    </w:p>
    <w:p w14:paraId="57920C3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公司发生本条第三款第一项“购买或者出售资产”交易时，资产总额或成交总额（取高者）经累计计算在连续十二个月内达到最近一期经审计总资产30%的，提请股东会审议时须经出席会议股东所持表决权的三分之二以上通过。</w:t>
      </w:r>
    </w:p>
    <w:p w14:paraId="18EC251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公司在十二个月内发生的交易标的相关的同类交易，按照累计计算的原则适用本条第一款的规定；已按照本条第一款规定履行相关义务的，不再纳入相关的累计计算范围。</w:t>
      </w:r>
    </w:p>
    <w:p w14:paraId="689EB71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公司单方面获得利益的交易，包括受赠现金资产、获得债务减免等，可免于按照上述规定履行股东会审议程序。</w:t>
      </w:r>
    </w:p>
    <w:p w14:paraId="36581EF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本条所称“交易”系指下列事项：</w:t>
      </w:r>
    </w:p>
    <w:p w14:paraId="6DA9301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（一）购买或者出售资产；</w:t>
      </w:r>
    </w:p>
    <w:p w14:paraId="0EA5CE7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（二）对外投资（含委托理财，对子公司投资等，设立或增资全资子公司除外）；</w:t>
      </w:r>
    </w:p>
    <w:p w14:paraId="09EDD65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（三）提供财务资助（含委托贷款）；</w:t>
      </w:r>
    </w:p>
    <w:p w14:paraId="044482C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（四）提供担保（指公司为他人提供的担保，含对子公司的担保）；</w:t>
      </w:r>
    </w:p>
    <w:p w14:paraId="535AB8F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（五）租入或者租出资产；</w:t>
      </w:r>
    </w:p>
    <w:p w14:paraId="5A774C1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（六）签订管理方面的合同（含委托经营、受托经营等）；</w:t>
      </w:r>
    </w:p>
    <w:p w14:paraId="2DAF4FE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（七）赠与或者受赠资产；</w:t>
      </w:r>
    </w:p>
    <w:p w14:paraId="3998E4D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（八）债权或者债务重组；</w:t>
      </w:r>
    </w:p>
    <w:p w14:paraId="39903EC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（九）研究与开发项目的转移；</w:t>
      </w:r>
    </w:p>
    <w:p w14:paraId="6DC66D3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（十）签订许可协议；</w:t>
      </w:r>
    </w:p>
    <w:p w14:paraId="7058543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（十一）放弃权利（含放弃优先购买权、优先认缴出资权利等）；</w:t>
      </w:r>
    </w:p>
    <w:p w14:paraId="07A359E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（十二）其他法律、行政法规规范性文件规定、本章程或公司股东会认定的其他交易。</w:t>
      </w:r>
    </w:p>
    <w:p w14:paraId="6A9AAB6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公司下列活动不属于前款规定的事项：</w:t>
      </w:r>
    </w:p>
    <w:p w14:paraId="2F7D828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（一）购买与日常经营相关的原材料、燃料和动力（不含资产置换中涉及购买、出售此类资产）；</w:t>
      </w:r>
    </w:p>
    <w:p w14:paraId="37833C3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（二）出售产品、商品等与日常经营相关的资产（不含资产置换中涉及购买、出售此类资产）；</w:t>
      </w:r>
    </w:p>
    <w:p w14:paraId="4DC012A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（三）虽进行前款规定的交易事项但属于公司的主营业务活动。</w:t>
      </w:r>
    </w:p>
    <w:p w14:paraId="4FADBCB2">
      <w:pPr>
        <w:spacing w:line="500" w:lineRule="exact"/>
        <w:ind w:firstLine="480" w:firstLineChars="200"/>
        <w:rPr>
          <w:rFonts w:hint="eastAsia" w:asciiTheme="minorEastAsia" w:hAnsiTheme="minorEastAsia" w:eastAsiaTheme="minorEastAsia" w:cstheme="minorEastAsia"/>
          <w:sz w:val="24"/>
        </w:rPr>
      </w:pPr>
    </w:p>
    <w:p w14:paraId="20BC0AD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13" w:name="_Ref422062602"/>
      <w:r>
        <w:rPr>
          <w:rFonts w:hint="eastAsia" w:asciiTheme="minorEastAsia" w:hAnsiTheme="minorEastAsia" w:eastAsiaTheme="minorEastAsia" w:cstheme="minorEastAsia"/>
          <w:sz w:val="24"/>
        </w:rPr>
        <w:t>未经董事会或股东会批准，公司不得对外提供担保。</w:t>
      </w:r>
      <w:bookmarkEnd w:id="13"/>
    </w:p>
    <w:p w14:paraId="68F8CED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公司下列对外担保行为，还应当在董事会审议通过后提交股东会审议：</w:t>
      </w:r>
    </w:p>
    <w:p w14:paraId="2C240E2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（一）公司及公司控股子公司的对外担保总额，超过最近一期经审计净资产的50%以后提供的任何担保；</w:t>
      </w:r>
    </w:p>
    <w:p w14:paraId="7E3FFEA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（二）公司的对外担保总额，达到或超过最近一期经审计总资产的30%以后提供的任何担保；</w:t>
      </w:r>
    </w:p>
    <w:p w14:paraId="7818481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（三）为资产负债率超过70%的担保对象提供的担保；</w:t>
      </w:r>
    </w:p>
    <w:p w14:paraId="56939AD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（四）单笔担保额超过最近一期经审计净资产10%的担保；</w:t>
      </w:r>
    </w:p>
    <w:p w14:paraId="77A6F76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（五）连续十二个月内担保金额超过公司最近一期经审计总资产的30%；</w:t>
      </w:r>
    </w:p>
    <w:p w14:paraId="5B6DFC1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（六）连续十二个月内担保金额超过公司最近一期经审计净资产的50%且绝</w:t>
      </w:r>
      <w:r>
        <w:rPr>
          <w:rFonts w:hint="eastAsia" w:asciiTheme="minorEastAsia" w:hAnsiTheme="minorEastAsia" w:eastAsiaTheme="minorEastAsia" w:cstheme="minorEastAsia"/>
          <w:kern w:val="0"/>
          <w:sz w:val="24"/>
        </w:rPr>
        <w:t>对金额超过5,000万元；</w:t>
      </w:r>
    </w:p>
    <w:p w14:paraId="256CD7E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（七）对股东、实际控制人及其关联方提供的担保；</w:t>
      </w:r>
    </w:p>
    <w:p w14:paraId="1004AF2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（八）深交所或者公司章程规定的其他担保情形。</w:t>
      </w:r>
    </w:p>
    <w:p w14:paraId="5BA3485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董事会审议担保事项时，必须经出席董事会会议的三分之二以上董事审议同意。股东会审议前款第（五）项担保事项时，必须经出席会议的股东所持表决权的三分之二以上通过。</w:t>
      </w:r>
    </w:p>
    <w:p w14:paraId="221B8E9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股东会在审议为股东、实际控制人及其关联人提供的担保议案时，该股东或者受该实际控制人支配的股东，不得参与该项表决，该项表决由出席股东会的其他股东所持表决权的半数以上通过。</w:t>
      </w:r>
    </w:p>
    <w:p w14:paraId="3229BC1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公司提供财务资助，应当经出席董事会会议的三分之二以上董事同意并作出决议。财务资助事项属于下列情形之一的，应当在董事会审议通过后提交股东会审议：</w:t>
      </w:r>
    </w:p>
    <w:p w14:paraId="52A49EA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（一）被资助对象最近一期经审计的资产负债率超过70%；</w:t>
      </w:r>
    </w:p>
    <w:p w14:paraId="671C82F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（二）单次财务资助金额或者连续十二个月内提供财务资助累计发生金额超过公司最近一期经审计净资产的10%；</w:t>
      </w:r>
    </w:p>
    <w:p w14:paraId="4BD968B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（三）深交所或者公司章程规定的其他情形。</w:t>
      </w:r>
    </w:p>
    <w:p w14:paraId="38E8CE3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资助对象为公司合并报表范围内且持股比例超过50%的控股子公司，免于适用上述规定。</w:t>
      </w:r>
    </w:p>
    <w:p w14:paraId="163943C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与关联人发生的交易（提供担保除外）金额在3,000万元以上，且占公司最近一期经审计净资产绝对值5％以上的关联交易，除应当及时披露外，还应当聘请符合《证券法》规定的证券服务机构，对交易标的进行评估或审计，并将该交易提交股东会审议。</w:t>
      </w:r>
    </w:p>
    <w:p w14:paraId="2DE9900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与公司日常经营相关的关联交易所涉及的交易标的，可以不进行审计或者评估。</w:t>
      </w:r>
    </w:p>
    <w:p w14:paraId="00C3C48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股东会分为年度股东会和临时股东会。年度股东会每年召开一次，应当于上一会计年度结束后的六个月内举行。</w:t>
      </w:r>
    </w:p>
    <w:p w14:paraId="7156A3E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有下列情形之一的，公司在事实发生之日起二个月以内召开临时股东会：</w:t>
      </w:r>
    </w:p>
    <w:p w14:paraId="23DA348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（一）董事人数不足《公司法》规定人数或者本章程所定人数的三分之二时；</w:t>
      </w:r>
    </w:p>
    <w:p w14:paraId="051ED89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（二）公司未弥补的亏损达股本总额三分之一时；</w:t>
      </w:r>
    </w:p>
    <w:p w14:paraId="0B69059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（三）单独或者合计持有公司10%以上股份的股东请求时；</w:t>
      </w:r>
    </w:p>
    <w:p w14:paraId="5708EDD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（四）董事会认为必要时；</w:t>
      </w:r>
    </w:p>
    <w:p w14:paraId="0C99257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（五）监事会提议召开时；</w:t>
      </w:r>
    </w:p>
    <w:p w14:paraId="6A3F810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（六）法律、行政法规、部门规章或本章程规定的其他情形。</w:t>
      </w:r>
    </w:p>
    <w:p w14:paraId="2145BCD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公司召开股东会的地点为公司住所地会议室或股东会通知规定的其他地点。</w:t>
      </w:r>
    </w:p>
    <w:p w14:paraId="0B6B438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股东会将设置会场，以现场会议形式召开。</w:t>
      </w:r>
    </w:p>
    <w:p w14:paraId="2D0A525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公司还将按照有关规定及董事会作出的决议，提供网络投票或法律、法规允许的其他方式为股东参加股东会提供便利。</w:t>
      </w:r>
      <w:r>
        <w:rPr>
          <w:rFonts w:hint="eastAsia" w:asciiTheme="minorEastAsia" w:hAnsiTheme="minorEastAsia" w:eastAsiaTheme="minorEastAsia" w:cstheme="minorEastAsia"/>
          <w:sz w:val="24"/>
        </w:rPr>
        <w:t>股东通过上述方式参加股东会的，视为出席。</w:t>
      </w:r>
    </w:p>
    <w:p w14:paraId="00055AE1">
      <w:pPr>
        <w:spacing w:line="500" w:lineRule="exact"/>
        <w:ind w:firstLine="480" w:firstLineChars="200"/>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股东应当持股票账户卡、身份证或其他能够表明其身份的有效证件或证明出席股东会，并由召集人及律师依据证券登记结算机构提供的股东名册对股东资格的合法性进行验证；股东以网络方式参加股东会时，由股东会的网络方式提供机构验证出席股东的身份。</w:t>
      </w:r>
    </w:p>
    <w:p w14:paraId="687C0E9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本公司召开股东会时聘请律师对以下问题出具法律意见并公告：</w:t>
      </w:r>
    </w:p>
    <w:p w14:paraId="7A4911D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（一）会议的召集、召开程序是否符合法律、行政法规、本章程；</w:t>
      </w:r>
    </w:p>
    <w:p w14:paraId="603F7D3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（二）出席会议人员的资格、召集人资格是否合法有效；</w:t>
      </w:r>
    </w:p>
    <w:p w14:paraId="7EB4764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（三）会议的表决程序、表决结果是否合法有效；</w:t>
      </w:r>
    </w:p>
    <w:p w14:paraId="525B4AD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（四）应本公司要求对其他有关问题出具的法律意见。</w:t>
      </w:r>
    </w:p>
    <w:p w14:paraId="3AA0CDB8">
      <w:pPr>
        <w:pStyle w:val="31"/>
        <w:spacing w:before="360" w:after="360" w:line="500" w:lineRule="exact"/>
        <w:outlineLvl w:val="1"/>
        <w:rPr>
          <w:rFonts w:hint="eastAsia" w:asciiTheme="minorEastAsia" w:hAnsiTheme="minorEastAsia" w:eastAsiaTheme="minorEastAsia" w:cstheme="minorEastAsia"/>
          <w:sz w:val="28"/>
          <w:szCs w:val="28"/>
        </w:rPr>
      </w:pPr>
      <w:bookmarkStart w:id="14" w:name="_Toc29642"/>
      <w:r>
        <w:rPr>
          <w:rFonts w:hint="eastAsia" w:asciiTheme="minorEastAsia" w:hAnsiTheme="minorEastAsia" w:eastAsiaTheme="minorEastAsia" w:cstheme="minorEastAsia"/>
          <w:sz w:val="28"/>
          <w:szCs w:val="28"/>
        </w:rPr>
        <w:t>第三节　股东会的召集</w:t>
      </w:r>
      <w:bookmarkEnd w:id="14"/>
    </w:p>
    <w:p w14:paraId="4600E7C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由董事会召集，董事会应当在本章程规定的期限内按时召集股东会。董事会不能履行或者不履行召集股东会会议职责的，监事会应当及时召集和主持；监事会不召集和主持的，连续九十日以上单独或者合计持有公司10%以上股份的股东可以自行召集和主持。</w:t>
      </w:r>
    </w:p>
    <w:p w14:paraId="2BC8B8A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独立董事有权向董事会提议召开临时股东会。对独立董事要求召开临时股东会的提议，董事会应当根据法律、行政法规和本章程的规定，在收到提议后十日内提出同意或不同意召开临时股东会的书面反馈意见。</w:t>
      </w:r>
    </w:p>
    <w:p w14:paraId="4E5FAB3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董事会同意召开临时股东会的，将在作出董事会决议后的五日内发出召开股东会的通知；董事会不同意召开临时股东会的，将说明理由并公告。</w:t>
      </w:r>
    </w:p>
    <w:p w14:paraId="473835B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监事会有权向董事会提议召开临时股东会，并应当以书面形式向董事会提出。董事会应当根据法律、行政法规和本章程的规定，在收到提案后十日内提出同意或不同意召开临时股东会的书面反馈意见。</w:t>
      </w:r>
    </w:p>
    <w:p w14:paraId="5270C9E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董事会同意召开临时股东会的，将在作出董事会决议后的五日内发出召开股东会的通知，通知中对原提议的变更，应征得监事会的同意。</w:t>
      </w:r>
    </w:p>
    <w:p w14:paraId="4BFE6D6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董事会不同意召开临时股东会，或者在收到提案后十日内未作出反馈的，视为董事会不能履行或者不履行召集股东会会议职责，监事会可以自行召集和主持。</w:t>
      </w:r>
    </w:p>
    <w:p w14:paraId="7AB7AAA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单独或者合计持有公司10%以上股份的股东有权向董事会请求召开临时股东会，并应当以书面形式向董事会提出。董事会应当根据法律、行政法规和本章程的规定，在收到请求后十日内提出同意或不同意召开临时股东会的书面反馈意见。</w:t>
      </w:r>
    </w:p>
    <w:p w14:paraId="731AEF9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董事会同意召开临时股东会的，应当在作出董事会决议后的五日内发出召开股东会的通知，通知中对原请求的变更，应当征得相关股东的同意。</w:t>
      </w:r>
    </w:p>
    <w:p w14:paraId="6B6701D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董事会不同意召开临时股东会，或者在收到请求后十日内未作出反馈的，单独或者合计持有公司10%以上股份的股东有权向监事会提议召开临时股东会，并应当以书面形式向监事会提出请求。</w:t>
      </w:r>
    </w:p>
    <w:p w14:paraId="69BDC08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监事会同意召开临时股东会的，应在收到请求五日内发出召开股东会的通知，通知中对原提案的变更，应当征得相关股东的同意。</w:t>
      </w:r>
    </w:p>
    <w:p w14:paraId="2F8F38B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监事会未在规定期限内发出股东会通知的，视为监事会不召集和主持股东会，连续九十日以上单独或者合计持有公司10%以上股份的股东可以自行召集和主持。</w:t>
      </w:r>
    </w:p>
    <w:p w14:paraId="2480414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监事会或股东决定自行召集股东会的，须书面通知董事会，同时向深圳证券交易所备案。</w:t>
      </w:r>
    </w:p>
    <w:p w14:paraId="6755882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在股东会决议公告前，召集股东持股比例不得低于10%，召集股东应当在发出股东会通知前申请上述期间所持有公司股份的锁定。</w:t>
      </w:r>
    </w:p>
    <w:p w14:paraId="57560D7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监事会或召集股东应在发出股东会通知及股东会决议公告时，向深圳证券交易所提交有关证明材料。</w:t>
      </w:r>
    </w:p>
    <w:p w14:paraId="1B4ECC3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对于监事会或股东自行召集的股东会，董事会和董事会秘书将应予配合。董事会应当提供股权登记日的股东名册。董事会未提供股东名册的，召集人可以持召集股东会通知的相关公告，向证券登记结算机构申请获取。召集人所获取的股东名册不得用于除召开股东会以外的其他用途。</w:t>
      </w:r>
    </w:p>
    <w:p w14:paraId="38FD593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监事会或股东自行召集的股东会，会议所必需的费用由公司承担。</w:t>
      </w:r>
    </w:p>
    <w:p w14:paraId="6A54306D">
      <w:pPr>
        <w:pStyle w:val="31"/>
        <w:spacing w:before="360" w:after="360" w:line="500" w:lineRule="exact"/>
        <w:outlineLvl w:val="1"/>
        <w:rPr>
          <w:rFonts w:hint="eastAsia" w:asciiTheme="minorEastAsia" w:hAnsiTheme="minorEastAsia" w:eastAsiaTheme="minorEastAsia" w:cstheme="minorEastAsia"/>
          <w:sz w:val="28"/>
          <w:szCs w:val="28"/>
        </w:rPr>
      </w:pPr>
      <w:bookmarkStart w:id="15" w:name="_Toc6266"/>
      <w:r>
        <w:rPr>
          <w:rFonts w:hint="eastAsia" w:asciiTheme="minorEastAsia" w:hAnsiTheme="minorEastAsia" w:eastAsiaTheme="minorEastAsia" w:cstheme="minorEastAsia"/>
          <w:sz w:val="28"/>
          <w:szCs w:val="28"/>
        </w:rPr>
        <w:t>第四节　股东会的提案与通知</w:t>
      </w:r>
      <w:bookmarkEnd w:id="15"/>
    </w:p>
    <w:p w14:paraId="3AD2AE3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16" w:name="_Ref422067802"/>
      <w:r>
        <w:rPr>
          <w:rFonts w:hint="eastAsia" w:asciiTheme="minorEastAsia" w:hAnsiTheme="minorEastAsia" w:eastAsiaTheme="minorEastAsia" w:cstheme="minorEastAsia"/>
          <w:sz w:val="24"/>
        </w:rPr>
        <w:t>提案的内容应当属于股东会职权范围，有明确议题和具体决议事项，并且符合法律、行政法规和本章程的有关规定。</w:t>
      </w:r>
      <w:bookmarkEnd w:id="16"/>
    </w:p>
    <w:p w14:paraId="3F71A3E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4"/>
        </w:rPr>
        <w:t>公司召开股东会，董事会、监事会以及单独或者合并持有公司1%以上股份的股东，有权向公司提出提案。</w:t>
      </w:r>
    </w:p>
    <w:p w14:paraId="05A8E84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单独或者合计持有公司1%以上股份的股东，可以在股东会召开十日前提出临时提案并书面提交召集人。召集人应当在收到提案后二日内发出股东会补充通知，公告临时提案的内容。</w:t>
      </w:r>
    </w:p>
    <w:p w14:paraId="3BE390B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除前款规定的情形外，召集人在发出股东会通知后，不得修改股东会通知中已列明的提案或增加新的提案。</w:t>
      </w:r>
    </w:p>
    <w:p w14:paraId="243444D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股东会通知中未列明或不符合本章程</w:t>
      </w:r>
      <w:r>
        <w:rPr>
          <w:rFonts w:hint="eastAsia" w:asciiTheme="minorEastAsia" w:hAnsiTheme="minorEastAsia" w:eastAsiaTheme="minorEastAsia" w:cstheme="minorEastAsia"/>
          <w:sz w:val="22"/>
        </w:rPr>
        <w:fldChar w:fldCharType="begin"/>
      </w:r>
      <w:r>
        <w:rPr>
          <w:rFonts w:hint="eastAsia" w:asciiTheme="minorEastAsia" w:hAnsiTheme="minorEastAsia" w:eastAsiaTheme="minorEastAsia" w:cstheme="minorEastAsia"/>
          <w:sz w:val="22"/>
        </w:rPr>
        <w:instrText xml:space="preserve"> REF _Ref422067802 \r \h  \* MERGEFORMAT </w:instrText>
      </w:r>
      <w:r>
        <w:rPr>
          <w:rFonts w:hint="eastAsia" w:asciiTheme="minorEastAsia" w:hAnsiTheme="minorEastAsia" w:eastAsiaTheme="minorEastAsia" w:cstheme="minorEastAsia"/>
          <w:sz w:val="22"/>
        </w:rPr>
        <w:fldChar w:fldCharType="separate"/>
      </w:r>
      <w:r>
        <w:rPr>
          <w:rFonts w:hint="eastAsia" w:asciiTheme="minorEastAsia" w:hAnsiTheme="minorEastAsia" w:eastAsiaTheme="minorEastAsia" w:cstheme="minorEastAsia"/>
          <w:sz w:val="24"/>
        </w:rPr>
        <w:t>第五十六条</w:t>
      </w:r>
      <w:r>
        <w:rPr>
          <w:rFonts w:hint="eastAsia" w:asciiTheme="minorEastAsia" w:hAnsiTheme="minorEastAsia" w:eastAsiaTheme="minorEastAsia" w:cstheme="minorEastAsia"/>
          <w:sz w:val="22"/>
        </w:rPr>
        <w:t xml:space="preserve"> </w:t>
      </w:r>
      <w:r>
        <w:rPr>
          <w:rFonts w:hint="eastAsia" w:asciiTheme="minorEastAsia" w:hAnsiTheme="minorEastAsia" w:eastAsiaTheme="minorEastAsia" w:cstheme="minorEastAsia"/>
          <w:sz w:val="22"/>
        </w:rPr>
        <w:fldChar w:fldCharType="end"/>
      </w:r>
      <w:r>
        <w:rPr>
          <w:rFonts w:hint="eastAsia" w:asciiTheme="minorEastAsia" w:hAnsiTheme="minorEastAsia" w:eastAsiaTheme="minorEastAsia" w:cstheme="minorEastAsia"/>
          <w:sz w:val="24"/>
        </w:rPr>
        <w:t>规定的提案，股东会不得进行表决并作出决议。</w:t>
      </w:r>
    </w:p>
    <w:p w14:paraId="04414C4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召集人将在年度股东会召开二十日前</w:t>
      </w:r>
      <w:r>
        <w:rPr>
          <w:rFonts w:hint="eastAsia" w:asciiTheme="minorEastAsia" w:hAnsiTheme="minorEastAsia" w:eastAsiaTheme="minorEastAsia" w:cstheme="minorEastAsia"/>
          <w:kern w:val="0"/>
          <w:sz w:val="24"/>
          <w:lang w:val="zh-CN"/>
        </w:rPr>
        <w:t>以公告方式</w:t>
      </w:r>
      <w:r>
        <w:rPr>
          <w:rFonts w:hint="eastAsia" w:asciiTheme="minorEastAsia" w:hAnsiTheme="minorEastAsia" w:eastAsiaTheme="minorEastAsia" w:cstheme="minorEastAsia"/>
          <w:sz w:val="24"/>
        </w:rPr>
        <w:t>通知各股东，临时股东会将于会议召开十五日前</w:t>
      </w:r>
      <w:r>
        <w:rPr>
          <w:rFonts w:hint="eastAsia" w:asciiTheme="minorEastAsia" w:hAnsiTheme="minorEastAsia" w:eastAsiaTheme="minorEastAsia" w:cstheme="minorEastAsia"/>
          <w:kern w:val="0"/>
          <w:sz w:val="24"/>
          <w:lang w:val="zh-CN"/>
        </w:rPr>
        <w:t>以公告方式</w:t>
      </w:r>
      <w:r>
        <w:rPr>
          <w:rFonts w:hint="eastAsia" w:asciiTheme="minorEastAsia" w:hAnsiTheme="minorEastAsia" w:eastAsiaTheme="minorEastAsia" w:cstheme="minorEastAsia"/>
          <w:sz w:val="24"/>
        </w:rPr>
        <w:t>通知各股东。</w:t>
      </w:r>
    </w:p>
    <w:p w14:paraId="5817789C">
      <w:pPr>
        <w:tabs>
          <w:tab w:val="left" w:pos="0"/>
          <w:tab w:val="left" w:pos="1440"/>
          <w:tab w:val="left" w:pos="2040"/>
        </w:tabs>
        <w:spacing w:line="480" w:lineRule="exact"/>
        <w:ind w:left="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本条款所涉及期限的计算，不包括会议召开当日。</w:t>
      </w:r>
    </w:p>
    <w:p w14:paraId="177AE37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股东会的通知包括以下内容：</w:t>
      </w:r>
    </w:p>
    <w:p w14:paraId="6074600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（一）会议的时间、地点和会议期限；</w:t>
      </w:r>
    </w:p>
    <w:p w14:paraId="6B95080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（二）提交会议审议的事项和提案；</w:t>
      </w:r>
    </w:p>
    <w:p w14:paraId="4F617DF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（三）以明显的文字说明：全体股东均有权出席股东会，并可以书面委托代理人出席会议和参加表决，该股东代理人不必是公司的股东；</w:t>
      </w:r>
    </w:p>
    <w:p w14:paraId="6A2B0230">
      <w:pPr>
        <w:spacing w:line="500" w:lineRule="exact"/>
        <w:ind w:left="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（四）有权出席股东会股东的股权登记日；</w:t>
      </w:r>
    </w:p>
    <w:p w14:paraId="0EFFDCE2">
      <w:pPr>
        <w:spacing w:line="500" w:lineRule="exact"/>
        <w:ind w:left="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（五）会务常设联系人姓名，电话号码。</w:t>
      </w:r>
    </w:p>
    <w:p w14:paraId="08C97DB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通知和补充通知中应当充分、完整披露所有提案的全部具体内容，以及为使股东对拟讨论的事项作出合理判断所需的全部资料或解释。拟讨论的事项需要独立董事发表意见的，发布股东会通知或补充通知时将同时披露独立董事的意见及理由。</w:t>
      </w:r>
    </w:p>
    <w:p w14:paraId="34E9282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采用网络或其他方式的，应当在股东会通知中明确载明网络或其他方式的表决时间及表决程序。股东会网络或其他方式投票的开始时间，不得早于现场股东会召开前一日下午3:00，并不得迟于现场股东会召开当日上午 9:30，其结束时间不得早于现场股东会结束当日下午3:00。</w:t>
      </w:r>
    </w:p>
    <w:p w14:paraId="6FB73DD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股权登记日与会议日期之间的间隔应当不多于七个工作日。股权登记日一旦确认，不得变更。</w:t>
      </w:r>
    </w:p>
    <w:p w14:paraId="63CCEFE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股东会拟讨论董事、监事选举事项的，股东会通知中将充分披露董事、监事候选人的详细资料，至少包括以下内容：</w:t>
      </w:r>
    </w:p>
    <w:p w14:paraId="481C0F6A">
      <w:pPr>
        <w:numPr>
          <w:ilvl w:val="0"/>
          <w:numId w:val="2"/>
        </w:numPr>
        <w:tabs>
          <w:tab w:val="left" w:pos="0"/>
          <w:tab w:val="left" w:pos="1440"/>
          <w:tab w:val="left" w:pos="2040"/>
        </w:tabs>
        <w:spacing w:line="48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教育背景、工作经历、兼职等个人情况；</w:t>
      </w:r>
    </w:p>
    <w:p w14:paraId="77882C92">
      <w:pPr>
        <w:numPr>
          <w:ilvl w:val="0"/>
          <w:numId w:val="2"/>
        </w:numPr>
        <w:tabs>
          <w:tab w:val="left" w:pos="0"/>
          <w:tab w:val="left" w:pos="1440"/>
          <w:tab w:val="left" w:pos="2040"/>
        </w:tabs>
        <w:spacing w:line="48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与公司或公司的控股股东及实际控制人是否存在关联关系；</w:t>
      </w:r>
    </w:p>
    <w:p w14:paraId="3E22DFCA">
      <w:pPr>
        <w:numPr>
          <w:ilvl w:val="0"/>
          <w:numId w:val="2"/>
        </w:numPr>
        <w:tabs>
          <w:tab w:val="left" w:pos="0"/>
          <w:tab w:val="left" w:pos="1440"/>
          <w:tab w:val="left" w:pos="2040"/>
        </w:tabs>
        <w:spacing w:line="48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披露持有公司股份数量；</w:t>
      </w:r>
    </w:p>
    <w:p w14:paraId="5AF020DF">
      <w:pPr>
        <w:numPr>
          <w:ilvl w:val="0"/>
          <w:numId w:val="2"/>
        </w:numPr>
        <w:tabs>
          <w:tab w:val="left" w:pos="0"/>
          <w:tab w:val="left" w:pos="1440"/>
          <w:tab w:val="left" w:pos="2040"/>
        </w:tabs>
        <w:spacing w:line="48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是否受过中国证监会及其他有关部门的处罚和证券交易所惩戒。</w:t>
      </w:r>
    </w:p>
    <w:p w14:paraId="4929F8B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除采取累积投票制选举董事、非职工代表监事外，每位董事、非职工代表监事候选人应当以单项提案提出。</w:t>
      </w:r>
    </w:p>
    <w:p w14:paraId="6A370E9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发出股东会通知后，无正当理由，股东会不应延期或取消，股东会通知中列明的提案不应取消。一旦出现延期或取消的情形，召集人应当在原定召开日前至少二个工作日公告并说明原因。</w:t>
      </w:r>
    </w:p>
    <w:p w14:paraId="5D37CB10">
      <w:pPr>
        <w:pStyle w:val="31"/>
        <w:spacing w:before="360" w:after="360" w:line="500" w:lineRule="exact"/>
        <w:outlineLvl w:val="1"/>
        <w:rPr>
          <w:rFonts w:hint="eastAsia" w:asciiTheme="minorEastAsia" w:hAnsiTheme="minorEastAsia" w:eastAsiaTheme="minorEastAsia" w:cstheme="minorEastAsia"/>
          <w:sz w:val="28"/>
          <w:szCs w:val="28"/>
        </w:rPr>
      </w:pPr>
      <w:bookmarkStart w:id="17" w:name="_Toc30965"/>
      <w:r>
        <w:rPr>
          <w:rFonts w:hint="eastAsia" w:asciiTheme="minorEastAsia" w:hAnsiTheme="minorEastAsia" w:eastAsiaTheme="minorEastAsia" w:cstheme="minorEastAsia"/>
          <w:sz w:val="28"/>
          <w:szCs w:val="28"/>
        </w:rPr>
        <w:t>第五节　股东会的召开</w:t>
      </w:r>
      <w:bookmarkEnd w:id="17"/>
    </w:p>
    <w:p w14:paraId="454AB6D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公司董事会和其他召集人将采取必要措施，保证股东会的正常秩序。对于干扰股东会、寻衅滋事和侵犯股东合法权益的行为，将采取措施加以制止并及时报告有关部门查处。</w:t>
      </w:r>
    </w:p>
    <w:p w14:paraId="0B5ACB7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股权登记日登记在册的所有股东或其代理人，均有权出席股东会，并依照有关法律、</w:t>
      </w:r>
      <w:r>
        <w:rPr>
          <w:rFonts w:hint="eastAsia" w:asciiTheme="minorEastAsia" w:hAnsiTheme="minorEastAsia" w:eastAsiaTheme="minorEastAsia" w:cstheme="minorEastAsia"/>
          <w:b w:val="0"/>
          <w:bCs/>
          <w:sz w:val="24"/>
        </w:rPr>
        <w:t>行政法规及本</w:t>
      </w:r>
      <w:r>
        <w:rPr>
          <w:rFonts w:hint="eastAsia" w:asciiTheme="minorEastAsia" w:hAnsiTheme="minorEastAsia" w:eastAsiaTheme="minorEastAsia" w:cstheme="minorEastAsia"/>
          <w:sz w:val="24"/>
        </w:rPr>
        <w:t>章程行使表决权。</w:t>
      </w:r>
    </w:p>
    <w:p w14:paraId="353C2D0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股东可以亲自出席股东会，也可以委托代理人代为出席和在授权范围内行使表决权。</w:t>
      </w:r>
    </w:p>
    <w:p w14:paraId="60986A77">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股东应当持股票账户卡、身份证或其他能够表明其身份的有效证件或证明出席股东会。代理人还应当提交股东授权委托书和个人有效身份证件。</w:t>
      </w:r>
    </w:p>
    <w:p w14:paraId="523939E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法人股东应由法定代表人或者法定代表人委托的代理人出席会议。法定代表人出席会议的，应出示本人身份证、能证明其具有法定代表人资格的有效证明、法人股东股票账户卡；委托代理人出席会议的，代理人应出示本人身份证、法人股东单位的法定代表人依法出具的书面授权委托书、法人股东股票账户卡。</w:t>
      </w:r>
    </w:p>
    <w:p w14:paraId="786F81F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股东出具的委托他人出席股东会的授权委托书应当载明下列内容：</w:t>
      </w:r>
    </w:p>
    <w:p w14:paraId="68D92D1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（一）代理人的姓名；</w:t>
      </w:r>
    </w:p>
    <w:p w14:paraId="6EA438F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（二）是否具有表决权；</w:t>
      </w:r>
    </w:p>
    <w:p w14:paraId="2D29C1C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（三）分别对列入股东会议程的每一审议事项投同意、反对或弃权票的指示；</w:t>
      </w:r>
    </w:p>
    <w:p w14:paraId="35FCDBA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（四）委托书签发日期和有效期限；</w:t>
      </w:r>
    </w:p>
    <w:p w14:paraId="4084152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（五）委托人签名（或盖章）。委托人为法人股东的，应加盖法人单位印章。</w:t>
      </w:r>
    </w:p>
    <w:p w14:paraId="6732284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委托书应当注明如果股东不作具体指示，股东代理人是否可以按自己的意思表决。</w:t>
      </w:r>
    </w:p>
    <w:p w14:paraId="0446D444">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如股东未按照本条及本章程第六十五条之规定出具授权委托书的，公司有权认为该授权无效，公司有权拒绝该代理人参加股东会。</w:t>
      </w:r>
    </w:p>
    <w:p w14:paraId="2C7CA03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14:paraId="441AA97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委托人为法人的，由其法定代表人或者董事会、其他决策机构决议授权的人作为代表出席公司的股东会。</w:t>
      </w:r>
    </w:p>
    <w:p w14:paraId="4DE3BAA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出席会议人员的会议登记册由公司负责制作。会议登记册载明参加会议人员姓名（或单位名称）、身份证号码、住所地址、持有或者代表有表决权的股权数额、被代理人姓名（或单位名称）等事项。</w:t>
      </w:r>
    </w:p>
    <w:p w14:paraId="347D827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14:paraId="4E04217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股东会召开时，本公司全体董事、监事和董事会秘书应当出席会议，经理和其他高级管理人员应当列席会议。</w:t>
      </w:r>
    </w:p>
    <w:p w14:paraId="0F83EE0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股东会由董事长主持。董事长不能履行职务或不履行职务时，由副董事长主持，副董事长不能履行职务或者不履行职务时，由半数以上董事共同推举的一名董事主持。</w:t>
      </w:r>
    </w:p>
    <w:p w14:paraId="5350482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监事会自行召集的股东会，由监事会主席主持。监事会主席不能履行职务或不履行职务时，由过半数监事共同推举的一名监事主持。</w:t>
      </w:r>
    </w:p>
    <w:p w14:paraId="49EDF64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股东自行召集的股东会，由召集人推举代表主持。</w:t>
      </w:r>
    </w:p>
    <w:p w14:paraId="490E25B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召开股东会时，会议主持人违反议事规则使股东会无法继续进行的，经现场出席股东会有表决权过半数的股东同意，股东会可推举一人担任会议主持人，继续开会。</w:t>
      </w:r>
    </w:p>
    <w:p w14:paraId="3ECA879F">
      <w:pPr>
        <w:numPr>
          <w:ilvl w:val="0"/>
          <w:numId w:val="1"/>
        </w:numPr>
        <w:tabs>
          <w:tab w:val="left" w:pos="0"/>
          <w:tab w:val="left" w:pos="1440"/>
          <w:tab w:val="left" w:pos="2040"/>
          <w:tab w:val="left" w:pos="32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制定股东会议事规则，详细规定股东会的召开和表决程序，包括通知、登记、提案的审议、投票、计票、表决结果的宣布、会议决议的形成、会议记录及其签署、公告等内容，以及股东会对董事会的授权原则，授权内容应明确具体。股东会议事规则作为本章程的附件，由董事会拟定，股东会批准。</w:t>
      </w:r>
    </w:p>
    <w:p w14:paraId="7AC1AEE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在年度股东会上，董事会、监事会应当就其过去一年的工作向股东会作出报告。每名独立董事也应作出述职报告。</w:t>
      </w:r>
    </w:p>
    <w:p w14:paraId="7360EE4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除涉及公司商业秘密不能在股东会上公开的以外，董事、监事、高级管理人员在股东会上就股东的质询和建议作出解释和说明。</w:t>
      </w:r>
    </w:p>
    <w:p w14:paraId="68A2D3F7">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会议主持人应当在表决前宣布现场出席会议的股东和代理人人数及所持有表决权的股份总数，现场出席会议的股东和代理人人数及所持有表决权的股份总数以会议登记为准。</w:t>
      </w:r>
    </w:p>
    <w:p w14:paraId="49AA9C6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股东会应有会议记录，由董事会秘书负责。会议记录记载以下内容：</w:t>
      </w:r>
    </w:p>
    <w:p w14:paraId="313EBD9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（一）会议时间、地点、议程和召集人姓名或名称；</w:t>
      </w:r>
    </w:p>
    <w:p w14:paraId="4EFBF6B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（二）会议主持人以及出席或列席会议的董事、监事、总经理和其他高级管理人员姓名；</w:t>
      </w:r>
    </w:p>
    <w:p w14:paraId="333582E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（三）出席会议的股东和代理人人数、所持有表决权的股份总数及占公司股份总数的比例；</w:t>
      </w:r>
    </w:p>
    <w:p w14:paraId="26ECCF3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（四）对每一提案的审议经过、发言要点和表决结果；</w:t>
      </w:r>
    </w:p>
    <w:p w14:paraId="65D7046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（五）股东的质询意见或建议以及相应的答复或说明；</w:t>
      </w:r>
    </w:p>
    <w:p w14:paraId="04D14BA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（六）律师及计票人、监票人姓名；</w:t>
      </w:r>
    </w:p>
    <w:p w14:paraId="6C4EE8E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（七）本章程规定应当载入会议记录的其他内容。</w:t>
      </w:r>
    </w:p>
    <w:p w14:paraId="2A4AC7F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召集人应当保证会议记录内容真实、准确和完整。出席会议的董事、监事、董事会秘书、召集人或其代表、会议主持人应当在会议记录上签名。会议记录应当与现场出席股东的签名册及代理出席的委托书、网络及其他方式表决情况的有效资料一并保存，保存期限不少于十年。</w:t>
      </w:r>
    </w:p>
    <w:p w14:paraId="11E5BF3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召集人应当保证股东会连续举行，直至形成最终决议。因不可抗力等特殊原因导致股东会中止或不能作出决议的，应采取必要措施尽快恢复召开股东会或直接终止本次股东会，并及时公告。同时，召集人应向公司所在地中国证监会派出机构及证券交易所报告。</w:t>
      </w:r>
    </w:p>
    <w:p w14:paraId="35E5B08B">
      <w:pPr>
        <w:pStyle w:val="31"/>
        <w:spacing w:before="360" w:after="360" w:line="500" w:lineRule="exact"/>
        <w:outlineLvl w:val="1"/>
        <w:rPr>
          <w:rFonts w:hint="eastAsia" w:asciiTheme="minorEastAsia" w:hAnsiTheme="minorEastAsia" w:eastAsiaTheme="minorEastAsia" w:cstheme="minorEastAsia"/>
          <w:sz w:val="28"/>
          <w:szCs w:val="28"/>
        </w:rPr>
      </w:pPr>
      <w:bookmarkStart w:id="18" w:name="_Toc23185"/>
      <w:r>
        <w:rPr>
          <w:rFonts w:hint="eastAsia" w:asciiTheme="minorEastAsia" w:hAnsiTheme="minorEastAsia" w:eastAsiaTheme="minorEastAsia" w:cstheme="minorEastAsia"/>
          <w:sz w:val="28"/>
          <w:szCs w:val="28"/>
        </w:rPr>
        <w:t>第六节　股东会的表决和决议</w:t>
      </w:r>
      <w:bookmarkEnd w:id="18"/>
    </w:p>
    <w:p w14:paraId="47B29F3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股东会决议分为普通决议和特别决议。</w:t>
      </w:r>
    </w:p>
    <w:p w14:paraId="2A93995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股东会作出普通决议，应当由出席股东会的股东（包括股东代理人）所持表决权的过半数通过。</w:t>
      </w:r>
    </w:p>
    <w:p w14:paraId="7B6F531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股东会作出特别决议，应当由出席股东会的股东（包括股东代理人）所持表决权的三分之二以上通过。</w:t>
      </w:r>
    </w:p>
    <w:p w14:paraId="78D345B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下列事项由股东会以普通决议通过：</w:t>
      </w:r>
    </w:p>
    <w:p w14:paraId="5C26455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（一）董事会和监事会的工作报告；</w:t>
      </w:r>
    </w:p>
    <w:p w14:paraId="433ED59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（二）董事会拟定的利润分配方案和弥补亏损方案；</w:t>
      </w:r>
    </w:p>
    <w:p w14:paraId="5C94405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（三）董事会和监事会成员的任免及其报酬和支付方法；</w:t>
      </w:r>
    </w:p>
    <w:p w14:paraId="3E76396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（四）公司年度预算方案、决算方案；</w:t>
      </w:r>
    </w:p>
    <w:p w14:paraId="5885FE4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（五）公司年度报告；</w:t>
      </w:r>
    </w:p>
    <w:p w14:paraId="277921B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（六）除法律、行政法规规定或者本章程规定应当以特别决议通过以外的其他事项。</w:t>
      </w:r>
    </w:p>
    <w:p w14:paraId="6D104D1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下列事项由股东会以特别决议通过：</w:t>
      </w:r>
    </w:p>
    <w:p w14:paraId="256A47B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（一）公司增加或者减少注册资本；</w:t>
      </w:r>
    </w:p>
    <w:p w14:paraId="794F1C8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（二）公司的分立、合并、解散和清算；</w:t>
      </w:r>
    </w:p>
    <w:p w14:paraId="6B05BB4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（三）本章程的修改；</w:t>
      </w:r>
    </w:p>
    <w:p w14:paraId="55EEB65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（四）公司在一年内购买、出售重大资产或者担保金额超过公司最近一期经审计总资产30%的；</w:t>
      </w:r>
    </w:p>
    <w:p w14:paraId="41D6D55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（五）股权激励计划；</w:t>
      </w:r>
    </w:p>
    <w:p w14:paraId="69C3565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（六）现金分红政策的调整或变更；</w:t>
      </w:r>
    </w:p>
    <w:p w14:paraId="05D49C2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（七）法律、行政法规或本章程规定的，以及股东会以普通决议认定会对公司产生重大影响的、需要以特别决议通过的其他事项。</w:t>
      </w:r>
    </w:p>
    <w:p w14:paraId="4878504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股东（包括股东代理人）以其所代表的有表决权的股份数额行使表决权，每一股份享有一票表决权。</w:t>
      </w:r>
    </w:p>
    <w:p w14:paraId="4AAB824A">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股东会审议影响中小投资者利益的重大事项时，对中小投资者表决应当单独计票。单独计票结果应当及时公开披露。</w:t>
      </w:r>
    </w:p>
    <w:p w14:paraId="30B21EF6">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前款所称影响中小投资者利益的重大事项是指依据《深圳证券交易所创业板上市公司规范运作指引》应当由独立董事发表独立意见的事项，中小投资者是指除上市公司董事、监事、高级管理人员以及单独或者合计持有公司5%以上股份的股东以外的其他股东。</w:t>
      </w:r>
    </w:p>
    <w:p w14:paraId="3C5A812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公司持有的本公司股份没有表决权，且该部分股份不计入出席股东会有表决权的股份总数。</w:t>
      </w:r>
    </w:p>
    <w:p w14:paraId="7B63ACD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股东买入公司有表决权的股份违反《证券法》第六十三条第一款、第二款规定的，该超过规定比例部分的股份在买入后的三十六个月内不得行使表决权，且不计入出席股东会有表决权的股份总数。</w:t>
      </w:r>
    </w:p>
    <w:p w14:paraId="771ABC4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独立董事、持有百分之一以上有表决权股份的股东或者中国证监会的规定设立的投资者保护机构可以公开征集股东投票权。和符合相关规定条件的股东可以征集股东投票权。征集股东投票权应当向被征集人充分披露具体投票意向等信息。禁止以有偿或者变相有偿的方式征集股东投票权。公司不得对征集投票权提出最低持股比例限制。</w:t>
      </w:r>
    </w:p>
    <w:p w14:paraId="57B6696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股东会审议有关关联交易事项时，关联股东不应当参与投票表决，其所代表的有表决权的股份数不计入有效表决总数；股东会决议</w:t>
      </w:r>
      <w:r>
        <w:rPr>
          <w:rFonts w:hint="eastAsia" w:asciiTheme="minorEastAsia" w:hAnsiTheme="minorEastAsia" w:cstheme="minorEastAsia"/>
          <w:sz w:val="24"/>
          <w:lang w:val="en-US" w:eastAsia="zh-CN"/>
        </w:rPr>
        <w:t>的公告</w:t>
      </w:r>
      <w:r>
        <w:rPr>
          <w:rFonts w:hint="eastAsia" w:asciiTheme="minorEastAsia" w:hAnsiTheme="minorEastAsia" w:eastAsiaTheme="minorEastAsia" w:cstheme="minorEastAsia"/>
          <w:sz w:val="24"/>
        </w:rPr>
        <w:t>应当充分披露非关联股东的表决情况。</w:t>
      </w:r>
    </w:p>
    <w:p w14:paraId="0BF589E1">
      <w:pPr>
        <w:spacing w:line="520" w:lineRule="exact"/>
        <w:ind w:firstLine="496"/>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关于关联交易的回避和表决程序，由公司的《关联交易管理制度》规定。</w:t>
      </w:r>
    </w:p>
    <w:p w14:paraId="65B735D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公司应在保证股东会合法、有效的前提下，通过各种方式和途径，优先提供网络形式的投票平台等现代信息技术手段，为股东参加股东会提供便利。</w:t>
      </w:r>
    </w:p>
    <w:p w14:paraId="409915F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除公司处于危机等特殊情况外，非经股东会以特别决议批准，公司将不与董事、总经理和其它高级管理人员以外的人订立将公司全部或者重要业务的管理交予该人负责的合同。</w:t>
      </w:r>
    </w:p>
    <w:p w14:paraId="4BEC08DB">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董事、非职工代表监事候选人名单以提案的方式提请股东会表决，股东会审议选举董事、非职工代表监事的议案，应当对每位候选人逐个进行表决。</w:t>
      </w:r>
    </w:p>
    <w:p w14:paraId="391CA3E2">
      <w:pPr>
        <w:spacing w:line="520" w:lineRule="exact"/>
        <w:ind w:firstLine="496"/>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董事、监事提名的方式和程序为：</w:t>
      </w:r>
    </w:p>
    <w:p w14:paraId="1AC7E54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（一）发生董事变更的，非独立董事候选人由董事会以书面形式提名，由股东会选举产生或变更。</w:t>
      </w:r>
    </w:p>
    <w:p w14:paraId="01B395E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（二）发生监事变更的，非职工代表监事候选人由监事会一致同意后，以书面形式提名，由股东会选举产生或变更。</w:t>
      </w:r>
    </w:p>
    <w:p w14:paraId="618AB933">
      <w:pPr>
        <w:spacing w:line="500" w:lineRule="exact"/>
        <w:ind w:firstLine="49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（三）发生职工代表监事变更的，职工代表监事候选人由公司职工通过职工代表大会、职工大会或者其他形式民主选举产生后，直接进入监事会。</w:t>
      </w:r>
    </w:p>
    <w:p w14:paraId="21EFC428">
      <w:pPr>
        <w:spacing w:line="500" w:lineRule="exact"/>
        <w:ind w:firstLine="49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（四）发生独立董事变更的，独立董事候选人由公司董事会、监事会、单独或者合并持有公司已发行在外有表决权股份1%以上的股东提名，由股东会选举产生或变更。</w:t>
      </w:r>
    </w:p>
    <w:p w14:paraId="0644E8DC">
      <w:pPr>
        <w:spacing w:line="500" w:lineRule="exact"/>
        <w:ind w:firstLine="49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提名董事（含独立董事）或非职工代表监事时，应当在股东会召开前，将提案、提名候选人的详细资料、候选人的申明和承诺提交董事会、监事会，董事（含独立董事）、非职工代表监事的最终候选人由董事会、监事会确定，董事会及监事会负责对候选人资格进行审查。股东会不得选举未经任职资格审查的候选人出任董事、非职工代表监事。</w:t>
      </w:r>
    </w:p>
    <w:p w14:paraId="1CA5E77D">
      <w:pPr>
        <w:spacing w:line="500" w:lineRule="exact"/>
        <w:ind w:firstLine="49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股东会选举两名及以上董事、监事时采用累积投票制。</w:t>
      </w:r>
    </w:p>
    <w:p w14:paraId="23AE564B">
      <w:pPr>
        <w:spacing w:line="500" w:lineRule="exact"/>
        <w:ind w:firstLine="49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前款所称累积投票制是指股东会选举两名以上董事或者监事时，每一股份拥有与应选董事或者监事人数相同的表决权，股东拥有的表决权可以集中使用。董事会应当向股东公告候选董事、监事的简历和基本情况。</w:t>
      </w:r>
    </w:p>
    <w:p w14:paraId="72313157">
      <w:pPr>
        <w:spacing w:line="500" w:lineRule="exact"/>
        <w:ind w:firstLine="49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股东会以累积投票方式选举董事的，独立董事和非独立董事的表决应当分别进行。</w:t>
      </w:r>
    </w:p>
    <w:p w14:paraId="643EDC5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累积投票制外，股东会将对所有提案进行逐项表决，对同一事项有不同提案的，将按提案提出的时间顺序进行表决。除因不可抗力等特殊原因导致股东会中止或不能作出决议外，股东会将不会对提案进行搁置或不予表决。</w:t>
      </w:r>
    </w:p>
    <w:p w14:paraId="5A984B6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股东会审议提案时，不会对提案进行修改，否则，有关变更应当被视为一个新的提案，不能在本次股东会上进行表决。</w:t>
      </w:r>
    </w:p>
    <w:p w14:paraId="1F90842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同一表决权只能选择现场、网络或其他表决方式中的一种。同一表决权出现重复表决的以第一次投票结果为准。</w:t>
      </w:r>
    </w:p>
    <w:p w14:paraId="062BBE8B">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股东会采取记名方式投票表决。</w:t>
      </w:r>
    </w:p>
    <w:p w14:paraId="5739883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股东会对提案进行表决前，应当推举两名股东代表参加计票和监票。审议事项与股东有利害关系的，相关股东及代理人不得参加计票、监票。</w:t>
      </w:r>
    </w:p>
    <w:p w14:paraId="552B051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股东会对提案进行表决时，应当由律师、股东代表与监事代表共同负责计票、监票，并当场公布表决结果，决议的表决结果载入会议记录。</w:t>
      </w:r>
    </w:p>
    <w:p w14:paraId="6E6F00CB">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通过网络或其他方式投票的公司股东或其代理人，有权通过相应的投票系统查验自己的投票结果。</w:t>
      </w:r>
    </w:p>
    <w:p w14:paraId="337E69D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股东会现场结束时间不得早于网络或其他方式。会议主持人应当宣布每一提案的表决情况和结果，并根据表决结果宣布提案是否通过。</w:t>
      </w:r>
    </w:p>
    <w:p w14:paraId="13AF9EA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在正式公布表决结果前，股东会现场、网络及其他表决方式中所涉及的公司、计票人、监票人、主要股东、网络服务方等相关各方对表决情况均负有保密义务。</w:t>
      </w:r>
    </w:p>
    <w:p w14:paraId="5366009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出席股东会的股东，应当对提交表决的提案发表以下意见之一：同意、反对或弃权。</w:t>
      </w:r>
    </w:p>
    <w:p w14:paraId="0B31D39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未填、错填、字迹无法辨认的表决票、未投的表决票均视为投票人放弃表决权利，其所持股份数的表决结果应计为“弃权”。</w:t>
      </w:r>
    </w:p>
    <w:p w14:paraId="118DF6F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14:paraId="0E47DEF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股东会决议应当及时向股东公告，决议中应列明出席会议的股东和代理人人数、所持有表决权的股份总数及占公司有表决权股份总数的比例、表决方式、每项提案的表决结果和通过的各项决议的详细内容。</w:t>
      </w:r>
    </w:p>
    <w:p w14:paraId="7641418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提案未获通过，或者本次股东会变更前次股东会决议的，应当在股东会决议及记录中作特别提示。</w:t>
      </w:r>
    </w:p>
    <w:p w14:paraId="407CDBA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股东会通过有关董事、非职工代表监事选举提案的，新任董事、非职工代表监事就任时间自股东会作出相关决议之日起计算。</w:t>
      </w:r>
    </w:p>
    <w:p w14:paraId="43F7BAA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股东会通过有关派现、送股或资本公积转增股本提案的，公司将在股东会结束后二个月内实施具体方案。</w:t>
      </w:r>
    </w:p>
    <w:p w14:paraId="11C1B4B4">
      <w:pPr>
        <w:pStyle w:val="33"/>
        <w:spacing w:before="360" w:after="360" w:line="500" w:lineRule="exact"/>
        <w:outlineLvl w:val="0"/>
        <w:rPr>
          <w:rFonts w:hint="eastAsia" w:asciiTheme="minorEastAsia" w:hAnsiTheme="minorEastAsia" w:eastAsiaTheme="minorEastAsia" w:cstheme="minorEastAsia"/>
          <w:b/>
          <w:sz w:val="32"/>
          <w:szCs w:val="32"/>
        </w:rPr>
      </w:pPr>
      <w:bookmarkStart w:id="19" w:name="_Toc261168820"/>
      <w:bookmarkStart w:id="20" w:name="_Toc8326"/>
      <w:r>
        <w:rPr>
          <w:rFonts w:hint="eastAsia" w:asciiTheme="minorEastAsia" w:hAnsiTheme="minorEastAsia" w:eastAsiaTheme="minorEastAsia" w:cstheme="minorEastAsia"/>
          <w:b/>
          <w:sz w:val="32"/>
          <w:szCs w:val="32"/>
        </w:rPr>
        <w:t>第五章　董事会</w:t>
      </w:r>
      <w:bookmarkEnd w:id="19"/>
      <w:bookmarkEnd w:id="20"/>
    </w:p>
    <w:p w14:paraId="4F3E0ACC">
      <w:pPr>
        <w:pStyle w:val="31"/>
        <w:spacing w:before="360" w:after="360" w:line="500" w:lineRule="exact"/>
        <w:outlineLvl w:val="1"/>
        <w:rPr>
          <w:rFonts w:hint="eastAsia" w:asciiTheme="minorEastAsia" w:hAnsiTheme="minorEastAsia" w:eastAsiaTheme="minorEastAsia" w:cstheme="minorEastAsia"/>
          <w:sz w:val="28"/>
          <w:szCs w:val="28"/>
        </w:rPr>
      </w:pPr>
      <w:bookmarkStart w:id="21" w:name="_Toc261168821"/>
      <w:bookmarkStart w:id="22" w:name="_Toc29301"/>
      <w:r>
        <w:rPr>
          <w:rFonts w:hint="eastAsia" w:asciiTheme="minorEastAsia" w:hAnsiTheme="minorEastAsia" w:eastAsiaTheme="minorEastAsia" w:cstheme="minorEastAsia"/>
          <w:sz w:val="28"/>
          <w:szCs w:val="28"/>
        </w:rPr>
        <w:t>第一节　董事</w:t>
      </w:r>
      <w:bookmarkEnd w:id="21"/>
      <w:bookmarkEnd w:id="22"/>
    </w:p>
    <w:p w14:paraId="1A3110C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23" w:name="_Ref422068170"/>
      <w:r>
        <w:rPr>
          <w:rFonts w:hint="eastAsia" w:asciiTheme="minorEastAsia" w:hAnsiTheme="minorEastAsia" w:eastAsiaTheme="minorEastAsia" w:cstheme="minorEastAsia"/>
          <w:sz w:val="24"/>
        </w:rPr>
        <w:t>公司董事为自然人，有下列情形之一的，不能担任公司的董事：</w:t>
      </w:r>
      <w:bookmarkEnd w:id="23"/>
    </w:p>
    <w:p w14:paraId="675E300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（一）无民事行为能力或者限制民事行为能力；</w:t>
      </w:r>
    </w:p>
    <w:p w14:paraId="23659F8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（二）因贪污、贿赂、侵占财产、挪用财产或者破坏社会主义市场经济秩序，被判处刑罚，执行期满未逾五年，或者因犯罪被剥夺政治权利，执行期满未逾五年；</w:t>
      </w:r>
    </w:p>
    <w:p w14:paraId="0CA5410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（三）担任破产清算的公司、企业的董事或者厂长、总经理，对该公司、企业的破产负有个人责任的，自该公司、企业破产清算完结之日起未逾三年；</w:t>
      </w:r>
    </w:p>
    <w:p w14:paraId="3ABD6F1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（四）担任因违法被吊销营业执照、责令关闭的公司、企业的法定代表人，并负有个人责任的，自该公司、企业被吊销营业执照之日起未逾三年；</w:t>
      </w:r>
    </w:p>
    <w:p w14:paraId="105C416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（五）个人所负数额较大的债务到期未清偿；</w:t>
      </w:r>
    </w:p>
    <w:p w14:paraId="3E465AD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（六）被中国证监会处以证券市场禁入处罚，期限未满的；</w:t>
      </w:r>
    </w:p>
    <w:p w14:paraId="2C17FA6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（七）被证券交易所公开认定不适合担任公司董事、监事和高级管理人员，期限尚未届满；</w:t>
      </w:r>
    </w:p>
    <w:p w14:paraId="2EEEAE9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（八）法律、行政法规或部门规章规定的其他内容。</w:t>
      </w:r>
    </w:p>
    <w:p w14:paraId="15ABC66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董事候选人存在下列情形之一的，公司应当披露该候选人具体情况、拟聘请该候选人的原因以及是否影响公司规范运作，并提示相关风险：</w:t>
      </w:r>
    </w:p>
    <w:p w14:paraId="79E6E2B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（一）最近三年收到中国证监会行政处罚；</w:t>
      </w:r>
    </w:p>
    <w:p w14:paraId="2995428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（二）最近三年内收到证券交易所公开谴责或者三次以上通报批评；</w:t>
      </w:r>
    </w:p>
    <w:p w14:paraId="5E26152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（三）因涉嫌犯罪被司法机关立案侦查或者涉嫌违法违规被中国证监会立案调查，尚未有明确结论意见。</w:t>
      </w:r>
    </w:p>
    <w:p w14:paraId="76073AE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上述期间，应当以公司董事会、股东会等有权机构审议董事、监事和高级管理人员</w:t>
      </w:r>
      <w:r>
        <w:rPr>
          <w:rFonts w:hint="eastAsia" w:asciiTheme="minorEastAsia" w:hAnsiTheme="minorEastAsia" w:eastAsiaTheme="minorEastAsia" w:cstheme="minorEastAsia"/>
          <w:kern w:val="0"/>
          <w:sz w:val="24"/>
          <w:lang w:val="zh-CN"/>
        </w:rPr>
        <w:t>候选人聘任议案的日期为截止日。</w:t>
      </w:r>
    </w:p>
    <w:p w14:paraId="0E6BD52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违反本条规定选举、委派董事的，该选举、委派或者聘任无效。董事在任职期间出现本条情形的，公司解除其职务。</w:t>
      </w:r>
    </w:p>
    <w:p w14:paraId="59DC671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董事由股东会选举或更换，并可在任期届满前由股东会解除其职务。董事每届任期三年。董事任期届满，可连选连任。</w:t>
      </w:r>
    </w:p>
    <w:p w14:paraId="776CEE1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董事任期从就任之日起计算，至本届董事会任期届满时为止。董事任期届满未及时改选，在改选出的董事就任前，原董事仍应当依照法律、行政法规、部门规章和本章程的规定，履行董事职务。</w:t>
      </w:r>
    </w:p>
    <w:p w14:paraId="28F6124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董事可以由总经理或者其他高级管理人员兼任，但兼任总经理或者其他高级管理人员职务的董事以及由职工代表担任的董事，总计不得超过公司董事总数的二分之一。</w:t>
      </w:r>
    </w:p>
    <w:p w14:paraId="0327799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24" w:name="_Ref422068271"/>
      <w:r>
        <w:rPr>
          <w:rFonts w:hint="eastAsia" w:asciiTheme="minorEastAsia" w:hAnsiTheme="minorEastAsia" w:eastAsiaTheme="minorEastAsia" w:cstheme="minorEastAsia"/>
          <w:sz w:val="24"/>
        </w:rPr>
        <w:t>董事应当遵守法律、行政法规和本章程，对公司负有下列忠实义务：</w:t>
      </w:r>
      <w:bookmarkEnd w:id="24"/>
    </w:p>
    <w:p w14:paraId="1C6F98B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（一）不得利用职权贿赂或者收受其他非法收入，不得侵占公司的财产；</w:t>
      </w:r>
    </w:p>
    <w:p w14:paraId="0042E46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（二）不得挪用公司资金；</w:t>
      </w:r>
    </w:p>
    <w:p w14:paraId="2140085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（三）不得将公司资产或者资金以其个人名义或者其他个人名义开立账户存储；</w:t>
      </w:r>
    </w:p>
    <w:p w14:paraId="308C1CA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（四）不得违反本章程的规定，未经股东会或董事会同意，将公司资金借贷给他人或者以公司财产为他人提供担保；</w:t>
      </w:r>
    </w:p>
    <w:p w14:paraId="0A33823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（五）除按本章程的规定经董事会或股东会同意外，不得直接或间接与本公司订立合同或者进行交易；</w:t>
      </w:r>
    </w:p>
    <w:p w14:paraId="751657A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除按本章程的规定经董事会或股东会同意，或根据法律、行政法规、本章程的规定，公司不能利用该商业机会外，不得利用职务便利，为自己或他人谋取本应属于公司的商业机会，自营或者为他人经营与本公司同类的业务；</w:t>
      </w:r>
    </w:p>
    <w:p w14:paraId="752CC6C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（七）不得接受与公司交易的佣金归为己有；</w:t>
      </w:r>
    </w:p>
    <w:p w14:paraId="51D2B3E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（八）不得擅自披露公司秘密；</w:t>
      </w:r>
    </w:p>
    <w:p w14:paraId="1B4CAF9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（九）不得利用其关联关系损害公司利益；</w:t>
      </w:r>
    </w:p>
    <w:p w14:paraId="320F0D9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（十）应当采取措施避免自身利益与公司利益冲突，不得利用职权牟取不正当利益；</w:t>
      </w:r>
    </w:p>
    <w:p w14:paraId="67F9D5D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（十一）法律、行政法规、部门规章及本章程规定的其他忠实义务。</w:t>
      </w:r>
    </w:p>
    <w:p w14:paraId="768CFDE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董事违反本条规定所得的收入，应当归公司所有；给公司造成损失的，应当承担赔偿责任。</w:t>
      </w:r>
    </w:p>
    <w:p w14:paraId="19F5899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25" w:name="_Ref422068286"/>
      <w:r>
        <w:rPr>
          <w:rFonts w:hint="eastAsia" w:asciiTheme="minorEastAsia" w:hAnsiTheme="minorEastAsia" w:eastAsiaTheme="minorEastAsia" w:cstheme="minorEastAsia"/>
          <w:sz w:val="24"/>
        </w:rPr>
        <w:t>董事应当遵守法律、行政法规和本章程，对公司负有下列勤勉义务：</w:t>
      </w:r>
      <w:bookmarkEnd w:id="25"/>
    </w:p>
    <w:p w14:paraId="7BAC5DA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（一）应谨慎、认真、勤勉地行使公司赋予的权利，以保证公司的商业行为符合国家法律、行政法规以及国家各项经济政策的要求，商业活动不超过营业执照规定的业务范围；</w:t>
      </w:r>
    </w:p>
    <w:p w14:paraId="1E922D9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（二）应公平对待所有股东；</w:t>
      </w:r>
    </w:p>
    <w:p w14:paraId="68EC6E0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（三）及时了解公司业务经营管理状况；</w:t>
      </w:r>
    </w:p>
    <w:p w14:paraId="51469AE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（四）应当对公司定期报告签署书面确认意见。保证公司所披露的信息真实、准确、完整；</w:t>
      </w:r>
    </w:p>
    <w:p w14:paraId="1CB2446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（五）应当如实向监事会提供有关情况和资料，不得妨碍监事会或者监事行使职权;</w:t>
      </w:r>
    </w:p>
    <w:p w14:paraId="3BADB2F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（六）执行职务应当为公司的最大利益尽到管理者通常应有的合理注意；</w:t>
      </w:r>
    </w:p>
    <w:p w14:paraId="7DF6CFC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（七）法律、行政法规、部门规章及本章程规定的其他勤勉义务。</w:t>
      </w:r>
    </w:p>
    <w:p w14:paraId="008DCD27">
      <w:pPr>
        <w:numPr>
          <w:ilvl w:val="0"/>
          <w:numId w:val="1"/>
        </w:numPr>
        <w:tabs>
          <w:tab w:val="left" w:pos="0"/>
          <w:tab w:val="left" w:pos="1440"/>
          <w:tab w:val="left" w:pos="2040"/>
        </w:tabs>
        <w:spacing w:line="48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董事连续两次未能亲自出席，也不委托其他董事出席董事会会议，视为不能履行职责，董事会应当在该事实发生之日起三十日内提请股东会解除该董事职务。</w:t>
      </w:r>
    </w:p>
    <w:p w14:paraId="5B040C23">
      <w:pPr>
        <w:numPr>
          <w:ilvl w:val="0"/>
          <w:numId w:val="1"/>
        </w:numPr>
        <w:tabs>
          <w:tab w:val="left" w:pos="0"/>
          <w:tab w:val="left" w:pos="1440"/>
          <w:tab w:val="left" w:pos="2040"/>
        </w:tabs>
        <w:spacing w:line="48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董事可以在任期届满以前提出辞职。董事辞职应向董事会提交书面辞职报告。公司应当对独立董事辞职的原因及关注事项予以披露。</w:t>
      </w:r>
    </w:p>
    <w:p w14:paraId="455272A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如因董事的辞职导致公司董事会低于法定最低人数时，在改选出的董事就任前，原董事仍应当依照法律、行政法规、部门规章和本章程规定，履行董事职务。</w:t>
      </w:r>
    </w:p>
    <w:p w14:paraId="07066BF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除前款所列情形外，董事辞职自辞职报告送达董事会时生效。</w:t>
      </w:r>
    </w:p>
    <w:p w14:paraId="1C685B5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辞职生效或者任期届满，应向董事会办妥所有移交手续，其对公司和股东承担的忠实义务，在任期结束后并不当然解除，在董事辞职生效或者任期届满后五年内仍然有效，但其对公司商业秘密的保密义务直至该秘密成为公开信息，不以五年为限。</w:t>
      </w:r>
    </w:p>
    <w:p w14:paraId="6A83E69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14:paraId="61317F6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董事执行公司职务时违反法律、行政法规、部门规章或本章程的规定，给公司造成损失的，应当承担赔偿责任。</w:t>
      </w:r>
    </w:p>
    <w:p w14:paraId="42F2534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公司设独立董事。独立董事的任职条件、提名和选举程序、任期、辞职及职权等相关事宜，按照法律、行政法规及部门规章的有关规定执行。</w:t>
      </w:r>
    </w:p>
    <w:p w14:paraId="657102EF">
      <w:pPr>
        <w:pStyle w:val="31"/>
        <w:spacing w:before="360" w:after="360" w:line="500" w:lineRule="exact"/>
        <w:outlineLvl w:val="1"/>
        <w:rPr>
          <w:rFonts w:hint="eastAsia" w:asciiTheme="minorEastAsia" w:hAnsiTheme="minorEastAsia" w:eastAsiaTheme="minorEastAsia" w:cstheme="minorEastAsia"/>
          <w:sz w:val="28"/>
          <w:szCs w:val="28"/>
        </w:rPr>
      </w:pPr>
      <w:bookmarkStart w:id="26" w:name="_Toc261168822"/>
      <w:bookmarkStart w:id="27" w:name="_Toc9390"/>
      <w:r>
        <w:rPr>
          <w:rFonts w:hint="eastAsia" w:asciiTheme="minorEastAsia" w:hAnsiTheme="minorEastAsia" w:eastAsiaTheme="minorEastAsia" w:cstheme="minorEastAsia"/>
          <w:sz w:val="28"/>
          <w:szCs w:val="28"/>
        </w:rPr>
        <w:t>第二节　董事会</w:t>
      </w:r>
      <w:bookmarkEnd w:id="26"/>
      <w:bookmarkEnd w:id="27"/>
    </w:p>
    <w:p w14:paraId="3B8A839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公司设董事会，对股东会负责。</w:t>
      </w:r>
    </w:p>
    <w:p w14:paraId="4BE7CA0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由八名董事组成，设董事长一名、副董事长一名。董事会成员中包括三名独立董事，且其中至少包括一名具有注册会计师资格或具有会计、审计或者财务管理专业的高级职称、副教授或以上职称、博士学位的会计专业人员。</w:t>
      </w:r>
    </w:p>
    <w:p w14:paraId="163DED32">
      <w:pPr>
        <w:tabs>
          <w:tab w:val="left" w:pos="0"/>
          <w:tab w:val="left" w:pos="1440"/>
          <w:tab w:val="left" w:pos="2040"/>
        </w:tabs>
        <w:spacing w:before="156" w:beforeLines="50" w:after="156" w:afterLines="50"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设立审计委员会、战略委员会、提名委员会、薪酬与考核委员会等专门委员会。专门委员会对董事会负责，依照本章程和董事会授权履行职责，提案应当提交董事会审议决定。专门委员会成员全部由董事组成，其中审计委员会、提名委员会、薪酬与考核委员会中独立董事应占多数并担任召集人，审计委员会中至少应有一名独立董事是会计专业人士并担任召集人。董事会负责制定专门委员会工作规程，规范专门委员会的运作。</w:t>
      </w:r>
    </w:p>
    <w:p w14:paraId="0B38F6E8">
      <w:pPr>
        <w:tabs>
          <w:tab w:val="left" w:pos="0"/>
          <w:tab w:val="left" w:pos="1440"/>
          <w:tab w:val="left" w:pos="2040"/>
        </w:tabs>
        <w:spacing w:before="156" w:beforeLines="50" w:after="156" w:afterLines="50"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建立独立董事专门会议制度，定期或者不定期召开全部由独立董事参加的会议，对相关事项进行审议。独立董事专门会议可以根据需要研究讨论公司其他事项。公司应当为独立董事专门会议的召开提供便利和支持。</w:t>
      </w:r>
    </w:p>
    <w:p w14:paraId="60C166A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董事会行使下列职权：</w:t>
      </w:r>
    </w:p>
    <w:p w14:paraId="768C56E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（一）召集股东会，并向股东会报告工作；</w:t>
      </w:r>
    </w:p>
    <w:p w14:paraId="00EDEEC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（二）执行股东会的决议；</w:t>
      </w:r>
    </w:p>
    <w:p w14:paraId="42ECFCB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（三）决定公司的经营计划和投资方案；</w:t>
      </w:r>
    </w:p>
    <w:p w14:paraId="18A7BE7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（四）制订公司的年度财务预算方案、决算方案；</w:t>
      </w:r>
    </w:p>
    <w:p w14:paraId="7642B33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（五）制订公司的利润分配方案和弥补亏损方案；</w:t>
      </w:r>
    </w:p>
    <w:p w14:paraId="77E1687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（六）制订公司增加或者减少注册资本、发行债券或其他证券及上市方案；</w:t>
      </w:r>
    </w:p>
    <w:p w14:paraId="1D70AAD1">
      <w:pPr>
        <w:spacing w:line="500" w:lineRule="exact"/>
        <w:ind w:left="1199" w:leftChars="228" w:hanging="720" w:hanging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（七）拟订公司重大收购、收购本公司股票或者合并、分立、解散及变更公司形式的方案；</w:t>
      </w:r>
    </w:p>
    <w:p w14:paraId="0655DFD5">
      <w:pPr>
        <w:spacing w:line="500" w:lineRule="exact"/>
        <w:ind w:left="1199" w:leftChars="228" w:hanging="720" w:hanging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（八）在股东会授权范围内，决定公司对外投资、收购出售资产、资产抵押、对外担保事项、委托理财、关联交易等事项；</w:t>
      </w:r>
    </w:p>
    <w:p w14:paraId="2778A1E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（九）决定公司内部管理机构的设置；</w:t>
      </w:r>
    </w:p>
    <w:p w14:paraId="59E9001A">
      <w:pPr>
        <w:spacing w:line="500" w:lineRule="exact"/>
        <w:ind w:left="1199" w:leftChars="228" w:hanging="720" w:hanging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（十）聘任或者解聘公司总经理、董事会秘书；根据总经理的提名，聘任或者解聘公司副总经理、财务负责人等高级管理人员，并决定其报酬事项和奖惩事项；</w:t>
      </w:r>
    </w:p>
    <w:p w14:paraId="5AB5BAB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（十一）制订公司的基本管理制度；</w:t>
      </w:r>
    </w:p>
    <w:p w14:paraId="08C8CD1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（十二）制订本章程的修改方案；</w:t>
      </w:r>
    </w:p>
    <w:p w14:paraId="1A7066D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（十三）管理公司信息披露事项；</w:t>
      </w:r>
    </w:p>
    <w:p w14:paraId="6526E3A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（十四）向股东会提请聘请或更换为公司审计的会计师事务所；</w:t>
      </w:r>
    </w:p>
    <w:p w14:paraId="1FF886C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（十五）听取公司总经理的工作汇报并检查总经理的工作；</w:t>
      </w:r>
    </w:p>
    <w:p w14:paraId="1C57B64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（十六）制定公司的股权激励计划方案；</w:t>
      </w:r>
    </w:p>
    <w:p w14:paraId="3C142B2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（十七）决定公司因本章程第二十四条第一款第（三）项、第（五）项、第（六）项规定的情形收购本公司股份的相关事项；</w:t>
      </w:r>
    </w:p>
    <w:p w14:paraId="3899793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（十八）决定单笔贷款额占公司最近一期经审计净资产的50%以上，且超过人民币5,000万元的贷款；</w:t>
      </w:r>
    </w:p>
    <w:p w14:paraId="72CCEAA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（十九）决定公司资产负债率超过75%（根据公司最近一期经审计财务数据计算）以后的任何银行授信额度使用</w:t>
      </w:r>
    </w:p>
    <w:p w14:paraId="6BF93CF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（二十）法律、行政法规、部门规章、本章程授予及股东会及总经理法定职权以外的其他职权。</w:t>
      </w:r>
    </w:p>
    <w:p w14:paraId="53A4311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公司董事会应当就注册会计师对公司财务报告出具的非标准审计意见向股东会作出说明。</w:t>
      </w:r>
    </w:p>
    <w:p w14:paraId="5CFBE7BE">
      <w:pPr>
        <w:numPr>
          <w:ilvl w:val="0"/>
          <w:numId w:val="1"/>
        </w:numPr>
        <w:tabs>
          <w:tab w:val="left" w:pos="0"/>
          <w:tab w:val="left" w:pos="1440"/>
          <w:tab w:val="left" w:pos="2040"/>
          <w:tab w:val="left" w:pos="32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董事会将依照法律、行政法规及规范性文件的要求制定董事会议事规则，以确保董事会落实股东会决议，提高工作效率，保证科学决策。</w:t>
      </w:r>
    </w:p>
    <w:p w14:paraId="46F63A3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董事会议事规则作为本章程的附件，由董事会拟定，股东会批准。</w:t>
      </w:r>
    </w:p>
    <w:p w14:paraId="364003C0">
      <w:pPr>
        <w:numPr>
          <w:ilvl w:val="0"/>
          <w:numId w:val="1"/>
        </w:numPr>
        <w:tabs>
          <w:tab w:val="left" w:pos="0"/>
          <w:tab w:val="left" w:pos="1440"/>
          <w:tab w:val="left" w:pos="2040"/>
        </w:tabs>
        <w:spacing w:before="156" w:beforeLines="50" w:line="360" w:lineRule="auto"/>
        <w:ind w:left="0"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董事会应当确定公司对外投资、收购出售资产、资产抵押、对外担保事项、委托理财、关联交易的权限，建立严格的审查和决策程序；重大投资项目应当组织有关专家、专业人员进行评审，并报股东会批准。</w:t>
      </w:r>
    </w:p>
    <w:p w14:paraId="50DCBEF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董事会享有下列决策权限：</w:t>
      </w:r>
    </w:p>
    <w:p w14:paraId="3F97820B">
      <w:pPr>
        <w:spacing w:line="500" w:lineRule="exact"/>
        <w:ind w:left="13"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（一）决定除本章程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REF _Ref422062602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第四十三条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规定须经股东会审批以外的对外担保事项，董事会审议担保事项时，除应当经全体董事的过半数通过外，还必须经出席董事会会议的三分之二以上董事审议同意。</w:t>
      </w:r>
    </w:p>
    <w:p w14:paraId="3264B830">
      <w:pPr>
        <w:spacing w:line="500" w:lineRule="exact"/>
        <w:ind w:left="13"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决定公司与关联法人发生的金额在300万元以上，且占公司最近一期经审计净资产绝对值0.5%以上的关联交易；决定公司与关联自然人发生的交易金额在30万元以上的关联交易。但公司与关联人发生的交易金额在3,000万元以上，且占公司最近一期经审计净资产绝对值5%以上的关联交易，应提交股东会审议。</w:t>
      </w:r>
    </w:p>
    <w:p w14:paraId="5CFADB42">
      <w:pPr>
        <w:pStyle w:val="46"/>
        <w:spacing w:line="500" w:lineRule="exact"/>
        <w:ind w:left="13" w:firstLine="480" w:firstLineChars="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（三）决定下列交易事项：</w:t>
      </w:r>
    </w:p>
    <w:p w14:paraId="45D34235">
      <w:pPr>
        <w:spacing w:line="500" w:lineRule="exact"/>
        <w:ind w:left="13"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交易涉及的资产总额占公司最近一期经审计总资产的10%以上，但交易涉及的资产总额占公司最近一期经审计总资产的50%以上或公司在一年内购买、出售重大资产超过公司最近一期经审计总资产30%的事项，还应提交股东会审议。该交易涉及的资产总额同时存在账面值和评估值的，以较高者作为计算数据；</w:t>
      </w:r>
    </w:p>
    <w:p w14:paraId="6E272851">
      <w:pPr>
        <w:spacing w:line="500" w:lineRule="exact"/>
        <w:ind w:left="13"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 交易标的(如股权)在最近一个会计年度相关的营业收入占公司最近一个会计年度经审计营业收入的10%以上，且绝对金额超过1000万元人民币；但交易标的(如股权)在最近一个会计年度相关的营业收入占公司最近一个会计年度经审计营业收入的50%以上，且绝对金额超过5000万元人民币的，还应提交股东会审议；</w:t>
      </w:r>
    </w:p>
    <w:p w14:paraId="6F429E4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 交易标的(如股权)在最近一个会计年度相关的净利润占公司最近一个会计年度经审计净利润的10%以上，且绝对金额超过100万元人民币；但交易标的(如股权)在最近一个会计年度相关的净利润占公司最近一个会计年度经审计净利润的50%以上，且绝对金额超过500万元人民币的，还应提交股东会审议；</w:t>
      </w:r>
    </w:p>
    <w:p w14:paraId="69BF684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 交易的成交金额（含承担债务和费用）占公司最近一期经审计净资产的10%以上，且绝对金额超过1000万元人民币；但交易的成交金额（含承担债务和费用）占公司最近一期经审计净资产的50%以上，且绝对金额超过5000万元人民币的，还应提交股东会审议；</w:t>
      </w:r>
    </w:p>
    <w:p w14:paraId="6F0F6AB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 交易产生的利润占公司最近一个会计年度经审计净利润的10%以上，且绝对金额超过100万元人民币；但交易产生的利润占公司最近一个会计年度经审计净利润的50%以上，且绝对金额超过500万元人民币的，还应提交股东会审议。</w:t>
      </w:r>
    </w:p>
    <w:p w14:paraId="3D7CE36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上述指标计算中涉及的数据如为负值，取其绝对值计算。上述交易的定义见本章程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REF _Ref422062556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第四十二条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第三款的规定。上述交易事项，如法律、法规、规范性文件及章程规定须提交股东会审议通过的，应在董事会审议通过后提交股东会审议。</w:t>
      </w:r>
    </w:p>
    <w:p w14:paraId="7B2D2E8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董事会设董事长一名，设副董事长一名。董事长和副董事长由董事会以全体董事的过半数选举产生和罢免。</w:t>
      </w:r>
    </w:p>
    <w:p w14:paraId="0F5FB74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董事长行使下列职权：</w:t>
      </w:r>
    </w:p>
    <w:p w14:paraId="660719E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（一）主持股东会和召集、主持董事会会议；</w:t>
      </w:r>
    </w:p>
    <w:p w14:paraId="3979771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（二）督促、检查董事会决议的执行；</w:t>
      </w:r>
    </w:p>
    <w:p w14:paraId="03DB058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（三）签署董事会重要文件和其他应由董事长签署的文件；</w:t>
      </w:r>
    </w:p>
    <w:p w14:paraId="046FC0C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（四）董事会授予的其他职权。</w:t>
      </w:r>
    </w:p>
    <w:p w14:paraId="4E4400C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公司副董事长协助董事长工作，董事长不能履行职务或者不履行职务的，由副董事长履行职务；副董事长不能履行职务或者不履行职务的，由半数以上董事共同推举一名董事履行职务。</w:t>
      </w:r>
    </w:p>
    <w:p w14:paraId="21DF257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董事会每年至少召开两次会议，由董事长召集，于会议召开十日以前书面通知全体董事和监事。</w:t>
      </w:r>
    </w:p>
    <w:p w14:paraId="5D770C3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代表十分之一以上表决权的股东、三分之一以上董事或者监事会，可以提议召开董事会临时会议。董事长应当自接到提议后10日内，召集和主持董事会会议。</w:t>
      </w:r>
    </w:p>
    <w:p w14:paraId="516C7A8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董事会召开临时董事会会议的通知方式和通知时限为：于会议召开2日以前发出书面通知；但是遇有紧急事由时，可以口头、电话、邮件等方式随时通知召开会议。</w:t>
      </w:r>
    </w:p>
    <w:p w14:paraId="0ED28ED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董事会会议通知包括以下内容：</w:t>
      </w:r>
    </w:p>
    <w:p w14:paraId="3EBF6A0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（一）会议日期和地点；</w:t>
      </w:r>
    </w:p>
    <w:p w14:paraId="5052B1A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（二）会议期限；</w:t>
      </w:r>
    </w:p>
    <w:p w14:paraId="0F7564B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（三）事由及议题；</w:t>
      </w:r>
    </w:p>
    <w:p w14:paraId="25A5007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（四）发出通知的日期。</w:t>
      </w:r>
    </w:p>
    <w:p w14:paraId="4610B6F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董事会会议应有过半数的董事出席方可举行。董事会作出决议，必须经全体董事的过半数通过。</w:t>
      </w:r>
    </w:p>
    <w:p w14:paraId="0A480FB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董事会决议的表决，实行一人一票。</w:t>
      </w:r>
    </w:p>
    <w:p w14:paraId="09901EE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会审议。</w:t>
      </w:r>
    </w:p>
    <w:p w14:paraId="78FF211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董事会审议权限范围内的对外提供担保事项，除应当经全体董事的过半数通过外，还应当取得出席董事会会议的三分之二以上董事同意。</w:t>
      </w:r>
    </w:p>
    <w:p w14:paraId="6EA57BF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董事会决议的表决方式为：采用书面记名投票方式表决。</w:t>
      </w:r>
    </w:p>
    <w:p w14:paraId="5D92BD3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董事会临时会议在保障董事充分表达意见的前提下，可以采用书面（包括以专人、邮寄、传真、及电子邮件等方式送达会议资料）、电话会议、视频会议等方式进行并作出决议，并由参会董事签字。</w:t>
      </w:r>
    </w:p>
    <w:p w14:paraId="617240F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会议，应由董事本人出席；董事因故不能出席，可以书面委托其他董事代为出席，独立董事不得委托非独立董事代为出席会议。委托书中应载明代理人的姓名，代理事项、授权范围和有效期限，并由委托人签名或盖章。代为出席会议的董事应当在授权范围内行使董事的权利。董事未出席董事会会议，亦未委托代表出席的，视为放弃在该次会议上的投票权。</w:t>
      </w:r>
    </w:p>
    <w:p w14:paraId="77326CD0">
      <w:pPr>
        <w:numPr>
          <w:ilvl w:val="0"/>
          <w:numId w:val="1"/>
        </w:numPr>
        <w:tabs>
          <w:tab w:val="left" w:pos="0"/>
          <w:tab w:val="left" w:pos="1440"/>
          <w:tab w:val="left" w:pos="2040"/>
        </w:tabs>
        <w:spacing w:line="500" w:lineRule="exact"/>
        <w:ind w:left="0"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董事会应当对会议所议事项的决定做成会议记录，出席会议的董事和记录人应当在会议记录上签名。</w:t>
      </w:r>
      <w:bookmarkStart w:id="28" w:name="OLE_LINK3"/>
      <w:bookmarkStart w:id="29" w:name="OLE_LINK2"/>
      <w:r>
        <w:rPr>
          <w:rFonts w:hint="eastAsia" w:asciiTheme="minorEastAsia" w:hAnsiTheme="minorEastAsia" w:eastAsiaTheme="minorEastAsia" w:cstheme="minorEastAsia"/>
          <w:sz w:val="24"/>
        </w:rPr>
        <w:t>董事有权要求在记录上对其在会议上的发言作出说明性记载。</w:t>
      </w:r>
      <w:bookmarkEnd w:id="28"/>
      <w:bookmarkEnd w:id="29"/>
    </w:p>
    <w:p w14:paraId="64854CCA">
      <w:pPr>
        <w:tabs>
          <w:tab w:val="left" w:pos="0"/>
          <w:tab w:val="left" w:pos="1440"/>
          <w:tab w:val="left" w:pos="2040"/>
        </w:tabs>
        <w:spacing w:line="500" w:lineRule="exact"/>
        <w:ind w:left="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董事会会议记录作为公司档案保存，保存期限不少于十年。</w:t>
      </w:r>
    </w:p>
    <w:p w14:paraId="68DFCA8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董事会会议记录包括以下内容：</w:t>
      </w:r>
    </w:p>
    <w:p w14:paraId="6C68B0F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（一）会议召开的日期、地点和召集人姓名；</w:t>
      </w:r>
    </w:p>
    <w:p w14:paraId="075B035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（二）出席董事的姓名以及受他人委托出席董事会的董事（代理人）姓名；</w:t>
      </w:r>
    </w:p>
    <w:p w14:paraId="499B552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（三）会议议程；</w:t>
      </w:r>
    </w:p>
    <w:p w14:paraId="671E966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（四）董事发言要点；</w:t>
      </w:r>
    </w:p>
    <w:p w14:paraId="1B7BDF9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（五）每一决议事项的表决方式和结果（表决结果应载明赞成、反对或弃权的票数）。</w:t>
      </w:r>
    </w:p>
    <w:p w14:paraId="11C70B63">
      <w:pPr>
        <w:numPr>
          <w:ilvl w:val="0"/>
          <w:numId w:val="1"/>
        </w:numPr>
        <w:tabs>
          <w:tab w:val="left" w:pos="0"/>
          <w:tab w:val="left" w:pos="1440"/>
          <w:tab w:val="left" w:pos="2040"/>
        </w:tabs>
        <w:spacing w:line="480" w:lineRule="exact"/>
        <w:ind w:left="0" w:firstLine="42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应当对董事会的决议承担责任。董事会的决议违反法律、行政法规或者公司章程、股东会决议，致使公司遭受严重损失的，参与决议的董事对公司负赔偿责任。但经证明在表决时曾表明异议并记载于会议记录的，该董事可以免除责任。</w:t>
      </w:r>
    </w:p>
    <w:p w14:paraId="29FEA07B">
      <w:pPr>
        <w:numPr>
          <w:ilvl w:val="0"/>
          <w:numId w:val="1"/>
        </w:numPr>
        <w:tabs>
          <w:tab w:val="left" w:pos="0"/>
          <w:tab w:val="left" w:pos="1440"/>
          <w:tab w:val="left" w:pos="2040"/>
        </w:tabs>
        <w:spacing w:line="480" w:lineRule="exact"/>
        <w:ind w:left="0" w:firstLine="42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公司另行制定《独立董事工作制度》。独立董事应按照法律、行政法规、规范性文件、《公司章程》及《独立董事工作制度》的规定履行职责。</w:t>
      </w:r>
    </w:p>
    <w:p w14:paraId="58F5FD02">
      <w:pPr>
        <w:pStyle w:val="33"/>
        <w:spacing w:before="360" w:after="360" w:line="500" w:lineRule="exact"/>
        <w:outlineLvl w:val="0"/>
        <w:rPr>
          <w:rFonts w:hint="eastAsia" w:asciiTheme="minorEastAsia" w:hAnsiTheme="minorEastAsia" w:eastAsiaTheme="minorEastAsia" w:cstheme="minorEastAsia"/>
          <w:b/>
          <w:sz w:val="32"/>
          <w:szCs w:val="32"/>
        </w:rPr>
      </w:pPr>
      <w:bookmarkStart w:id="30" w:name="_Toc261168823"/>
      <w:bookmarkStart w:id="31" w:name="_Toc7075"/>
      <w:r>
        <w:rPr>
          <w:rFonts w:hint="eastAsia" w:asciiTheme="minorEastAsia" w:hAnsiTheme="minorEastAsia" w:eastAsiaTheme="minorEastAsia" w:cstheme="minorEastAsia"/>
          <w:b/>
          <w:sz w:val="32"/>
          <w:szCs w:val="32"/>
        </w:rPr>
        <w:t>第六章　总经理及其他高级管理人员</w:t>
      </w:r>
      <w:bookmarkEnd w:id="30"/>
      <w:bookmarkEnd w:id="31"/>
    </w:p>
    <w:p w14:paraId="6FF8288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公司设总经理一名，由董事会聘任或解聘。</w:t>
      </w:r>
    </w:p>
    <w:p w14:paraId="1E37344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公司设副总经理若干名，由董事会聘任或解聘。</w:t>
      </w:r>
    </w:p>
    <w:p w14:paraId="46DD906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公司总经理、副总经理、财务负责人、董事会秘书及其他依本章程规定被公司董事会聘任为高级管理人员的雇员为公司高级管理人员。</w:t>
      </w:r>
    </w:p>
    <w:p w14:paraId="3CF904D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REF _Ref422068170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第九十九条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关于不得担任董事的情形同时适用于高级管理人员。</w:t>
      </w:r>
    </w:p>
    <w:p w14:paraId="383AEAD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_Ref422068271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第一百〇一条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关于董事的忠实义务和</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REF _Ref422068286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第一百〇二条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中第（四）至（六）项关于勤勉义务的规定，同时适用于高级管理人员。</w:t>
      </w:r>
    </w:p>
    <w:p w14:paraId="4750324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在公司控股股东单位担任除董事、监事以外的其他行政职务的人员，不得担任公司的高级管理人员。</w:t>
      </w:r>
    </w:p>
    <w:p w14:paraId="6AA6283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总经理每届任期三年，连聘可以连任。</w:t>
      </w:r>
    </w:p>
    <w:p w14:paraId="0361659B">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总经理对董事会负责，行使下列职权：</w:t>
      </w:r>
    </w:p>
    <w:p w14:paraId="4A83917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（一）主持公司的生产经营管理工作，组织实施董事会决议，并向董事会报告工作；</w:t>
      </w:r>
    </w:p>
    <w:p w14:paraId="346FADB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（二）组织实施公司年度经营计划和投资方案；</w:t>
      </w:r>
    </w:p>
    <w:p w14:paraId="3B67FD2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（三）拟订公司内部管理机构设置方案；</w:t>
      </w:r>
    </w:p>
    <w:p w14:paraId="1F67997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（四）拟订公司的基本管理制度；</w:t>
      </w:r>
    </w:p>
    <w:p w14:paraId="6476101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（五）制定公司的具体规章；</w:t>
      </w:r>
    </w:p>
    <w:p w14:paraId="20550BB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（六）提请董事会聘任或者解聘公司副总经理、财务负责人；</w:t>
      </w:r>
    </w:p>
    <w:p w14:paraId="79B03E6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（七）决定聘任或者解聘除应由董事会决定聘任或者解聘以外的负责管理人员；</w:t>
      </w:r>
    </w:p>
    <w:p w14:paraId="7955FE9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（八）决定交易事项（提供担保、提供财务资助除外）中达到下列标准的事项：</w:t>
      </w:r>
    </w:p>
    <w:p w14:paraId="731470F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 交易涉及的资产总额占公司最近一期经审计总资产的比例低于10%，该交易涉及的资产总额同时存在账面值和评估值的，以较高者作为计算数据；</w:t>
      </w:r>
    </w:p>
    <w:p w14:paraId="723EC80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2．交易标的（如股权）在最近一个会计年度相关的营业收入占公司最近一个会计年度经审计营业收入的比例低于10%，或绝对金额不超过1000万元；</w:t>
      </w:r>
    </w:p>
    <w:p w14:paraId="6D8C06E9">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 交易标的（如股权）在最近一个会计年度相关的净利润占公司最近一个会计年度经审计净利润的比例低于10%，或绝对金额不超过100万元；</w:t>
      </w:r>
    </w:p>
    <w:p w14:paraId="2FF2012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 交易的成交金额（含承担债务和费用）占公司最近一期经审计净资产的比例低于10%，或绝对金额不超过1000万元；</w:t>
      </w:r>
    </w:p>
    <w:p w14:paraId="7223B77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 交易产生的利润占公司最近一个会计年度经审计净利润的比例低于10%，或绝对金额不超过100万元。</w:t>
      </w:r>
    </w:p>
    <w:p w14:paraId="6C3FA9C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（九）决定公司与关联方发生的如下关联交易（提供担保除外）：</w:t>
      </w:r>
    </w:p>
    <w:p w14:paraId="61621E3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 公司与关联自然人发生的交易金额不超过30万元的关联交易；</w:t>
      </w:r>
    </w:p>
    <w:p w14:paraId="0C2D66C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 公司与关联法人发生的交易金额不超过300万元的关联交易，或低于上市公司最近一期经审计净资产绝对值0.5%的关联交易。</w:t>
      </w:r>
    </w:p>
    <w:p w14:paraId="44CC37A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上述关联方与总经理有关联关系的，该等关联交易应提交董事会审议。</w:t>
      </w:r>
    </w:p>
    <w:p w14:paraId="1544920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（十）决定公司在一年内购买、出售重大资产低于公司最近一期经审计总资产10%的事项；</w:t>
      </w:r>
    </w:p>
    <w:p w14:paraId="4FEC85E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（十一）决定单笔贷款额未达到公司最近一期经审计净资产的50%，或未超过人民币5,000万元的贷款；</w:t>
      </w:r>
    </w:p>
    <w:p w14:paraId="3FD916B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（十二）申请银行授信额度，决定公司资产负债率未超过75%（根据公司最近一期经审计财务数据计算）时的任何银行授信额度使用；</w:t>
      </w:r>
    </w:p>
    <w:p w14:paraId="70ED052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（十三）代表公司签署董事会或董事长批准的业务合同；</w:t>
      </w:r>
    </w:p>
    <w:p w14:paraId="6980FD2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（十四）本章程或董事会授予的其他职权。</w:t>
      </w:r>
    </w:p>
    <w:p w14:paraId="147DA7E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总经理列席董事会会议。</w:t>
      </w:r>
    </w:p>
    <w:p w14:paraId="339FFD4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总经理应制订总经理工作细则，报董事会批准后实施。</w:t>
      </w:r>
    </w:p>
    <w:p w14:paraId="1BC3450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总经理工作细则包括下列内容：</w:t>
      </w:r>
    </w:p>
    <w:p w14:paraId="2D3C3A5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（一）总经理会议召开的条件、程序和参加的人员；</w:t>
      </w:r>
    </w:p>
    <w:p w14:paraId="7A9808A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（二）总经理及其他高级管理人员各自具体的职责及其分工；</w:t>
      </w:r>
    </w:p>
    <w:p w14:paraId="3590ED1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（三）公司资金、资产运用，签订重大合同的权限，以及向董事会、监事会的报告制度；</w:t>
      </w:r>
    </w:p>
    <w:p w14:paraId="13E3B5D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（四）董事会认为必要的其他事项。</w:t>
      </w:r>
    </w:p>
    <w:p w14:paraId="21C4AF7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总经理可以在任期届满以前提出辞职。有关总经理辞职的具体程序和办法由总经理与公司之间的劳动合同规定。</w:t>
      </w:r>
    </w:p>
    <w:p w14:paraId="118C02F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副总经理、财务负责人及其他高级管理人员由总经理提名，董事会决定聘任或者解聘。副总经理、财务负责人协助总经理的工作，向总经理负责并报告工作。</w:t>
      </w:r>
    </w:p>
    <w:p w14:paraId="435B2B1A">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公司设董事会秘书，负责公司股东会和董事会会议的筹备、文件保管以及公司股东资料管理，办理信息披露事务等事宜。</w:t>
      </w:r>
    </w:p>
    <w:p w14:paraId="1B916F1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董事会秘书应遵守法律、行政法规、部门规章及本章程的有关规定。</w:t>
      </w:r>
    </w:p>
    <w:p w14:paraId="10A720B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高级管理人员执行公司职务时违反法律、行政法规、部门规章或本章程的规定，给公司造成损失的，应当承担赔偿责任。</w:t>
      </w:r>
    </w:p>
    <w:p w14:paraId="7F28191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公司高级管理人员应当忠实履行职务，维护公司和全体股东的最大利益。公司高级管理人员因未能忠实履行职务或违背诚信义务，给公司和社会公众股股东的利益造成损害的，应当依法承担赔偿责任。</w:t>
      </w:r>
    </w:p>
    <w:p w14:paraId="769E4871">
      <w:pPr>
        <w:pStyle w:val="33"/>
        <w:spacing w:before="360" w:after="360" w:line="500" w:lineRule="exact"/>
        <w:outlineLvl w:val="0"/>
        <w:rPr>
          <w:rFonts w:hint="eastAsia" w:asciiTheme="minorEastAsia" w:hAnsiTheme="minorEastAsia" w:eastAsiaTheme="minorEastAsia" w:cstheme="minorEastAsia"/>
          <w:b/>
          <w:sz w:val="32"/>
          <w:szCs w:val="32"/>
        </w:rPr>
      </w:pPr>
      <w:bookmarkStart w:id="32" w:name="_Toc15574"/>
      <w:bookmarkStart w:id="33" w:name="_Toc261168824"/>
      <w:r>
        <w:rPr>
          <w:rFonts w:hint="eastAsia" w:asciiTheme="minorEastAsia" w:hAnsiTheme="minorEastAsia" w:eastAsiaTheme="minorEastAsia" w:cstheme="minorEastAsia"/>
          <w:b/>
          <w:sz w:val="32"/>
          <w:szCs w:val="32"/>
        </w:rPr>
        <w:t>第七章　监事会</w:t>
      </w:r>
      <w:bookmarkEnd w:id="32"/>
    </w:p>
    <w:p w14:paraId="314E19F4">
      <w:pPr>
        <w:pStyle w:val="31"/>
        <w:spacing w:before="360" w:after="360" w:line="500" w:lineRule="exact"/>
        <w:outlineLvl w:val="1"/>
        <w:rPr>
          <w:rFonts w:hint="eastAsia" w:asciiTheme="minorEastAsia" w:hAnsiTheme="minorEastAsia" w:eastAsiaTheme="minorEastAsia" w:cstheme="minorEastAsia"/>
          <w:sz w:val="28"/>
          <w:szCs w:val="28"/>
        </w:rPr>
      </w:pPr>
      <w:bookmarkStart w:id="34" w:name="_Toc31285"/>
      <w:r>
        <w:rPr>
          <w:rFonts w:hint="eastAsia" w:asciiTheme="minorEastAsia" w:hAnsiTheme="minorEastAsia" w:eastAsiaTheme="minorEastAsia" w:cstheme="minorEastAsia"/>
          <w:sz w:val="28"/>
          <w:szCs w:val="28"/>
        </w:rPr>
        <w:t>第一节　监事</w:t>
      </w:r>
      <w:bookmarkEnd w:id="33"/>
      <w:bookmarkEnd w:id="34"/>
    </w:p>
    <w:p w14:paraId="1C4665B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REF _Ref422068170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第九十九条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关于不得担任董事的情形，同时适用于监事。</w:t>
      </w:r>
    </w:p>
    <w:p w14:paraId="53B88FD8">
      <w:pPr>
        <w:tabs>
          <w:tab w:val="left" w:pos="2127"/>
        </w:tabs>
        <w:autoSpaceDE w:val="0"/>
        <w:autoSpaceDN w:val="0"/>
        <w:adjustRightInd w:val="0"/>
        <w:snapToGrid w:val="0"/>
        <w:spacing w:line="480" w:lineRule="exact"/>
        <w:ind w:left="13" w:leftChars="6" w:right="-8" w:rightChars="-4"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董事、总经理和其他高级管理人员不得兼任监事。</w:t>
      </w:r>
    </w:p>
    <w:p w14:paraId="6A73290F">
      <w:pPr>
        <w:numPr>
          <w:ilvl w:val="0"/>
          <w:numId w:val="1"/>
        </w:numPr>
        <w:tabs>
          <w:tab w:val="left" w:pos="0"/>
          <w:tab w:val="left" w:pos="1440"/>
          <w:tab w:val="left" w:pos="2040"/>
        </w:tabs>
        <w:spacing w:line="480" w:lineRule="exact"/>
        <w:ind w:left="0" w:firstLine="53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监事应当遵守法律、行政法规和本章程，对公司负有忠实义务和勤勉义务，不得利用职权贿赂或者收受其他非法收入，不得侵占公司的财产。</w:t>
      </w:r>
    </w:p>
    <w:p w14:paraId="5EFB0B40">
      <w:pPr>
        <w:numPr>
          <w:ilvl w:val="0"/>
          <w:numId w:val="1"/>
        </w:numPr>
        <w:tabs>
          <w:tab w:val="left" w:pos="0"/>
          <w:tab w:val="left" w:pos="1440"/>
          <w:tab w:val="left" w:pos="2040"/>
        </w:tabs>
        <w:spacing w:line="480" w:lineRule="exact"/>
        <w:ind w:left="0" w:firstLine="53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监事的任期每届为三年。监事任期届满，连选可以连任。</w:t>
      </w:r>
    </w:p>
    <w:p w14:paraId="5FEB782E">
      <w:pPr>
        <w:numPr>
          <w:ilvl w:val="0"/>
          <w:numId w:val="1"/>
        </w:numPr>
        <w:tabs>
          <w:tab w:val="left" w:pos="0"/>
          <w:tab w:val="left" w:pos="1440"/>
          <w:tab w:val="left" w:pos="2040"/>
        </w:tabs>
        <w:spacing w:line="480" w:lineRule="exact"/>
        <w:ind w:left="0" w:firstLine="53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监事任期届满未及时改选，或者监事在任期内辞职导致监事会成员低于法定人数的，在改选出的监事就任前，原监事仍应当依照法律、行政法规和本章程的规定，履行监事职务。</w:t>
      </w:r>
    </w:p>
    <w:p w14:paraId="676E660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监事应当保证公司披露的信息真实、准确、完整。</w:t>
      </w:r>
    </w:p>
    <w:p w14:paraId="114E362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监事可以列席董事会会议，并对董事会决议事项提出质询或者建议。</w:t>
      </w:r>
    </w:p>
    <w:p w14:paraId="007F39F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监事不得利用其关联关系损害公司利益，若给公司造成损失的，应当承担赔偿责任。</w:t>
      </w:r>
    </w:p>
    <w:p w14:paraId="2BDEEE5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监事执行公司职务时违反法律、行政法规、部门规章或本章程的规定，给公司造成损失的，应当承担赔偿责任。</w:t>
      </w:r>
    </w:p>
    <w:p w14:paraId="2269D832">
      <w:pPr>
        <w:pStyle w:val="31"/>
        <w:spacing w:before="360" w:after="360" w:line="500" w:lineRule="exact"/>
        <w:outlineLvl w:val="1"/>
        <w:rPr>
          <w:rFonts w:hint="eastAsia" w:asciiTheme="minorEastAsia" w:hAnsiTheme="minorEastAsia" w:eastAsiaTheme="minorEastAsia" w:cstheme="minorEastAsia"/>
          <w:sz w:val="28"/>
          <w:szCs w:val="28"/>
        </w:rPr>
      </w:pPr>
      <w:bookmarkStart w:id="35" w:name="_Toc1444"/>
      <w:r>
        <w:rPr>
          <w:rFonts w:hint="eastAsia" w:asciiTheme="minorEastAsia" w:hAnsiTheme="minorEastAsia" w:eastAsiaTheme="minorEastAsia" w:cstheme="minorEastAsia"/>
          <w:sz w:val="28"/>
          <w:szCs w:val="28"/>
        </w:rPr>
        <w:t>第二节　监事会</w:t>
      </w:r>
      <w:bookmarkEnd w:id="35"/>
    </w:p>
    <w:p w14:paraId="5197C6A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设监事会。监事会至少由三名监事组成，监事会设主席一人。监事会主席由全体监事过半数选举产生。监事会主席召集和主持监事会会议；监事会主席不能履行职务或者不履行职务的，由过半数监事共同推举一名监事召集和主持监事会会议。</w:t>
      </w:r>
    </w:p>
    <w:p w14:paraId="46ADA82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监事会应当包括股东代表和适当比例的公司职工代表，其中职工代表的比例不低于三分之一。监事会中的职工代表由公司职工通过职工代表大会、职工大会或者其他形式民主选举产生。</w:t>
      </w:r>
    </w:p>
    <w:p w14:paraId="0F181B3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监事会行使下列职权：</w:t>
      </w:r>
    </w:p>
    <w:p w14:paraId="2AD9A27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（一）应当对董事会编制的公司定期报告进行审核并提出书面审核意见；</w:t>
      </w:r>
    </w:p>
    <w:p w14:paraId="7A39942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（二）检查公司财务；</w:t>
      </w:r>
    </w:p>
    <w:p w14:paraId="0DF48FF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（三）对董事、高级管理人员执行公司职务的行为进行监督，对违反法律、行政法规、本章程或者股东会决议的董事、高级管理人员提出罢免的建议；</w:t>
      </w:r>
    </w:p>
    <w:p w14:paraId="7A44498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（四）当董事、高级管理人员的行为损害公司的利益时，要求董事、高级管理人员予以纠正；</w:t>
      </w:r>
    </w:p>
    <w:p w14:paraId="28C4B1F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（五）提议召开临时股东会，在董事会不履行《公司法》规定的召集和主持股东会职责时召集和主持股东会；</w:t>
      </w:r>
    </w:p>
    <w:p w14:paraId="1CECB50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（六）向股东会提出提案；</w:t>
      </w:r>
    </w:p>
    <w:p w14:paraId="3FEA05B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（七）依照《公司法》规定，对董事、高级管理人员提起诉讼；</w:t>
      </w:r>
    </w:p>
    <w:p w14:paraId="0FEA297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（八）发现公司经营情况异常，可以进行调查；必要时，可以聘请会计师事务所、律师事务所等专业机构协助其工作，费用由公司承担；</w:t>
      </w:r>
    </w:p>
    <w:p w14:paraId="2545172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（九）本章程规定或法律授予的其他职权。</w:t>
      </w:r>
    </w:p>
    <w:p w14:paraId="66967FC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监事会每六个月至少召开一次会议。监事可以提议召开临时监事会会议。紧急情况下，监事会会议可以通讯方式召开。</w:t>
      </w:r>
    </w:p>
    <w:p w14:paraId="36B1914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监事会决议应当经过半数监事通过。</w:t>
      </w:r>
    </w:p>
    <w:p w14:paraId="551EEDF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监事会制定监事会议事规则，明确监事会的议事方式和表决程序，以确保监事会的工作效率和科学决策。</w:t>
      </w:r>
    </w:p>
    <w:p w14:paraId="1E9B034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监事会议事规则作为本章程的附件，由监事会拟定，股东会批准。</w:t>
      </w:r>
    </w:p>
    <w:p w14:paraId="3BD994A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监事会应当将所议事项的决定做成会议记录，出席会议的监事应当在会议记录上签名。</w:t>
      </w:r>
    </w:p>
    <w:p w14:paraId="2527DC8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监事有权要求在会议记录上对其在会议上的发言作出某种说明性记载。监事会会议记录作为公司档案至少保存十年。</w:t>
      </w:r>
    </w:p>
    <w:p w14:paraId="0543DA13">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监事会会议通知包括以下内容：</w:t>
      </w:r>
    </w:p>
    <w:p w14:paraId="1711B2C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（一）举行会议的日期、地点和会议期限；</w:t>
      </w:r>
    </w:p>
    <w:p w14:paraId="1D03D4F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（二）事由及议题；</w:t>
      </w:r>
    </w:p>
    <w:p w14:paraId="1D002C1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（三）发出通知的日期。</w:t>
      </w:r>
    </w:p>
    <w:p w14:paraId="2EA7A0CF">
      <w:pPr>
        <w:spacing w:line="500" w:lineRule="exact"/>
        <w:ind w:firstLine="480" w:firstLineChars="200"/>
        <w:rPr>
          <w:rFonts w:hint="eastAsia" w:asciiTheme="minorEastAsia" w:hAnsiTheme="minorEastAsia" w:eastAsiaTheme="minorEastAsia" w:cstheme="minorEastAsia"/>
          <w:sz w:val="24"/>
        </w:rPr>
      </w:pPr>
    </w:p>
    <w:p w14:paraId="2AA75CB2">
      <w:pPr>
        <w:pStyle w:val="33"/>
        <w:spacing w:before="360" w:after="360" w:line="500" w:lineRule="exact"/>
        <w:outlineLvl w:val="0"/>
        <w:rPr>
          <w:rFonts w:hint="eastAsia" w:asciiTheme="minorEastAsia" w:hAnsiTheme="minorEastAsia" w:eastAsiaTheme="minorEastAsia" w:cstheme="minorEastAsia"/>
          <w:b/>
          <w:sz w:val="32"/>
          <w:szCs w:val="32"/>
        </w:rPr>
      </w:pPr>
      <w:bookmarkStart w:id="36" w:name="_Toc261168825"/>
      <w:bookmarkStart w:id="37" w:name="_Toc25956"/>
      <w:r>
        <w:rPr>
          <w:rFonts w:hint="eastAsia" w:asciiTheme="minorEastAsia" w:hAnsiTheme="minorEastAsia" w:eastAsiaTheme="minorEastAsia" w:cstheme="minorEastAsia"/>
          <w:b/>
          <w:sz w:val="32"/>
          <w:szCs w:val="32"/>
        </w:rPr>
        <w:t>第八章　财务会计制度、利润分配和审计</w:t>
      </w:r>
      <w:bookmarkEnd w:id="36"/>
      <w:bookmarkEnd w:id="37"/>
    </w:p>
    <w:p w14:paraId="719BEE4E">
      <w:pPr>
        <w:pStyle w:val="31"/>
        <w:spacing w:before="360" w:after="360" w:line="500" w:lineRule="exact"/>
        <w:outlineLvl w:val="1"/>
        <w:rPr>
          <w:rFonts w:hint="eastAsia" w:asciiTheme="minorEastAsia" w:hAnsiTheme="minorEastAsia" w:eastAsiaTheme="minorEastAsia" w:cstheme="minorEastAsia"/>
          <w:sz w:val="28"/>
          <w:szCs w:val="28"/>
        </w:rPr>
      </w:pPr>
      <w:bookmarkStart w:id="38" w:name="_Toc261168826"/>
      <w:bookmarkStart w:id="39" w:name="_Toc6635"/>
      <w:r>
        <w:rPr>
          <w:rFonts w:hint="eastAsia" w:asciiTheme="minorEastAsia" w:hAnsiTheme="minorEastAsia" w:eastAsiaTheme="minorEastAsia" w:cstheme="minorEastAsia"/>
          <w:sz w:val="28"/>
          <w:szCs w:val="28"/>
        </w:rPr>
        <w:t>第一节　财务会计制度</w:t>
      </w:r>
      <w:bookmarkEnd w:id="38"/>
      <w:bookmarkEnd w:id="39"/>
    </w:p>
    <w:p w14:paraId="061217C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公司依照法律、行政法规和国家有关部门的规定，制定公司的财务会计制度。</w:t>
      </w:r>
    </w:p>
    <w:p w14:paraId="7F27076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在每一会计年度结束之日起四个月内向中国证监会和证券交易所报送年度财务会计报告，在每一会计年度上半年结束之日起两个月内向广东证监局和深圳证券交易所报送并披露中期报告，在每一会计年度前三个月和前九个月结束之日起的一个月内向广东证监局和深圳证券交易所报送并披露季度报告。</w:t>
      </w:r>
    </w:p>
    <w:p w14:paraId="1754F48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上述年度报告、中期报告、季度报告按照有关法律、行政法规、中国证监会及深圳证券交易所的规定进行编制。</w:t>
      </w:r>
    </w:p>
    <w:p w14:paraId="3134E84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公司除法定的会计账簿外，将不另立会计账簿。公司的资产，不以任何个人名义开立账户存储。</w:t>
      </w:r>
    </w:p>
    <w:p w14:paraId="55BFEFD1">
      <w:pPr>
        <w:pStyle w:val="31"/>
        <w:spacing w:before="360" w:after="360" w:line="500" w:lineRule="exact"/>
        <w:outlineLvl w:val="1"/>
        <w:rPr>
          <w:rFonts w:hint="eastAsia" w:asciiTheme="minorEastAsia" w:hAnsiTheme="minorEastAsia" w:eastAsiaTheme="minorEastAsia" w:cstheme="minorEastAsia"/>
          <w:sz w:val="28"/>
          <w:szCs w:val="28"/>
        </w:rPr>
      </w:pPr>
      <w:bookmarkStart w:id="40" w:name="_Toc13105"/>
      <w:r>
        <w:rPr>
          <w:rFonts w:hint="eastAsia" w:asciiTheme="minorEastAsia" w:hAnsiTheme="minorEastAsia" w:eastAsiaTheme="minorEastAsia" w:cstheme="minorEastAsia"/>
          <w:sz w:val="28"/>
          <w:szCs w:val="28"/>
        </w:rPr>
        <w:t>第二节  利润分配</w:t>
      </w:r>
      <w:bookmarkEnd w:id="40"/>
    </w:p>
    <w:p w14:paraId="3F6000B7">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公司分配当年税后利润时，应当提取利润的10%列入公司法定公积金。公司法定公积金累计额为公司注册资本的50%以上的，可以不再提取。</w:t>
      </w:r>
    </w:p>
    <w:p w14:paraId="6108338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公司的法定公积金不足以弥补以前年度亏损的，在依照前款规定提取法定公积金之前，应当先用当年利润弥补亏损。</w:t>
      </w:r>
    </w:p>
    <w:p w14:paraId="12AD09E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公司从税后利润中提取法定公积金后，经股东会决议，还可以从税后利润中提取任意公积金。</w:t>
      </w:r>
    </w:p>
    <w:p w14:paraId="13627AB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公司弥补亏损和提取公积金后所余税后利润，按照股东持有的股份比例分配，但本章程规定不按持股比例分配的除外。</w:t>
      </w:r>
    </w:p>
    <w:p w14:paraId="440A084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股东会违反前款规定，在公司弥补亏损和提取法定公积金之前向股东分配利润的，股东必须将违反规定分配的利润退还公司。</w:t>
      </w:r>
    </w:p>
    <w:p w14:paraId="4FED8C06">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公司持有的本公司股份不参与分配利润。</w:t>
      </w:r>
    </w:p>
    <w:p w14:paraId="6721AD6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公司的公积金用于弥补公司的亏损、扩大公司生产经营或者转为增加公司资本。但是，资本公积金将不用于弥补公司的亏损。</w:t>
      </w:r>
    </w:p>
    <w:p w14:paraId="12061F7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法定公积金转为资本时，所留存的该项公积金将不少于转增前公司注册资本的25%。</w:t>
      </w:r>
    </w:p>
    <w:p w14:paraId="0FF2B47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公司股东会对利润分配方案作出决议后，公司董事会须在股东会召开后二个月内完成股利（或股份）的派发事项。</w:t>
      </w:r>
    </w:p>
    <w:p w14:paraId="35B9936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公司利润分配政策如下：</w:t>
      </w:r>
    </w:p>
    <w:p w14:paraId="71B4C364">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（一）利润分配的原则</w:t>
      </w:r>
    </w:p>
    <w:p w14:paraId="547F5B3F">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公司以重视对投资者的合理投资回报并兼顾公司的可持续发展为原则，结合公司的盈利情况和业务未来发展战略的实际需要，建立对投资者持续、稳定和多样化的回报机制。</w:t>
      </w:r>
    </w:p>
    <w:p w14:paraId="72A1DD10">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（二）利润分配的形式</w:t>
      </w:r>
    </w:p>
    <w:p w14:paraId="5A261E8D">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公司将采取现金或者股票或者现金与股票相结合或者法</w:t>
      </w:r>
      <w:r>
        <w:rPr>
          <w:rFonts w:hint="eastAsia" w:asciiTheme="minorEastAsia" w:hAnsiTheme="minorEastAsia" w:eastAsiaTheme="minorEastAsia" w:cstheme="minorEastAsia"/>
          <w:b w:val="0"/>
          <w:bCs w:val="0"/>
          <w:sz w:val="24"/>
        </w:rPr>
        <w:t>律、行政法</w:t>
      </w:r>
      <w:r>
        <w:rPr>
          <w:rFonts w:hint="eastAsia" w:asciiTheme="minorEastAsia" w:hAnsiTheme="minorEastAsia" w:eastAsiaTheme="minorEastAsia" w:cstheme="minorEastAsia"/>
          <w:sz w:val="24"/>
        </w:rPr>
        <w:t>规允许的其他方式分配利润。在符合现金分红的条件下，公司应当优先采取现金分红的方式进行利润分配。在有条件的情况下，公司可以进行中期现金分红。</w:t>
      </w:r>
    </w:p>
    <w:p w14:paraId="244DBF3C">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（三）利润分配的具体实施</w:t>
      </w:r>
    </w:p>
    <w:p w14:paraId="14E49AE8">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1.在同时满足以下条件时，公司可实施现金分红：</w:t>
      </w:r>
    </w:p>
    <w:p w14:paraId="21177DB1">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（1）公司该年度实现的可分配利润（即公司弥补亏损、提取公积金后所余的税后利润）为正值；</w:t>
      </w:r>
    </w:p>
    <w:p w14:paraId="1D3DA6C0">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（2）审计机构对公司该年度财务报告出具标准无保留意见的审计报告。</w:t>
      </w:r>
    </w:p>
    <w:p w14:paraId="6132D71C">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2.公司董事会应当综合考虑所处行业特点、发展阶段、自身经营模式、盈利水平以及是否有重大资金支出安排等因素，区分下列情形，并按照公司章程规定的程序，提出差异化的现金分红政策：</w:t>
      </w:r>
    </w:p>
    <w:p w14:paraId="76733252">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（1）公司发展阶段属成熟期且无重大资金支出安排的，进行利润分配时，现金分红在本次利润分配中所占比例最低应达到80%；</w:t>
      </w:r>
    </w:p>
    <w:p w14:paraId="3C5E7C3C">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（2）公司发展阶段属成熟期且有重大资金支出安排的，进行利润分配时，现金分红在本次利润分配中所占比例最低应达到40%；</w:t>
      </w:r>
    </w:p>
    <w:p w14:paraId="0FD0DACC">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（3）公司发展阶段属成长期且有重大资金支出安排的，进行利润分配时，现金分红在本次利润分配中所占比例最低应达到20%；</w:t>
      </w:r>
    </w:p>
    <w:p w14:paraId="5A668525">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（4）公司发展阶段不易区分但有重大资金支出安排的，可以按照前款规定处理。</w:t>
      </w:r>
    </w:p>
    <w:p w14:paraId="2A0ECFC2">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公司应当每年度采取现金方式分配股利，以现金方式分配的股利不少于当年实现的可分配利润的10%。</w:t>
      </w:r>
    </w:p>
    <w:p w14:paraId="15450DDC">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重大资金支出是指：公司未来十二个月内拟对外投资、收购资产或购买设备的累计支出超过公司最近一期经审计总资产的30%；或公司未来十二个月内拟对外投资、收购资产或购买设备的累计支出达到或超过公司最近一期经审计净资产50%，且绝对金额超过3,000万元。该交易涉及的资产总额同时存在账面值和评估值的，以较高者作为计算数据。</w:t>
      </w:r>
    </w:p>
    <w:p w14:paraId="1531763C">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公司业绩增长快速、经营情况良好且董事会认为公司股票价格与公司股本规模不匹配、发放股票股利有利于公司全体股东整体利益时，可以在满足现金分红的条件下，由公司董事会综合考虑公司成长性、每股净资产的摊薄等因素提出并实施股票股利分配方案。</w:t>
      </w:r>
    </w:p>
    <w:p w14:paraId="25918FF3">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4、公司利润分配不得超过累计可分配利润的范围，不得损害公司持续经营能力。</w:t>
      </w:r>
    </w:p>
    <w:p w14:paraId="43474E93">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5、存在股东违规占用资金情况的，公司有权扣减该股东所分配的现金红利，以偿还其占用的资金。</w:t>
      </w:r>
    </w:p>
    <w:p w14:paraId="78E5E7E6">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（四）公司利润分配的决策机制</w:t>
      </w:r>
    </w:p>
    <w:p w14:paraId="7DF8141F">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公司每年利润分配预案由公司董事会结合法律、行政法规和本章程的规定、公司盈利情况、资金状况提出和拟定，经董事会审议通过并经半数以上独立董事同意后提请股东会审议。</w:t>
      </w:r>
    </w:p>
    <w:p w14:paraId="3128D323">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董事会审议现金分红具体方案时，应当认真研究和论证公司现金分红的时机、条件和最低比例、调整的条件及其决策程序要求等事宜。</w:t>
      </w:r>
    </w:p>
    <w:p w14:paraId="0638B285">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独立董事可以征集中小股东的意见，提出分红提案，并直接提交董事会审议。</w:t>
      </w:r>
    </w:p>
    <w:p w14:paraId="482552C3">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对现金分红具体方案进行审议时，应当通过多种渠道主动与股东特别是中小股东进行沟通和交流（包括但不限于提供网络投票表决、邀请中小股东参会等），充分听取中小股东的意见和诉求，并及时答复中小股东关心的问题。</w:t>
      </w:r>
    </w:p>
    <w:p w14:paraId="5AE4D064">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在当年满足现金分红条件情况下，董事会未提出以现金方式进行利润分配预案的，还应说明原因并在年度报告中</w:t>
      </w:r>
      <w:r>
        <w:rPr>
          <w:rFonts w:hint="eastAsia" w:asciiTheme="minorEastAsia" w:hAnsiTheme="minorEastAsia" w:eastAsiaTheme="minorEastAsia" w:cstheme="minorEastAsia"/>
          <w:b w:val="0"/>
          <w:bCs w:val="0"/>
          <w:sz w:val="24"/>
        </w:rPr>
        <w:t>披露原因、公司留存资金的使用计划和安排；在</w:t>
      </w:r>
      <w:r>
        <w:rPr>
          <w:rFonts w:hint="eastAsia" w:asciiTheme="minorEastAsia" w:hAnsiTheme="minorEastAsia" w:eastAsiaTheme="minorEastAsia" w:cstheme="minorEastAsia"/>
          <w:sz w:val="24"/>
        </w:rPr>
        <w:t>召开股东会时，公司还应当提供网络投票等方式以方便中小股东参与股东会表决。</w:t>
      </w:r>
    </w:p>
    <w:p w14:paraId="15211225">
      <w:p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股东会应根据法律、行政法规和本章程的规定对董事会提出的利润分配预案进行表决。</w:t>
      </w:r>
    </w:p>
    <w:p w14:paraId="488F94CB">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公司利润分配政策的调整机制：</w:t>
      </w:r>
    </w:p>
    <w:p w14:paraId="6C76D7D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如遇战争、自然灾害等不可抗力，或者公司生产经营情况、投资规划和长期发展或因外部经营环境、自身经营状况发生较大变化，或者有权部门下发利润分配相关新规定的情况，需要调整或变更利润分配政策和股东回报规划的，调整或变更后的利润分配政策和股东回报规划不得违反相关法律、行政法规、部门规章及本章程的有关规定。</w:t>
      </w:r>
    </w:p>
    <w:p w14:paraId="474C11C1">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有关调整或变更利润分配政策和股东回报规划的议案需经董事会详细论证并充分考虑监事会和公众投资者的意见，独立董事应发表独立意见。该议案经公司董事会审议通过、独立董事发表独立意见后提交股东会特别决议审议通过。在股东会审议该议案时，应当提供网络投票表决等方式为社会公众股东参加股东会提供便利。</w:t>
      </w:r>
    </w:p>
    <w:p w14:paraId="4C51E311">
      <w:pPr>
        <w:pStyle w:val="31"/>
        <w:spacing w:before="360" w:after="360" w:line="500" w:lineRule="exact"/>
        <w:outlineLvl w:val="1"/>
        <w:rPr>
          <w:rFonts w:hint="eastAsia" w:asciiTheme="minorEastAsia" w:hAnsiTheme="minorEastAsia" w:eastAsiaTheme="minorEastAsia" w:cstheme="minorEastAsia"/>
          <w:sz w:val="28"/>
          <w:szCs w:val="28"/>
        </w:rPr>
      </w:pPr>
      <w:bookmarkStart w:id="41" w:name="_Toc27710"/>
      <w:bookmarkStart w:id="42" w:name="_Toc261168827"/>
      <w:r>
        <w:rPr>
          <w:rFonts w:hint="eastAsia" w:asciiTheme="minorEastAsia" w:hAnsiTheme="minorEastAsia" w:eastAsiaTheme="minorEastAsia" w:cstheme="minorEastAsia"/>
          <w:sz w:val="28"/>
          <w:szCs w:val="28"/>
        </w:rPr>
        <w:t>第三节　内部审计</w:t>
      </w:r>
      <w:bookmarkEnd w:id="41"/>
      <w:bookmarkEnd w:id="42"/>
    </w:p>
    <w:p w14:paraId="2235875B">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公司实行内部审计制度，配备专职审计人员，对公司财务收支和经济活动进行内部审计监督。</w:t>
      </w:r>
    </w:p>
    <w:p w14:paraId="7846C1A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公司内部审计制度和审计人员的职责，应当经董事会批准后实施。审计负责人向董事会负责并报告工作。</w:t>
      </w:r>
    </w:p>
    <w:p w14:paraId="4D7F2F74">
      <w:pPr>
        <w:pStyle w:val="31"/>
        <w:spacing w:before="360" w:after="360" w:line="500" w:lineRule="exact"/>
        <w:outlineLvl w:val="1"/>
        <w:rPr>
          <w:rFonts w:hint="eastAsia" w:asciiTheme="minorEastAsia" w:hAnsiTheme="minorEastAsia" w:eastAsiaTheme="minorEastAsia" w:cstheme="minorEastAsia"/>
          <w:sz w:val="28"/>
          <w:szCs w:val="28"/>
        </w:rPr>
      </w:pPr>
      <w:bookmarkStart w:id="43" w:name="_Toc261168828"/>
      <w:bookmarkStart w:id="44" w:name="_Toc30255"/>
      <w:r>
        <w:rPr>
          <w:rFonts w:hint="eastAsia" w:asciiTheme="minorEastAsia" w:hAnsiTheme="minorEastAsia" w:eastAsiaTheme="minorEastAsia" w:cstheme="minorEastAsia"/>
          <w:sz w:val="28"/>
          <w:szCs w:val="28"/>
        </w:rPr>
        <w:t>第四节　会计师事务所的聘任</w:t>
      </w:r>
      <w:bookmarkEnd w:id="43"/>
      <w:bookmarkEnd w:id="44"/>
    </w:p>
    <w:p w14:paraId="234C599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公司聘用符合《证券法》规定的会计师事务所进行会计报表审计、净资产验证及其他相关的咨询服务等业务，聘期一年，可以续聘。</w:t>
      </w:r>
    </w:p>
    <w:p w14:paraId="4316F27E">
      <w:pPr>
        <w:numPr>
          <w:ilvl w:val="0"/>
          <w:numId w:val="1"/>
        </w:numPr>
        <w:tabs>
          <w:tab w:val="left" w:pos="0"/>
          <w:tab w:val="left" w:pos="1440"/>
          <w:tab w:val="left" w:pos="252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公司聘用会计师事务所必须由股东会决定，董事会不得在股东会决定前委任会计师事务所。</w:t>
      </w:r>
    </w:p>
    <w:p w14:paraId="62619B6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公司保证向聘用的会计师事务所提供真实、完整的会计凭证、会计账簿、财务会计报告及其他会计资料，不得拒绝、隐匿、谎报。</w:t>
      </w:r>
    </w:p>
    <w:p w14:paraId="55945B4B">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会计师事务所的审计费用由股东会决定。</w:t>
      </w:r>
    </w:p>
    <w:p w14:paraId="377F3D0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公司解聘或者不再续聘会计师事务所时，提前15天通知会计师事务所，公司股东会就解聘会计师事务所进行表决时，允许会计师事务所陈述意见。</w:t>
      </w:r>
    </w:p>
    <w:p w14:paraId="705C44B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会计师事务所提出辞聘的，应当向股东会说明公司有无不当情形。</w:t>
      </w:r>
    </w:p>
    <w:p w14:paraId="1EC40814">
      <w:pPr>
        <w:pStyle w:val="33"/>
        <w:spacing w:before="360" w:after="360" w:line="500" w:lineRule="exact"/>
        <w:outlineLvl w:val="0"/>
        <w:rPr>
          <w:rFonts w:hint="eastAsia" w:asciiTheme="minorEastAsia" w:hAnsiTheme="minorEastAsia" w:eastAsiaTheme="minorEastAsia" w:cstheme="minorEastAsia"/>
          <w:b/>
          <w:sz w:val="32"/>
          <w:szCs w:val="32"/>
        </w:rPr>
      </w:pPr>
      <w:bookmarkStart w:id="45" w:name="_Toc261168829"/>
      <w:bookmarkStart w:id="46" w:name="_Toc11778"/>
      <w:r>
        <w:rPr>
          <w:rFonts w:hint="eastAsia" w:asciiTheme="minorEastAsia" w:hAnsiTheme="minorEastAsia" w:eastAsiaTheme="minorEastAsia" w:cstheme="minorEastAsia"/>
          <w:b/>
          <w:sz w:val="32"/>
          <w:szCs w:val="32"/>
        </w:rPr>
        <w:t>第九章　通知</w:t>
      </w:r>
      <w:bookmarkEnd w:id="45"/>
      <w:r>
        <w:rPr>
          <w:rFonts w:hint="eastAsia" w:asciiTheme="minorEastAsia" w:hAnsiTheme="minorEastAsia" w:eastAsiaTheme="minorEastAsia" w:cstheme="minorEastAsia"/>
          <w:b/>
          <w:sz w:val="32"/>
          <w:szCs w:val="32"/>
        </w:rPr>
        <w:t>和公告</w:t>
      </w:r>
      <w:bookmarkEnd w:id="46"/>
    </w:p>
    <w:p w14:paraId="6176AFB8">
      <w:pPr>
        <w:pStyle w:val="31"/>
        <w:spacing w:before="360" w:after="360" w:line="500" w:lineRule="exact"/>
        <w:outlineLvl w:val="1"/>
        <w:rPr>
          <w:rFonts w:hint="eastAsia" w:asciiTheme="minorEastAsia" w:hAnsiTheme="minorEastAsia" w:eastAsiaTheme="minorEastAsia" w:cstheme="minorEastAsia"/>
          <w:sz w:val="28"/>
          <w:szCs w:val="28"/>
        </w:rPr>
      </w:pPr>
      <w:bookmarkStart w:id="47" w:name="_Toc26310"/>
      <w:r>
        <w:rPr>
          <w:rFonts w:hint="eastAsia" w:asciiTheme="minorEastAsia" w:hAnsiTheme="minorEastAsia" w:eastAsiaTheme="minorEastAsia" w:cstheme="minorEastAsia"/>
          <w:sz w:val="28"/>
          <w:szCs w:val="28"/>
        </w:rPr>
        <w:t>第一节　通知</w:t>
      </w:r>
      <w:bookmarkEnd w:id="47"/>
    </w:p>
    <w:p w14:paraId="2140187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48" w:name="_Ref422068121"/>
      <w:r>
        <w:rPr>
          <w:rFonts w:hint="eastAsia" w:asciiTheme="minorEastAsia" w:hAnsiTheme="minorEastAsia" w:eastAsiaTheme="minorEastAsia" w:cstheme="minorEastAsia"/>
          <w:sz w:val="24"/>
        </w:rPr>
        <w:t>公司的通知以下列形式发出：</w:t>
      </w:r>
      <w:bookmarkEnd w:id="48"/>
    </w:p>
    <w:p w14:paraId="32F82371">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公告方式；</w:t>
      </w:r>
    </w:p>
    <w:p w14:paraId="74746A15">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以专人送出；</w:t>
      </w:r>
    </w:p>
    <w:p w14:paraId="3116A523">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以邮件方式送出；</w:t>
      </w:r>
    </w:p>
    <w:p w14:paraId="4CC9ECC8">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以电子邮件方式送出；</w:t>
      </w:r>
    </w:p>
    <w:p w14:paraId="798D8FEA">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以传真、数据电文方式进行；</w:t>
      </w:r>
    </w:p>
    <w:p w14:paraId="46D70D5A">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以电话、短信等即时通讯方式进行；</w:t>
      </w:r>
    </w:p>
    <w:p w14:paraId="5BD1CEED">
      <w:pPr>
        <w:numPr>
          <w:ilvl w:val="0"/>
          <w:numId w:val="3"/>
        </w:num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本章程规定的其他形式。</w:t>
      </w:r>
    </w:p>
    <w:p w14:paraId="729E0FC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公司发出的通知，以公告方式进行的，一经公告，视为所有相关人员收到通知。</w:t>
      </w:r>
    </w:p>
    <w:p w14:paraId="34D1234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公司召开股东会的会议通知，以本章程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_Ref422068121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第一百七十一条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规定的方式中的一种或几种进行。但对于股东会临时会议，本章程另有规定的除外。</w:t>
      </w:r>
    </w:p>
    <w:p w14:paraId="56436C1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公司召开董事会的会议通知，以本章程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_Ref422068121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第一百七十一条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规定的方式中的一种或几种进行。但对于董事会临时会议，本章程另有规定的除外。</w:t>
      </w:r>
    </w:p>
    <w:p w14:paraId="73961CD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公司召开监事会的会议通知，以本章程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_Ref422068121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第一百七十一条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规定的方式中的一种或几种进行。但对于监事会临时会议，本章程另有规定的除外。</w:t>
      </w:r>
    </w:p>
    <w:p w14:paraId="60DC912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通知以公告方式送出的，第一次公告刊登日为送达日期。公司通知以专人送出的，由被送达人在送达回执上签名（或盖章），被送达人签收日期为送达日期；公司通知以邮件送出的，自交付邮局之日起第七个工作日为送达日期；公司以电子邮件方式送出的，以电子邮件发出当日为送达日期；公司通知以传真、数据电文、电话、短信等即时通讯方式送出的，一经发送成功，视为所有相关人员收到通知。</w:t>
      </w:r>
    </w:p>
    <w:p w14:paraId="08B9A8E4">
      <w:pPr>
        <w:numPr>
          <w:ilvl w:val="0"/>
          <w:numId w:val="1"/>
        </w:numPr>
        <w:tabs>
          <w:tab w:val="left" w:pos="0"/>
          <w:tab w:val="left" w:pos="1440"/>
          <w:tab w:val="left" w:pos="252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因意外遗漏未向某有权得到通知的人送出会议通知或者该等人没有收到会议通知，会议及会议作出的决议并不因此无效。</w:t>
      </w:r>
    </w:p>
    <w:p w14:paraId="5590E1E2">
      <w:pPr>
        <w:pStyle w:val="31"/>
        <w:spacing w:before="360" w:after="360" w:line="500" w:lineRule="exact"/>
        <w:outlineLvl w:val="1"/>
        <w:rPr>
          <w:rFonts w:hint="eastAsia" w:asciiTheme="minorEastAsia" w:hAnsiTheme="minorEastAsia" w:eastAsiaTheme="minorEastAsia" w:cstheme="minorEastAsia"/>
          <w:sz w:val="28"/>
          <w:szCs w:val="28"/>
        </w:rPr>
      </w:pPr>
      <w:bookmarkStart w:id="49" w:name="_Toc14389"/>
      <w:r>
        <w:rPr>
          <w:rFonts w:hint="eastAsia" w:asciiTheme="minorEastAsia" w:hAnsiTheme="minorEastAsia" w:eastAsiaTheme="minorEastAsia" w:cstheme="minorEastAsia"/>
          <w:sz w:val="28"/>
          <w:szCs w:val="28"/>
        </w:rPr>
        <w:t>第二节　公告</w:t>
      </w:r>
      <w:bookmarkEnd w:id="49"/>
    </w:p>
    <w:p w14:paraId="6E988E90">
      <w:pPr>
        <w:numPr>
          <w:ilvl w:val="0"/>
          <w:numId w:val="1"/>
        </w:numPr>
        <w:tabs>
          <w:tab w:val="left" w:pos="0"/>
          <w:tab w:val="left" w:pos="1440"/>
          <w:tab w:val="left" w:pos="252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公司指定符合中国证监会规定条件的信息披露报纸和巨潮资讯网（www.cninfo.com.cn）为刊登公司公告和其他需要披露信息的媒体。</w:t>
      </w:r>
    </w:p>
    <w:p w14:paraId="6DA22F28">
      <w:pPr>
        <w:pStyle w:val="33"/>
        <w:spacing w:before="360" w:after="360" w:line="500" w:lineRule="exact"/>
        <w:outlineLvl w:val="0"/>
        <w:rPr>
          <w:rFonts w:hint="eastAsia" w:asciiTheme="minorEastAsia" w:hAnsiTheme="minorEastAsia" w:eastAsiaTheme="minorEastAsia" w:cstheme="minorEastAsia"/>
          <w:b/>
          <w:sz w:val="32"/>
          <w:szCs w:val="32"/>
        </w:rPr>
      </w:pPr>
      <w:bookmarkStart w:id="50" w:name="_Toc261168830"/>
      <w:bookmarkStart w:id="51" w:name="_Toc15207"/>
      <w:r>
        <w:rPr>
          <w:rFonts w:hint="eastAsia" w:asciiTheme="minorEastAsia" w:hAnsiTheme="minorEastAsia" w:eastAsiaTheme="minorEastAsia" w:cstheme="minorEastAsia"/>
          <w:b/>
          <w:sz w:val="32"/>
          <w:szCs w:val="32"/>
        </w:rPr>
        <w:t>第十章　合并、分立、增资、减资、解散和清算</w:t>
      </w:r>
      <w:bookmarkEnd w:id="50"/>
      <w:bookmarkEnd w:id="51"/>
    </w:p>
    <w:p w14:paraId="01F813B0">
      <w:pPr>
        <w:pStyle w:val="31"/>
        <w:spacing w:before="360" w:after="360" w:line="500" w:lineRule="exact"/>
        <w:outlineLvl w:val="1"/>
        <w:rPr>
          <w:rFonts w:hint="eastAsia" w:asciiTheme="minorEastAsia" w:hAnsiTheme="minorEastAsia" w:eastAsiaTheme="minorEastAsia" w:cstheme="minorEastAsia"/>
          <w:sz w:val="28"/>
          <w:szCs w:val="28"/>
        </w:rPr>
      </w:pPr>
      <w:bookmarkStart w:id="52" w:name="_Toc261168831"/>
      <w:bookmarkStart w:id="53" w:name="_Toc19267"/>
      <w:r>
        <w:rPr>
          <w:rFonts w:hint="eastAsia" w:asciiTheme="minorEastAsia" w:hAnsiTheme="minorEastAsia" w:eastAsiaTheme="minorEastAsia" w:cstheme="minorEastAsia"/>
          <w:sz w:val="28"/>
          <w:szCs w:val="28"/>
        </w:rPr>
        <w:t>第一节　合并、分立、增资和减资</w:t>
      </w:r>
      <w:bookmarkEnd w:id="52"/>
      <w:bookmarkEnd w:id="53"/>
    </w:p>
    <w:p w14:paraId="2517E7A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公司合并可以采取吸收合并或者新设合并。</w:t>
      </w:r>
    </w:p>
    <w:p w14:paraId="211FE68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一个公司吸收其他公司为吸收合并，被吸收的公司解散。两个以上公司合并设立一个新的公司为新设合并，合并各方解散。</w:t>
      </w:r>
    </w:p>
    <w:p w14:paraId="5FDB1A7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合并，应当由合并各方签订合并协议，并编制资产负债表及财产清单。公司应当自作出合并决议之日起十日内通知债权人，并于三十日内在本章程指定的报纸上公告。债权人自接到通知书之日起三十日内，未接到通知书的自公告之日起四十五日内，可以要求公司清偿债务或者提供相应的担保。</w:t>
      </w:r>
    </w:p>
    <w:p w14:paraId="7392154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公司合并时，合并各方的债权、债务，由合并后存续的公司或者新设的公司承继。</w:t>
      </w:r>
    </w:p>
    <w:p w14:paraId="46470F6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公司分立，其财产作相应的分割。</w:t>
      </w:r>
    </w:p>
    <w:p w14:paraId="2F2778C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公司分立，应当编制资产负债表及财产清单。公司应当自作出分立决议之日起十日内通知债权人，并于三十日内在本章程指定的报纸上公告。</w:t>
      </w:r>
    </w:p>
    <w:p w14:paraId="18513C44">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公司分立前的债务由分立后的公司承担连带责任。但是，公司在分立前与债权人就债务清偿达成的书面协议另有约定的除外。</w:t>
      </w:r>
    </w:p>
    <w:p w14:paraId="7F81CB9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公司需要减少注册资本时，必须编制资产负债表及财产清单。</w:t>
      </w:r>
    </w:p>
    <w:p w14:paraId="316CB70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应当自作出减少注册资本决议之日起十日内通知债权人，并于三十日内在本章程指定的报纸上公告。债权人自接到通知书之日起三十日内，未接到通知书的自公告之日起四十五日内，有权要求公司清偿债务或者提供相应的担保。</w:t>
      </w:r>
    </w:p>
    <w:p w14:paraId="15A4793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公司减资后的注册资本将不低于法定的最低限额。</w:t>
      </w:r>
    </w:p>
    <w:p w14:paraId="3A5E46B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公司合并或者分立，登记事项发生变更的，应当依法向公司登记机关办理变更登记；公司解散的，应当依法办理公司注销登记；设立新公司的，应当依法办理公司设立登记。</w:t>
      </w:r>
    </w:p>
    <w:p w14:paraId="2A9D795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公司增加或者减少注册资本，应当依法向公司登记机关办理变更登记。</w:t>
      </w:r>
    </w:p>
    <w:p w14:paraId="15457F5A">
      <w:pPr>
        <w:pStyle w:val="31"/>
        <w:spacing w:before="360" w:after="360" w:line="500" w:lineRule="exact"/>
        <w:outlineLvl w:val="1"/>
        <w:rPr>
          <w:rFonts w:hint="eastAsia" w:asciiTheme="minorEastAsia" w:hAnsiTheme="minorEastAsia" w:eastAsiaTheme="minorEastAsia" w:cstheme="minorEastAsia"/>
          <w:sz w:val="28"/>
          <w:szCs w:val="28"/>
        </w:rPr>
      </w:pPr>
      <w:bookmarkStart w:id="54" w:name="_Toc261168832"/>
      <w:bookmarkStart w:id="55" w:name="_Toc3977"/>
      <w:r>
        <w:rPr>
          <w:rFonts w:hint="eastAsia" w:asciiTheme="minorEastAsia" w:hAnsiTheme="minorEastAsia" w:eastAsiaTheme="minorEastAsia" w:cstheme="minorEastAsia"/>
          <w:sz w:val="28"/>
          <w:szCs w:val="28"/>
        </w:rPr>
        <w:t>第二节　解散和清算</w:t>
      </w:r>
      <w:bookmarkEnd w:id="54"/>
      <w:bookmarkEnd w:id="55"/>
    </w:p>
    <w:p w14:paraId="26335545">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bookmarkStart w:id="56" w:name="_Ref422068546"/>
      <w:r>
        <w:rPr>
          <w:rFonts w:hint="eastAsia" w:asciiTheme="minorEastAsia" w:hAnsiTheme="minorEastAsia" w:eastAsiaTheme="minorEastAsia" w:cstheme="minorEastAsia"/>
          <w:sz w:val="24"/>
        </w:rPr>
        <w:t>公司因下列原因解散：</w:t>
      </w:r>
      <w:bookmarkEnd w:id="56"/>
    </w:p>
    <w:p w14:paraId="1A5B0D0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（一）本章程规定的营业期限届满或者本章程规定的其他解散事由出现；</w:t>
      </w:r>
    </w:p>
    <w:p w14:paraId="320FEB5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（二）股东会决议解散；</w:t>
      </w:r>
    </w:p>
    <w:p w14:paraId="27C5012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（三）因公司合并或者分立需要解散；</w:t>
      </w:r>
    </w:p>
    <w:p w14:paraId="4BC977F4">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（四）依法被吊销营业执照、责令关闭或者被撤销；</w:t>
      </w:r>
    </w:p>
    <w:p w14:paraId="0B0B961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（五）公司经营管理发生严重困难，继续存续会使股东利益受到重大损失，通过其他途径不能解决的，持有公司全部股东表决权10%以上的股东，可以请求人民法院解散公司。</w:t>
      </w:r>
    </w:p>
    <w:p w14:paraId="568AEBDE">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公司有本章程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REF _Ref422068546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第一百八十六条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第一项、第二项情形的，且尚未向股东分配财产的，可以通过修改本章程或者经股东会决议而存续。</w:t>
      </w:r>
    </w:p>
    <w:p w14:paraId="2A877DD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依照前款规定修改本章程或者经股东会决议，须经出席股东会会议的股东所持表决权的三分之二以上通过。</w:t>
      </w:r>
    </w:p>
    <w:p w14:paraId="7789BC4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公司因本章程</w:t>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REF _Ref422068546 \r \h \* MERGEFORMAT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 xml:space="preserve">第一百八十六条 </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第（一）项、第（二）项、第（四）项、第（五）项规定而解散的，应当清算。董事为公司清算义务人，应当在解散事由出现之日起十五日内组成清算组进行清算。</w:t>
      </w:r>
    </w:p>
    <w:p w14:paraId="40E412FE">
      <w:pPr>
        <w:numPr>
          <w:ilvl w:val="255"/>
          <w:numId w:val="0"/>
        </w:numPr>
        <w:tabs>
          <w:tab w:val="left" w:pos="0"/>
          <w:tab w:val="left" w:pos="1440"/>
          <w:tab w:val="left" w:pos="2040"/>
        </w:tabs>
        <w:spacing w:line="480" w:lineRule="exact"/>
        <w:ind w:left="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清算组由董事组成，但是本章程另有规定或者股东会决议另选他人的除外。</w:t>
      </w:r>
    </w:p>
    <w:p w14:paraId="4DD59902">
      <w:pPr>
        <w:numPr>
          <w:ilvl w:val="255"/>
          <w:numId w:val="0"/>
        </w:numPr>
        <w:tabs>
          <w:tab w:val="left" w:pos="0"/>
          <w:tab w:val="left" w:pos="1440"/>
          <w:tab w:val="left" w:pos="2040"/>
        </w:tabs>
        <w:spacing w:line="480" w:lineRule="exact"/>
        <w:ind w:left="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清算义务人未及时履行清算义务，给公司或者债权人造成损失的，应当承担赔偿责任。</w:t>
      </w:r>
    </w:p>
    <w:p w14:paraId="2AF45570">
      <w:pPr>
        <w:numPr>
          <w:ilvl w:val="255"/>
          <w:numId w:val="0"/>
        </w:numPr>
        <w:tabs>
          <w:tab w:val="left" w:pos="0"/>
          <w:tab w:val="left" w:pos="1440"/>
          <w:tab w:val="left" w:pos="2040"/>
        </w:tabs>
        <w:spacing w:line="48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逾期不成立清算组进行清算或者成立清算组后不清算的，利害关系人可以申请人民法院指定有关人员组成清算组进行清算。</w:t>
      </w:r>
    </w:p>
    <w:p w14:paraId="7A7E6E7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清算组在清算期间行使下列职权：</w:t>
      </w:r>
    </w:p>
    <w:p w14:paraId="5F60E80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（一）清理公司财产，分别编制资产负债表和财产清单；</w:t>
      </w:r>
    </w:p>
    <w:p w14:paraId="23B341AC">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（二）通知、公告债权人；</w:t>
      </w:r>
    </w:p>
    <w:p w14:paraId="2EEB1C22">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（三）处理与清算有关的公司未了结的业务；</w:t>
      </w:r>
    </w:p>
    <w:p w14:paraId="0CA3041E">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（四）清缴所欠税款以及清算过程中产生的税款；</w:t>
      </w:r>
    </w:p>
    <w:p w14:paraId="64E1BC7A">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（五）清理债权、债务；</w:t>
      </w:r>
    </w:p>
    <w:p w14:paraId="43087C65">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（六）分配公司清偿债务后的剩余财产；</w:t>
      </w:r>
    </w:p>
    <w:p w14:paraId="379913F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（七）代表公司参与民事诉讼活动。</w:t>
      </w:r>
    </w:p>
    <w:p w14:paraId="06A0E74C">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应当自成立之日起十日内通知债权人，并于六十日内在报纸上或者国家企业信用信息公示系统公告。债权人应当自接到通知书之日起三十日内，未接到通知书的自公告之日起四十五日内，向清算组申报其债权。</w:t>
      </w:r>
    </w:p>
    <w:p w14:paraId="65D5F0E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债权人申报债权，应当说明债权的有关事项，并提供证明材料。清算组应当对债权进行登记。</w:t>
      </w:r>
    </w:p>
    <w:p w14:paraId="5B88954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在申报债权期间，清算组不得对债权人进行清偿。</w:t>
      </w:r>
    </w:p>
    <w:p w14:paraId="21D3B53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清算组在清理公司财产、编制资产负债表和财产清单后，应当制定清算方案，并报股东会或者人民法院确认。</w:t>
      </w:r>
    </w:p>
    <w:p w14:paraId="51DAB79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公司财产在分别支付清算费用、职工的工资、社会保险费用和法定补偿金，缴纳所欠税款，清偿公司债务后的剩余财产，公司按照股东持有的股份比例分配。</w:t>
      </w:r>
    </w:p>
    <w:p w14:paraId="4EC2352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清算期间，公司存续，但不能开展与清算无关的经营活动。公司财产在未按前款规定清偿前，将不会分配给股东。</w:t>
      </w:r>
    </w:p>
    <w:p w14:paraId="0B7E31CD">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清算组在清理公司财产、编制资产负债表和财产清单后，发现公司财产不足清偿债务的，应当依法向人民法院申请宣告破产。</w:t>
      </w:r>
    </w:p>
    <w:p w14:paraId="0349390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公司经人民法院裁定宣告破产后，清算组应当将清算事务移交给人民法院。</w:t>
      </w:r>
    </w:p>
    <w:p w14:paraId="2B1D73D2">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公司清算结束后，清算组应当制作清算报告，报股东会或者人民法院确认，并报送公司登记机关，申请注销公司登记，公告公司终止。</w:t>
      </w:r>
    </w:p>
    <w:p w14:paraId="23F11490">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清算组成员应当忠于职守，依法履行清算义务。</w:t>
      </w:r>
    </w:p>
    <w:p w14:paraId="72AE978D">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清算组成员不得利用职权贿赂或者收受其他非法收入，不得侵占公司财产。</w:t>
      </w:r>
    </w:p>
    <w:p w14:paraId="2EF8E1C0">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清算组成员因故意或者重大过失给公司或者债权人造成损失的，应当承担赔偿责任。</w:t>
      </w:r>
    </w:p>
    <w:p w14:paraId="2619D64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公司被依法宣告破产的，依照有关企业破产的法律实施破产清算。</w:t>
      </w:r>
    </w:p>
    <w:p w14:paraId="483D336F">
      <w:pPr>
        <w:pStyle w:val="33"/>
        <w:spacing w:before="360" w:after="360" w:line="500" w:lineRule="exact"/>
        <w:outlineLvl w:val="0"/>
        <w:rPr>
          <w:rFonts w:hint="eastAsia" w:asciiTheme="minorEastAsia" w:hAnsiTheme="minorEastAsia" w:eastAsiaTheme="minorEastAsia" w:cstheme="minorEastAsia"/>
          <w:b/>
          <w:sz w:val="32"/>
          <w:szCs w:val="32"/>
        </w:rPr>
      </w:pPr>
      <w:bookmarkStart w:id="57" w:name="_Toc26266"/>
      <w:bookmarkStart w:id="58" w:name="_Toc261168833"/>
      <w:r>
        <w:rPr>
          <w:rFonts w:hint="eastAsia" w:asciiTheme="minorEastAsia" w:hAnsiTheme="minorEastAsia" w:eastAsiaTheme="minorEastAsia" w:cstheme="minorEastAsia"/>
          <w:b/>
          <w:sz w:val="32"/>
          <w:szCs w:val="32"/>
        </w:rPr>
        <w:t>第十一章　修改章程</w:t>
      </w:r>
      <w:bookmarkEnd w:id="57"/>
      <w:bookmarkEnd w:id="58"/>
    </w:p>
    <w:p w14:paraId="6EEB0F86">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有下列情形之一的，公司应当修改章程：</w:t>
      </w:r>
    </w:p>
    <w:p w14:paraId="4ABF7E97">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（一）《公司法》或有关法律、行政法规修改后，章程规定的事项与修改后的法律、行政法规的规定相抵触；</w:t>
      </w:r>
    </w:p>
    <w:p w14:paraId="2F684AE3">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（二）公司的情况发生变化，与章程记载的事项不一致；</w:t>
      </w:r>
    </w:p>
    <w:p w14:paraId="4F0DACB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（三）股东会决定修改章程。</w:t>
      </w:r>
    </w:p>
    <w:p w14:paraId="5AA903C3">
      <w:pPr>
        <w:numPr>
          <w:ilvl w:val="0"/>
          <w:numId w:val="1"/>
        </w:numPr>
        <w:tabs>
          <w:tab w:val="left" w:pos="0"/>
          <w:tab w:val="left" w:pos="1440"/>
          <w:tab w:val="left" w:pos="2520"/>
        </w:tabs>
        <w:spacing w:line="480" w:lineRule="exact"/>
        <w:ind w:left="0" w:firstLine="540"/>
        <w:rPr>
          <w:rFonts w:hint="eastAsia" w:asciiTheme="minorEastAsia" w:hAnsiTheme="minorEastAsia" w:eastAsiaTheme="minorEastAsia" w:cstheme="minorEastAsia"/>
          <w:b w:val="0"/>
          <w:bCs/>
          <w:sz w:val="24"/>
        </w:rPr>
      </w:pPr>
      <w:r>
        <w:rPr>
          <w:rFonts w:hint="eastAsia" w:asciiTheme="minorEastAsia" w:hAnsiTheme="minorEastAsia" w:eastAsiaTheme="minorEastAsia" w:cstheme="minorEastAsia"/>
          <w:sz w:val="24"/>
        </w:rPr>
        <w:t>若本章程相关条款系直接引用法律、</w:t>
      </w:r>
      <w:r>
        <w:rPr>
          <w:rFonts w:hint="eastAsia" w:asciiTheme="minorEastAsia" w:hAnsiTheme="minorEastAsia" w:eastAsiaTheme="minorEastAsia" w:cstheme="minorEastAsia"/>
          <w:b w:val="0"/>
          <w:bCs/>
          <w:sz w:val="24"/>
        </w:rPr>
        <w:t>行政法规、规范性文件的具体规定作出，而该等法律、行政法规、规范性文件发生变化的，在本章程作出修订前，可直接依照届时有效的法律、行政法规、规范性文件执行。</w:t>
      </w:r>
    </w:p>
    <w:p w14:paraId="21022AA8">
      <w:pPr>
        <w:numPr>
          <w:ilvl w:val="0"/>
          <w:numId w:val="1"/>
        </w:numPr>
        <w:tabs>
          <w:tab w:val="left" w:pos="0"/>
          <w:tab w:val="left" w:pos="1440"/>
          <w:tab w:val="left" w:pos="252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股东会决议通过的章程修改事项应经主管机关审批的，须报主管机关批准；涉及公司登记事项的，依法办理变更登记。</w:t>
      </w:r>
    </w:p>
    <w:p w14:paraId="406F1FE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董事会依照股东会修改章程的决议和有关主管机关的审批意见修改本章程。</w:t>
      </w:r>
    </w:p>
    <w:p w14:paraId="59120EC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章程修改事项属于法</w:t>
      </w:r>
      <w:r>
        <w:rPr>
          <w:rFonts w:hint="eastAsia" w:asciiTheme="minorEastAsia" w:hAnsiTheme="minorEastAsia" w:eastAsiaTheme="minorEastAsia" w:cstheme="minorEastAsia"/>
          <w:b w:val="0"/>
          <w:bCs w:val="0"/>
          <w:sz w:val="24"/>
        </w:rPr>
        <w:t>律、行政法</w:t>
      </w:r>
      <w:r>
        <w:rPr>
          <w:rFonts w:hint="eastAsia" w:asciiTheme="minorEastAsia" w:hAnsiTheme="minorEastAsia" w:eastAsiaTheme="minorEastAsia" w:cstheme="minorEastAsia"/>
          <w:sz w:val="24"/>
        </w:rPr>
        <w:t>规要求披露的信息，按规定予以公告。</w:t>
      </w:r>
      <w:bookmarkStart w:id="59" w:name="_Toc261168834"/>
    </w:p>
    <w:p w14:paraId="24CE075E">
      <w:pPr>
        <w:pStyle w:val="33"/>
        <w:spacing w:before="360" w:after="360" w:line="500" w:lineRule="exact"/>
        <w:outlineLvl w:val="0"/>
        <w:rPr>
          <w:rFonts w:hint="eastAsia" w:asciiTheme="minorEastAsia" w:hAnsiTheme="minorEastAsia" w:eastAsiaTheme="minorEastAsia" w:cstheme="minorEastAsia"/>
          <w:b/>
          <w:sz w:val="32"/>
          <w:szCs w:val="32"/>
        </w:rPr>
      </w:pPr>
      <w:bookmarkStart w:id="61" w:name="_GoBack"/>
      <w:bookmarkEnd w:id="61"/>
      <w:bookmarkStart w:id="60" w:name="_Toc14184"/>
      <w:r>
        <w:rPr>
          <w:rFonts w:hint="eastAsia" w:asciiTheme="minorEastAsia" w:hAnsiTheme="minorEastAsia" w:eastAsiaTheme="minorEastAsia" w:cstheme="minorEastAsia"/>
          <w:b/>
          <w:sz w:val="32"/>
          <w:szCs w:val="32"/>
        </w:rPr>
        <w:t>第十二章　附则</w:t>
      </w:r>
      <w:bookmarkEnd w:id="59"/>
      <w:bookmarkEnd w:id="60"/>
    </w:p>
    <w:p w14:paraId="0EFD6C8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释义</w:t>
      </w:r>
    </w:p>
    <w:p w14:paraId="2B39468B">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（一）控股股东，是指其持有的股份超过公司股本总额50%的股东；持有股份的比例虽然低于50%，但依其持有的股份所享有的表决权已足以对股东会的决议产生重大影响的股东。</w:t>
      </w:r>
    </w:p>
    <w:p w14:paraId="4F54119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（二）实际控制人，是指虽不是公司的股东，但通过投资关系、协议或者其他安排，能够实际支配公司行为的人。</w:t>
      </w:r>
    </w:p>
    <w:p w14:paraId="6734D368">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14:paraId="709F2408">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董事会可依照章程的规定，制订章程细则。章程细则不得与章程的规定相抵触。</w:t>
      </w:r>
    </w:p>
    <w:p w14:paraId="24362C49">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本章程以中文书写，其他任何语种或不同版本的章程与本章程有歧义时，以在公司登记机关最近一次核准登记或备案后的中文版章程为准。</w:t>
      </w:r>
    </w:p>
    <w:p w14:paraId="67A5A061">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本章程所称“以上”、“以内”、“以下”都含本数；“不满”、“以外”、“低于”、“多于”不含本数。</w:t>
      </w:r>
    </w:p>
    <w:p w14:paraId="3A60D8DF">
      <w:pPr>
        <w:numPr>
          <w:ilvl w:val="0"/>
          <w:numId w:val="1"/>
        </w:numPr>
        <w:tabs>
          <w:tab w:val="left" w:pos="0"/>
          <w:tab w:val="left" w:pos="1440"/>
          <w:tab w:val="left" w:pos="204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本章程有关独立董事、董事会秘书、董事会专门委员会等的规定，仅在公司实际设置独立董事、董事会秘书、董事会专门委员会后适用。</w:t>
      </w:r>
    </w:p>
    <w:p w14:paraId="571FC2A9">
      <w:pPr>
        <w:numPr>
          <w:ilvl w:val="0"/>
          <w:numId w:val="1"/>
        </w:numPr>
        <w:tabs>
          <w:tab w:val="left" w:pos="0"/>
          <w:tab w:val="left" w:pos="1440"/>
          <w:tab w:val="left" w:pos="1530"/>
          <w:tab w:val="left" w:pos="1620"/>
          <w:tab w:val="left" w:pos="171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本章程由公司董事会负责解释。</w:t>
      </w:r>
    </w:p>
    <w:p w14:paraId="787BA0C9">
      <w:pPr>
        <w:numPr>
          <w:ilvl w:val="0"/>
          <w:numId w:val="1"/>
        </w:numPr>
        <w:tabs>
          <w:tab w:val="left" w:pos="0"/>
          <w:tab w:val="left" w:pos="1440"/>
          <w:tab w:val="left" w:pos="1890"/>
          <w:tab w:val="left" w:pos="216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本章程附件包括股东会议事规则、董事会议事规则和监事会议事规则。</w:t>
      </w:r>
    </w:p>
    <w:p w14:paraId="4E71C961">
      <w:pPr>
        <w:numPr>
          <w:ilvl w:val="0"/>
          <w:numId w:val="1"/>
        </w:numPr>
        <w:tabs>
          <w:tab w:val="left" w:pos="0"/>
          <w:tab w:val="left" w:pos="1440"/>
          <w:tab w:val="left" w:pos="2160"/>
        </w:tabs>
        <w:spacing w:line="480" w:lineRule="exact"/>
        <w:ind w:left="0" w:firstLine="54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本章程自股东会审议通过之日起生效。</w:t>
      </w:r>
    </w:p>
    <w:p w14:paraId="203EC490">
      <w:pPr>
        <w:adjustRightInd w:val="0"/>
        <w:snapToGrid w:val="0"/>
        <w:spacing w:before="156" w:beforeLines="50" w:after="156" w:afterLines="50" w:line="300" w:lineRule="auto"/>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广东天亿马信息产业股份有限公司</w:t>
      </w:r>
    </w:p>
    <w:p w14:paraId="792FC689">
      <w:pPr>
        <w:widowControl/>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二〇二四年</w:t>
      </w:r>
      <w:r>
        <w:rPr>
          <w:rFonts w:hint="eastAsia" w:asciiTheme="minorEastAsia" w:hAnsiTheme="minorEastAsia" w:eastAsiaTheme="minorEastAsia" w:cstheme="minorEastAsia"/>
          <w:sz w:val="24"/>
          <w:lang w:val="en-US" w:eastAsia="zh-CN"/>
        </w:rPr>
        <w:t>九</w:t>
      </w:r>
      <w:r>
        <w:rPr>
          <w:rFonts w:hint="eastAsia" w:asciiTheme="minorEastAsia" w:hAnsiTheme="minorEastAsia" w:eastAsiaTheme="minorEastAsia" w:cstheme="minorEastAsia"/>
          <w:sz w:val="24"/>
        </w:rPr>
        <w:t>月</w:t>
      </w:r>
    </w:p>
    <w:sectPr>
      <w:headerReference r:id="rId4" w:type="default"/>
      <w:pgSz w:w="11906" w:h="16838"/>
      <w:pgMar w:top="1134" w:right="1134" w:bottom="993"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Arial Unicode MS"/>
    <w:panose1 w:val="00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0802687"/>
      <w:docPartObj>
        <w:docPartGallery w:val="autotext"/>
      </w:docPartObj>
    </w:sdtPr>
    <w:sdtContent>
      <w:sdt>
        <w:sdtPr>
          <w:id w:val="-1669238322"/>
          <w:docPartObj>
            <w:docPartGallery w:val="autotext"/>
          </w:docPartObj>
        </w:sdtPr>
        <w:sdtContent>
          <w:p w14:paraId="39CDE201">
            <w:pPr>
              <w:pStyle w:val="1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43</w:t>
            </w:r>
            <w:r>
              <w:rPr>
                <w:b/>
                <w:bCs/>
                <w:sz w:val="24"/>
                <w:szCs w:val="24"/>
              </w:rPr>
              <w:fldChar w:fldCharType="end"/>
            </w:r>
          </w:p>
        </w:sdtContent>
      </w:sdt>
    </w:sdtContent>
  </w:sdt>
  <w:p w14:paraId="0687057E">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ACC53">
    <w:pPr>
      <w:pStyle w:val="16"/>
    </w:pPr>
    <w:r>
      <w:rPr>
        <w:rFonts w:hint="eastAsia"/>
      </w:rPr>
      <w:t>广东天亿马信息产业股份有限公司                                                                公司章程</w:t>
    </w:r>
  </w:p>
  <w:p w14:paraId="0510D74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chineseCountingThousand"/>
      <w:suff w:val="space"/>
      <w:lvlText w:val="第%1条 "/>
      <w:lvlJc w:val="left"/>
      <w:pPr>
        <w:ind w:left="1244" w:hanging="960"/>
      </w:pPr>
      <w:rPr>
        <w:rFonts w:hint="default" w:asciiTheme="majorEastAsia" w:hAnsiTheme="majorEastAsia" w:eastAsiaTheme="majorEastAsia"/>
        <w:b/>
        <w:i w:val="0"/>
        <w:sz w:val="24"/>
        <w:szCs w:val="24"/>
        <w:lang w:val="en-US"/>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
    <w:nsid w:val="1B0D730C"/>
    <w:multiLevelType w:val="multilevel"/>
    <w:tmpl w:val="1B0D730C"/>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6CD5710"/>
    <w:multiLevelType w:val="multilevel"/>
    <w:tmpl w:val="46CD5710"/>
    <w:lvl w:ilvl="0" w:tentative="0">
      <w:start w:val="1"/>
      <w:numFmt w:val="japaneseCounting"/>
      <w:lvlText w:val="（%1）"/>
      <w:lvlJc w:val="left"/>
      <w:pPr>
        <w:ind w:left="1260" w:hanging="72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0000476E"/>
    <w:rsid w:val="0000637D"/>
    <w:rsid w:val="00011891"/>
    <w:rsid w:val="00011B3B"/>
    <w:rsid w:val="000132F6"/>
    <w:rsid w:val="000134FB"/>
    <w:rsid w:val="00013505"/>
    <w:rsid w:val="00015E5A"/>
    <w:rsid w:val="00023D14"/>
    <w:rsid w:val="00026172"/>
    <w:rsid w:val="00027BDF"/>
    <w:rsid w:val="00030534"/>
    <w:rsid w:val="00033D1F"/>
    <w:rsid w:val="000346EA"/>
    <w:rsid w:val="00036993"/>
    <w:rsid w:val="00040B37"/>
    <w:rsid w:val="00051451"/>
    <w:rsid w:val="00053487"/>
    <w:rsid w:val="000538D8"/>
    <w:rsid w:val="0005479A"/>
    <w:rsid w:val="00054DF1"/>
    <w:rsid w:val="00057431"/>
    <w:rsid w:val="00057F9F"/>
    <w:rsid w:val="00061123"/>
    <w:rsid w:val="00062554"/>
    <w:rsid w:val="00063518"/>
    <w:rsid w:val="0006408A"/>
    <w:rsid w:val="00065CA2"/>
    <w:rsid w:val="0006689F"/>
    <w:rsid w:val="00066D43"/>
    <w:rsid w:val="00077F07"/>
    <w:rsid w:val="00083720"/>
    <w:rsid w:val="00084188"/>
    <w:rsid w:val="00087245"/>
    <w:rsid w:val="00090EC1"/>
    <w:rsid w:val="00093450"/>
    <w:rsid w:val="000940BB"/>
    <w:rsid w:val="0009478E"/>
    <w:rsid w:val="0009542E"/>
    <w:rsid w:val="00095B62"/>
    <w:rsid w:val="0009660A"/>
    <w:rsid w:val="000966ED"/>
    <w:rsid w:val="000A30F1"/>
    <w:rsid w:val="000A4D97"/>
    <w:rsid w:val="000B3387"/>
    <w:rsid w:val="000B366D"/>
    <w:rsid w:val="000B514F"/>
    <w:rsid w:val="000B739D"/>
    <w:rsid w:val="000C0817"/>
    <w:rsid w:val="000C1C3E"/>
    <w:rsid w:val="000C780C"/>
    <w:rsid w:val="000D22AF"/>
    <w:rsid w:val="000D2759"/>
    <w:rsid w:val="000D2BB3"/>
    <w:rsid w:val="000D2ECB"/>
    <w:rsid w:val="000D3456"/>
    <w:rsid w:val="000D3C9E"/>
    <w:rsid w:val="000D4340"/>
    <w:rsid w:val="000E0CAD"/>
    <w:rsid w:val="000E11BD"/>
    <w:rsid w:val="000E246A"/>
    <w:rsid w:val="000E6114"/>
    <w:rsid w:val="000F0001"/>
    <w:rsid w:val="000F19E7"/>
    <w:rsid w:val="000F1E95"/>
    <w:rsid w:val="000F2304"/>
    <w:rsid w:val="000F3176"/>
    <w:rsid w:val="000F59F5"/>
    <w:rsid w:val="0010076B"/>
    <w:rsid w:val="00103F26"/>
    <w:rsid w:val="001057F1"/>
    <w:rsid w:val="001077AD"/>
    <w:rsid w:val="0010794D"/>
    <w:rsid w:val="001105AD"/>
    <w:rsid w:val="00112C79"/>
    <w:rsid w:val="001133DF"/>
    <w:rsid w:val="00125145"/>
    <w:rsid w:val="00125BCC"/>
    <w:rsid w:val="001265A4"/>
    <w:rsid w:val="00141F38"/>
    <w:rsid w:val="001437C0"/>
    <w:rsid w:val="001444AC"/>
    <w:rsid w:val="00147631"/>
    <w:rsid w:val="001477CE"/>
    <w:rsid w:val="0015165F"/>
    <w:rsid w:val="00151A5A"/>
    <w:rsid w:val="0015435F"/>
    <w:rsid w:val="00154FC3"/>
    <w:rsid w:val="001555D7"/>
    <w:rsid w:val="00161130"/>
    <w:rsid w:val="001621E4"/>
    <w:rsid w:val="00163C06"/>
    <w:rsid w:val="00163F11"/>
    <w:rsid w:val="00164149"/>
    <w:rsid w:val="00165AD3"/>
    <w:rsid w:val="00165E16"/>
    <w:rsid w:val="00172A27"/>
    <w:rsid w:val="001734E1"/>
    <w:rsid w:val="001740C8"/>
    <w:rsid w:val="001741F3"/>
    <w:rsid w:val="00176089"/>
    <w:rsid w:val="00181A3C"/>
    <w:rsid w:val="00182183"/>
    <w:rsid w:val="00183CDE"/>
    <w:rsid w:val="00184D8E"/>
    <w:rsid w:val="00186D96"/>
    <w:rsid w:val="0019217C"/>
    <w:rsid w:val="00193449"/>
    <w:rsid w:val="001A2D0B"/>
    <w:rsid w:val="001A3C92"/>
    <w:rsid w:val="001B1CA8"/>
    <w:rsid w:val="001B578E"/>
    <w:rsid w:val="001B6A3A"/>
    <w:rsid w:val="001C134A"/>
    <w:rsid w:val="001C1F14"/>
    <w:rsid w:val="001C2AFD"/>
    <w:rsid w:val="001C3959"/>
    <w:rsid w:val="001C6F98"/>
    <w:rsid w:val="001D23FF"/>
    <w:rsid w:val="001D46E6"/>
    <w:rsid w:val="001D5CAA"/>
    <w:rsid w:val="001D5D83"/>
    <w:rsid w:val="001E2A7D"/>
    <w:rsid w:val="001E3178"/>
    <w:rsid w:val="001E4DFB"/>
    <w:rsid w:val="001E52EA"/>
    <w:rsid w:val="001F2428"/>
    <w:rsid w:val="001F2C95"/>
    <w:rsid w:val="001F4098"/>
    <w:rsid w:val="001F53FC"/>
    <w:rsid w:val="001F5FBB"/>
    <w:rsid w:val="0020030A"/>
    <w:rsid w:val="002008E0"/>
    <w:rsid w:val="00202A30"/>
    <w:rsid w:val="00205520"/>
    <w:rsid w:val="00211953"/>
    <w:rsid w:val="00212008"/>
    <w:rsid w:val="00213318"/>
    <w:rsid w:val="00214922"/>
    <w:rsid w:val="00215010"/>
    <w:rsid w:val="00216000"/>
    <w:rsid w:val="00216B38"/>
    <w:rsid w:val="00217315"/>
    <w:rsid w:val="0021737C"/>
    <w:rsid w:val="0022447B"/>
    <w:rsid w:val="00225931"/>
    <w:rsid w:val="00226887"/>
    <w:rsid w:val="002273E7"/>
    <w:rsid w:val="002315B2"/>
    <w:rsid w:val="00231688"/>
    <w:rsid w:val="002344BA"/>
    <w:rsid w:val="002346C4"/>
    <w:rsid w:val="00236621"/>
    <w:rsid w:val="00237FD0"/>
    <w:rsid w:val="0024019A"/>
    <w:rsid w:val="002403C2"/>
    <w:rsid w:val="002405F1"/>
    <w:rsid w:val="00240CE7"/>
    <w:rsid w:val="00241418"/>
    <w:rsid w:val="00241974"/>
    <w:rsid w:val="00242317"/>
    <w:rsid w:val="002430E6"/>
    <w:rsid w:val="00247A67"/>
    <w:rsid w:val="002500AF"/>
    <w:rsid w:val="002502C1"/>
    <w:rsid w:val="00250EF7"/>
    <w:rsid w:val="00251A7E"/>
    <w:rsid w:val="00251F59"/>
    <w:rsid w:val="00255258"/>
    <w:rsid w:val="0025578C"/>
    <w:rsid w:val="0025607B"/>
    <w:rsid w:val="00256FFD"/>
    <w:rsid w:val="00257950"/>
    <w:rsid w:val="002621DB"/>
    <w:rsid w:val="00262529"/>
    <w:rsid w:val="00263D9E"/>
    <w:rsid w:val="00266969"/>
    <w:rsid w:val="002674DA"/>
    <w:rsid w:val="00267612"/>
    <w:rsid w:val="002748CF"/>
    <w:rsid w:val="002751CA"/>
    <w:rsid w:val="00275FB8"/>
    <w:rsid w:val="00276FFD"/>
    <w:rsid w:val="0028110D"/>
    <w:rsid w:val="00281A58"/>
    <w:rsid w:val="00283DE4"/>
    <w:rsid w:val="00286B6A"/>
    <w:rsid w:val="00290AF5"/>
    <w:rsid w:val="00290B9E"/>
    <w:rsid w:val="00290D6C"/>
    <w:rsid w:val="00293041"/>
    <w:rsid w:val="002941AB"/>
    <w:rsid w:val="00294F9B"/>
    <w:rsid w:val="00297C2B"/>
    <w:rsid w:val="002A0092"/>
    <w:rsid w:val="002A175A"/>
    <w:rsid w:val="002A1ACD"/>
    <w:rsid w:val="002A2162"/>
    <w:rsid w:val="002A22DF"/>
    <w:rsid w:val="002A2AC0"/>
    <w:rsid w:val="002A60C5"/>
    <w:rsid w:val="002A6560"/>
    <w:rsid w:val="002B0D3D"/>
    <w:rsid w:val="002B17DD"/>
    <w:rsid w:val="002B2D63"/>
    <w:rsid w:val="002B5BD1"/>
    <w:rsid w:val="002B66B0"/>
    <w:rsid w:val="002C0760"/>
    <w:rsid w:val="002C09B9"/>
    <w:rsid w:val="002C1F59"/>
    <w:rsid w:val="002C3969"/>
    <w:rsid w:val="002C48BD"/>
    <w:rsid w:val="002C563E"/>
    <w:rsid w:val="002D5E23"/>
    <w:rsid w:val="002E08A6"/>
    <w:rsid w:val="002E23AE"/>
    <w:rsid w:val="002E59DC"/>
    <w:rsid w:val="002E7B35"/>
    <w:rsid w:val="002F2324"/>
    <w:rsid w:val="002F3917"/>
    <w:rsid w:val="002F683B"/>
    <w:rsid w:val="002F6957"/>
    <w:rsid w:val="002F6BCC"/>
    <w:rsid w:val="002F7A03"/>
    <w:rsid w:val="002F7A1C"/>
    <w:rsid w:val="002F7C34"/>
    <w:rsid w:val="00304188"/>
    <w:rsid w:val="00304916"/>
    <w:rsid w:val="00304B19"/>
    <w:rsid w:val="00304E70"/>
    <w:rsid w:val="00305311"/>
    <w:rsid w:val="003070AA"/>
    <w:rsid w:val="003108ED"/>
    <w:rsid w:val="00311811"/>
    <w:rsid w:val="00317781"/>
    <w:rsid w:val="0031799C"/>
    <w:rsid w:val="003206D7"/>
    <w:rsid w:val="00321126"/>
    <w:rsid w:val="0032262C"/>
    <w:rsid w:val="003228D9"/>
    <w:rsid w:val="0032413D"/>
    <w:rsid w:val="00324547"/>
    <w:rsid w:val="0032522C"/>
    <w:rsid w:val="003263D4"/>
    <w:rsid w:val="0033318D"/>
    <w:rsid w:val="00334880"/>
    <w:rsid w:val="00341E67"/>
    <w:rsid w:val="00344B38"/>
    <w:rsid w:val="00344CD8"/>
    <w:rsid w:val="00345482"/>
    <w:rsid w:val="00350C5B"/>
    <w:rsid w:val="0035175F"/>
    <w:rsid w:val="0035310C"/>
    <w:rsid w:val="003541CA"/>
    <w:rsid w:val="0035535E"/>
    <w:rsid w:val="00356FDF"/>
    <w:rsid w:val="00361C97"/>
    <w:rsid w:val="003637EC"/>
    <w:rsid w:val="00367338"/>
    <w:rsid w:val="00372849"/>
    <w:rsid w:val="00372D0E"/>
    <w:rsid w:val="00375956"/>
    <w:rsid w:val="00375CF4"/>
    <w:rsid w:val="00380707"/>
    <w:rsid w:val="00380A2F"/>
    <w:rsid w:val="00387F32"/>
    <w:rsid w:val="0039103F"/>
    <w:rsid w:val="00392056"/>
    <w:rsid w:val="003941FA"/>
    <w:rsid w:val="003A3661"/>
    <w:rsid w:val="003A4CFC"/>
    <w:rsid w:val="003A58BA"/>
    <w:rsid w:val="003A7CFD"/>
    <w:rsid w:val="003B11DD"/>
    <w:rsid w:val="003B1CAC"/>
    <w:rsid w:val="003B3BD7"/>
    <w:rsid w:val="003B4171"/>
    <w:rsid w:val="003C4263"/>
    <w:rsid w:val="003C61DF"/>
    <w:rsid w:val="003D0A3D"/>
    <w:rsid w:val="003D0AA9"/>
    <w:rsid w:val="003E0FEB"/>
    <w:rsid w:val="003E1AC3"/>
    <w:rsid w:val="003F5A85"/>
    <w:rsid w:val="003F6616"/>
    <w:rsid w:val="003F6CB4"/>
    <w:rsid w:val="003F6DC9"/>
    <w:rsid w:val="00400316"/>
    <w:rsid w:val="00400A54"/>
    <w:rsid w:val="004025A9"/>
    <w:rsid w:val="004038CA"/>
    <w:rsid w:val="004053BA"/>
    <w:rsid w:val="00407760"/>
    <w:rsid w:val="00407F79"/>
    <w:rsid w:val="004147F9"/>
    <w:rsid w:val="0041770B"/>
    <w:rsid w:val="00417DC4"/>
    <w:rsid w:val="00421D07"/>
    <w:rsid w:val="00423D6D"/>
    <w:rsid w:val="00424495"/>
    <w:rsid w:val="00427F80"/>
    <w:rsid w:val="00430EA1"/>
    <w:rsid w:val="0043106C"/>
    <w:rsid w:val="00431CE7"/>
    <w:rsid w:val="00431F1B"/>
    <w:rsid w:val="0043337B"/>
    <w:rsid w:val="004346D3"/>
    <w:rsid w:val="00434D50"/>
    <w:rsid w:val="0043770C"/>
    <w:rsid w:val="004407F1"/>
    <w:rsid w:val="00450448"/>
    <w:rsid w:val="00450611"/>
    <w:rsid w:val="0045158B"/>
    <w:rsid w:val="00451B79"/>
    <w:rsid w:val="00460000"/>
    <w:rsid w:val="00460684"/>
    <w:rsid w:val="00462003"/>
    <w:rsid w:val="00462A44"/>
    <w:rsid w:val="004646DF"/>
    <w:rsid w:val="00465D51"/>
    <w:rsid w:val="00465FE2"/>
    <w:rsid w:val="00467703"/>
    <w:rsid w:val="00470C81"/>
    <w:rsid w:val="00471BF2"/>
    <w:rsid w:val="00472C29"/>
    <w:rsid w:val="0047355C"/>
    <w:rsid w:val="00475A0B"/>
    <w:rsid w:val="00476492"/>
    <w:rsid w:val="00477DB6"/>
    <w:rsid w:val="00480190"/>
    <w:rsid w:val="00483025"/>
    <w:rsid w:val="00490D2E"/>
    <w:rsid w:val="0049128C"/>
    <w:rsid w:val="00495C02"/>
    <w:rsid w:val="00496C79"/>
    <w:rsid w:val="00497356"/>
    <w:rsid w:val="004A06A6"/>
    <w:rsid w:val="004A1405"/>
    <w:rsid w:val="004A1465"/>
    <w:rsid w:val="004A27F8"/>
    <w:rsid w:val="004B0035"/>
    <w:rsid w:val="004B096F"/>
    <w:rsid w:val="004B0CA2"/>
    <w:rsid w:val="004B10B6"/>
    <w:rsid w:val="004B27B9"/>
    <w:rsid w:val="004B28D3"/>
    <w:rsid w:val="004B5677"/>
    <w:rsid w:val="004B757A"/>
    <w:rsid w:val="004C6325"/>
    <w:rsid w:val="004C6A4A"/>
    <w:rsid w:val="004D04BD"/>
    <w:rsid w:val="004D0AC0"/>
    <w:rsid w:val="004D185C"/>
    <w:rsid w:val="004D3116"/>
    <w:rsid w:val="004D4DF6"/>
    <w:rsid w:val="004E1E9D"/>
    <w:rsid w:val="004E51E5"/>
    <w:rsid w:val="004F0643"/>
    <w:rsid w:val="004F105E"/>
    <w:rsid w:val="004F2D89"/>
    <w:rsid w:val="004F32FB"/>
    <w:rsid w:val="004F354C"/>
    <w:rsid w:val="004F5106"/>
    <w:rsid w:val="0050032E"/>
    <w:rsid w:val="005027FC"/>
    <w:rsid w:val="0050296A"/>
    <w:rsid w:val="005039EE"/>
    <w:rsid w:val="00515A04"/>
    <w:rsid w:val="00520BFB"/>
    <w:rsid w:val="005233DE"/>
    <w:rsid w:val="00523B0F"/>
    <w:rsid w:val="00524F28"/>
    <w:rsid w:val="00525993"/>
    <w:rsid w:val="005265C2"/>
    <w:rsid w:val="00526C80"/>
    <w:rsid w:val="00532E08"/>
    <w:rsid w:val="00535FDD"/>
    <w:rsid w:val="00543579"/>
    <w:rsid w:val="0054575A"/>
    <w:rsid w:val="00546852"/>
    <w:rsid w:val="00546EC1"/>
    <w:rsid w:val="0054783B"/>
    <w:rsid w:val="0055464F"/>
    <w:rsid w:val="005564F1"/>
    <w:rsid w:val="00561E7C"/>
    <w:rsid w:val="005630E9"/>
    <w:rsid w:val="005650EF"/>
    <w:rsid w:val="00565203"/>
    <w:rsid w:val="00571884"/>
    <w:rsid w:val="0057438E"/>
    <w:rsid w:val="00574C31"/>
    <w:rsid w:val="00577BF1"/>
    <w:rsid w:val="00581D7D"/>
    <w:rsid w:val="00581DF1"/>
    <w:rsid w:val="00584C8B"/>
    <w:rsid w:val="005860D9"/>
    <w:rsid w:val="005872E6"/>
    <w:rsid w:val="00591F05"/>
    <w:rsid w:val="00594104"/>
    <w:rsid w:val="0059417A"/>
    <w:rsid w:val="00595065"/>
    <w:rsid w:val="00597AE2"/>
    <w:rsid w:val="005B3312"/>
    <w:rsid w:val="005B46AB"/>
    <w:rsid w:val="005B4C72"/>
    <w:rsid w:val="005B549E"/>
    <w:rsid w:val="005B595E"/>
    <w:rsid w:val="005B59DD"/>
    <w:rsid w:val="005B7401"/>
    <w:rsid w:val="005C0F8F"/>
    <w:rsid w:val="005C1048"/>
    <w:rsid w:val="005C22E1"/>
    <w:rsid w:val="005C480D"/>
    <w:rsid w:val="005C510D"/>
    <w:rsid w:val="005C570C"/>
    <w:rsid w:val="005D36D5"/>
    <w:rsid w:val="005D3891"/>
    <w:rsid w:val="005D4C05"/>
    <w:rsid w:val="005D5B1C"/>
    <w:rsid w:val="005E0A6C"/>
    <w:rsid w:val="005E128B"/>
    <w:rsid w:val="005E36BA"/>
    <w:rsid w:val="005E4516"/>
    <w:rsid w:val="005E543E"/>
    <w:rsid w:val="005E7CEA"/>
    <w:rsid w:val="005F32FE"/>
    <w:rsid w:val="005F59F6"/>
    <w:rsid w:val="005F6B05"/>
    <w:rsid w:val="005F7521"/>
    <w:rsid w:val="005F7C6F"/>
    <w:rsid w:val="006003ED"/>
    <w:rsid w:val="00601CFF"/>
    <w:rsid w:val="00604099"/>
    <w:rsid w:val="00605BDD"/>
    <w:rsid w:val="00605D0D"/>
    <w:rsid w:val="00606C52"/>
    <w:rsid w:val="00611580"/>
    <w:rsid w:val="006115A2"/>
    <w:rsid w:val="006131F5"/>
    <w:rsid w:val="0061623A"/>
    <w:rsid w:val="00616362"/>
    <w:rsid w:val="006260D7"/>
    <w:rsid w:val="006326C2"/>
    <w:rsid w:val="00632AC9"/>
    <w:rsid w:val="006331F8"/>
    <w:rsid w:val="006336F7"/>
    <w:rsid w:val="00634278"/>
    <w:rsid w:val="00635B4A"/>
    <w:rsid w:val="00636008"/>
    <w:rsid w:val="00636076"/>
    <w:rsid w:val="006360F3"/>
    <w:rsid w:val="0063663D"/>
    <w:rsid w:val="00636708"/>
    <w:rsid w:val="0063780F"/>
    <w:rsid w:val="006417E8"/>
    <w:rsid w:val="00641BD7"/>
    <w:rsid w:val="006421D6"/>
    <w:rsid w:val="00645DCC"/>
    <w:rsid w:val="00650716"/>
    <w:rsid w:val="00650B1F"/>
    <w:rsid w:val="00650F9C"/>
    <w:rsid w:val="00651BAD"/>
    <w:rsid w:val="0065377D"/>
    <w:rsid w:val="00653EBB"/>
    <w:rsid w:val="0065471A"/>
    <w:rsid w:val="00654B5B"/>
    <w:rsid w:val="006554E5"/>
    <w:rsid w:val="0065563D"/>
    <w:rsid w:val="0066332D"/>
    <w:rsid w:val="00664A1A"/>
    <w:rsid w:val="00664EFA"/>
    <w:rsid w:val="00666619"/>
    <w:rsid w:val="00666A16"/>
    <w:rsid w:val="006716EA"/>
    <w:rsid w:val="00673325"/>
    <w:rsid w:val="00675254"/>
    <w:rsid w:val="00676CC3"/>
    <w:rsid w:val="00684881"/>
    <w:rsid w:val="00686546"/>
    <w:rsid w:val="006913B8"/>
    <w:rsid w:val="00691D0C"/>
    <w:rsid w:val="00692FEF"/>
    <w:rsid w:val="00694626"/>
    <w:rsid w:val="006970F4"/>
    <w:rsid w:val="0069724A"/>
    <w:rsid w:val="00697971"/>
    <w:rsid w:val="006A1672"/>
    <w:rsid w:val="006A1812"/>
    <w:rsid w:val="006A2684"/>
    <w:rsid w:val="006A3611"/>
    <w:rsid w:val="006A3F31"/>
    <w:rsid w:val="006A42F1"/>
    <w:rsid w:val="006A73BD"/>
    <w:rsid w:val="006A7F84"/>
    <w:rsid w:val="006B10F2"/>
    <w:rsid w:val="006B46FD"/>
    <w:rsid w:val="006B5EE6"/>
    <w:rsid w:val="006B5FFD"/>
    <w:rsid w:val="006B6710"/>
    <w:rsid w:val="006B75B2"/>
    <w:rsid w:val="006C1DFA"/>
    <w:rsid w:val="006C2BF9"/>
    <w:rsid w:val="006C4318"/>
    <w:rsid w:val="006C4A48"/>
    <w:rsid w:val="006C4F7A"/>
    <w:rsid w:val="006C5BAB"/>
    <w:rsid w:val="006C68AF"/>
    <w:rsid w:val="006C6B7C"/>
    <w:rsid w:val="006D003A"/>
    <w:rsid w:val="006D05FB"/>
    <w:rsid w:val="006D075A"/>
    <w:rsid w:val="006D2400"/>
    <w:rsid w:val="006D3EBF"/>
    <w:rsid w:val="006D409C"/>
    <w:rsid w:val="006D40B3"/>
    <w:rsid w:val="006D7251"/>
    <w:rsid w:val="006E0D4B"/>
    <w:rsid w:val="006E13D8"/>
    <w:rsid w:val="006E1F43"/>
    <w:rsid w:val="006E3B76"/>
    <w:rsid w:val="006E41CB"/>
    <w:rsid w:val="006E4758"/>
    <w:rsid w:val="006E4A61"/>
    <w:rsid w:val="006E5311"/>
    <w:rsid w:val="006E5AF1"/>
    <w:rsid w:val="006E5B55"/>
    <w:rsid w:val="006E66AA"/>
    <w:rsid w:val="006E72B1"/>
    <w:rsid w:val="006F22D4"/>
    <w:rsid w:val="006F2912"/>
    <w:rsid w:val="006F3345"/>
    <w:rsid w:val="006F4408"/>
    <w:rsid w:val="006F4533"/>
    <w:rsid w:val="006F60C6"/>
    <w:rsid w:val="0070047C"/>
    <w:rsid w:val="007035B3"/>
    <w:rsid w:val="00703654"/>
    <w:rsid w:val="00703EFE"/>
    <w:rsid w:val="00704360"/>
    <w:rsid w:val="00707ABC"/>
    <w:rsid w:val="00710F8A"/>
    <w:rsid w:val="00712ACC"/>
    <w:rsid w:val="0071663A"/>
    <w:rsid w:val="00716649"/>
    <w:rsid w:val="00716D50"/>
    <w:rsid w:val="00720E0F"/>
    <w:rsid w:val="007219E0"/>
    <w:rsid w:val="00721BFC"/>
    <w:rsid w:val="00723A75"/>
    <w:rsid w:val="0072483F"/>
    <w:rsid w:val="007256B2"/>
    <w:rsid w:val="007300FD"/>
    <w:rsid w:val="00730873"/>
    <w:rsid w:val="00731334"/>
    <w:rsid w:val="00732CE9"/>
    <w:rsid w:val="00734A2C"/>
    <w:rsid w:val="0073532D"/>
    <w:rsid w:val="0073697F"/>
    <w:rsid w:val="00737316"/>
    <w:rsid w:val="00741887"/>
    <w:rsid w:val="00741DDC"/>
    <w:rsid w:val="0074397F"/>
    <w:rsid w:val="00744F5D"/>
    <w:rsid w:val="007469C9"/>
    <w:rsid w:val="00751871"/>
    <w:rsid w:val="0075203E"/>
    <w:rsid w:val="00752DFE"/>
    <w:rsid w:val="00757EEB"/>
    <w:rsid w:val="00760571"/>
    <w:rsid w:val="00760598"/>
    <w:rsid w:val="00760EFA"/>
    <w:rsid w:val="00770160"/>
    <w:rsid w:val="007759AE"/>
    <w:rsid w:val="00775FDB"/>
    <w:rsid w:val="0078452D"/>
    <w:rsid w:val="00785B85"/>
    <w:rsid w:val="00785E3D"/>
    <w:rsid w:val="00787AE8"/>
    <w:rsid w:val="00787FB7"/>
    <w:rsid w:val="0079026B"/>
    <w:rsid w:val="00790682"/>
    <w:rsid w:val="00792268"/>
    <w:rsid w:val="00793AA5"/>
    <w:rsid w:val="007960BF"/>
    <w:rsid w:val="00796611"/>
    <w:rsid w:val="007A191D"/>
    <w:rsid w:val="007A2534"/>
    <w:rsid w:val="007A3056"/>
    <w:rsid w:val="007A43EA"/>
    <w:rsid w:val="007A4525"/>
    <w:rsid w:val="007A6430"/>
    <w:rsid w:val="007B1876"/>
    <w:rsid w:val="007B2104"/>
    <w:rsid w:val="007B3EB5"/>
    <w:rsid w:val="007B49AB"/>
    <w:rsid w:val="007B5259"/>
    <w:rsid w:val="007B5302"/>
    <w:rsid w:val="007B5D98"/>
    <w:rsid w:val="007C22C4"/>
    <w:rsid w:val="007C22F5"/>
    <w:rsid w:val="007C6FE3"/>
    <w:rsid w:val="007C78D3"/>
    <w:rsid w:val="007D149B"/>
    <w:rsid w:val="007D30BB"/>
    <w:rsid w:val="007D341E"/>
    <w:rsid w:val="007D3845"/>
    <w:rsid w:val="007D4CEF"/>
    <w:rsid w:val="007D5F26"/>
    <w:rsid w:val="007D63F8"/>
    <w:rsid w:val="007D71F1"/>
    <w:rsid w:val="007D7B57"/>
    <w:rsid w:val="007E1048"/>
    <w:rsid w:val="007E141E"/>
    <w:rsid w:val="007E3A66"/>
    <w:rsid w:val="007E3AF5"/>
    <w:rsid w:val="007E667E"/>
    <w:rsid w:val="007E70D3"/>
    <w:rsid w:val="007F1C4F"/>
    <w:rsid w:val="007F553B"/>
    <w:rsid w:val="007F77DE"/>
    <w:rsid w:val="008005FA"/>
    <w:rsid w:val="008071B8"/>
    <w:rsid w:val="008101B8"/>
    <w:rsid w:val="008144D8"/>
    <w:rsid w:val="00815A64"/>
    <w:rsid w:val="00815BD3"/>
    <w:rsid w:val="00816EA6"/>
    <w:rsid w:val="00820A21"/>
    <w:rsid w:val="00820CAA"/>
    <w:rsid w:val="00821B12"/>
    <w:rsid w:val="00826B21"/>
    <w:rsid w:val="00831538"/>
    <w:rsid w:val="00832789"/>
    <w:rsid w:val="00832DA6"/>
    <w:rsid w:val="008331C9"/>
    <w:rsid w:val="0083443A"/>
    <w:rsid w:val="00834E48"/>
    <w:rsid w:val="0083521F"/>
    <w:rsid w:val="0083714A"/>
    <w:rsid w:val="00840279"/>
    <w:rsid w:val="008423EF"/>
    <w:rsid w:val="00844B3E"/>
    <w:rsid w:val="00845FA5"/>
    <w:rsid w:val="008473AC"/>
    <w:rsid w:val="008476A6"/>
    <w:rsid w:val="00850EB2"/>
    <w:rsid w:val="00852B18"/>
    <w:rsid w:val="0085375D"/>
    <w:rsid w:val="008578B0"/>
    <w:rsid w:val="008602D0"/>
    <w:rsid w:val="008610E5"/>
    <w:rsid w:val="008618EF"/>
    <w:rsid w:val="00862760"/>
    <w:rsid w:val="00863472"/>
    <w:rsid w:val="00864718"/>
    <w:rsid w:val="00867535"/>
    <w:rsid w:val="00867701"/>
    <w:rsid w:val="00867869"/>
    <w:rsid w:val="00872BAE"/>
    <w:rsid w:val="0087400C"/>
    <w:rsid w:val="008753A5"/>
    <w:rsid w:val="0087628A"/>
    <w:rsid w:val="00877F7B"/>
    <w:rsid w:val="008821BC"/>
    <w:rsid w:val="008911B7"/>
    <w:rsid w:val="00892B23"/>
    <w:rsid w:val="00894D8D"/>
    <w:rsid w:val="00897125"/>
    <w:rsid w:val="00897F05"/>
    <w:rsid w:val="008A25B2"/>
    <w:rsid w:val="008A5576"/>
    <w:rsid w:val="008A748D"/>
    <w:rsid w:val="008B2E11"/>
    <w:rsid w:val="008B60EC"/>
    <w:rsid w:val="008B73A3"/>
    <w:rsid w:val="008C209A"/>
    <w:rsid w:val="008C7573"/>
    <w:rsid w:val="008D4EC8"/>
    <w:rsid w:val="008D5322"/>
    <w:rsid w:val="008D56E8"/>
    <w:rsid w:val="008D61A2"/>
    <w:rsid w:val="008D685A"/>
    <w:rsid w:val="008E4B57"/>
    <w:rsid w:val="008E4BFD"/>
    <w:rsid w:val="008E5510"/>
    <w:rsid w:val="008E7CAA"/>
    <w:rsid w:val="008F2396"/>
    <w:rsid w:val="008F27E3"/>
    <w:rsid w:val="008F4948"/>
    <w:rsid w:val="008F581E"/>
    <w:rsid w:val="008F6F67"/>
    <w:rsid w:val="00901C39"/>
    <w:rsid w:val="00903993"/>
    <w:rsid w:val="00903A9A"/>
    <w:rsid w:val="00904523"/>
    <w:rsid w:val="009069D6"/>
    <w:rsid w:val="009069F1"/>
    <w:rsid w:val="0091365E"/>
    <w:rsid w:val="00915751"/>
    <w:rsid w:val="009168F1"/>
    <w:rsid w:val="009228B9"/>
    <w:rsid w:val="00923252"/>
    <w:rsid w:val="00925E02"/>
    <w:rsid w:val="0092603C"/>
    <w:rsid w:val="0092708E"/>
    <w:rsid w:val="009270A6"/>
    <w:rsid w:val="00927371"/>
    <w:rsid w:val="009312EA"/>
    <w:rsid w:val="00931C84"/>
    <w:rsid w:val="00933677"/>
    <w:rsid w:val="009338FF"/>
    <w:rsid w:val="00933B82"/>
    <w:rsid w:val="00933EC0"/>
    <w:rsid w:val="00934E6C"/>
    <w:rsid w:val="00935739"/>
    <w:rsid w:val="00935AB1"/>
    <w:rsid w:val="0094361E"/>
    <w:rsid w:val="00946D24"/>
    <w:rsid w:val="00946ED6"/>
    <w:rsid w:val="00946F4D"/>
    <w:rsid w:val="00947E69"/>
    <w:rsid w:val="009512BF"/>
    <w:rsid w:val="0095307B"/>
    <w:rsid w:val="0095584D"/>
    <w:rsid w:val="0096135D"/>
    <w:rsid w:val="00961450"/>
    <w:rsid w:val="009638BB"/>
    <w:rsid w:val="00964650"/>
    <w:rsid w:val="00965C68"/>
    <w:rsid w:val="0096679B"/>
    <w:rsid w:val="00970877"/>
    <w:rsid w:val="0097623F"/>
    <w:rsid w:val="00980743"/>
    <w:rsid w:val="00980A1F"/>
    <w:rsid w:val="0098152E"/>
    <w:rsid w:val="0098229D"/>
    <w:rsid w:val="00982879"/>
    <w:rsid w:val="00985B87"/>
    <w:rsid w:val="00992F3A"/>
    <w:rsid w:val="00993CB0"/>
    <w:rsid w:val="00995EF7"/>
    <w:rsid w:val="00996CE9"/>
    <w:rsid w:val="009A09C5"/>
    <w:rsid w:val="009A2BB8"/>
    <w:rsid w:val="009A2E16"/>
    <w:rsid w:val="009A316D"/>
    <w:rsid w:val="009A3A2C"/>
    <w:rsid w:val="009A55AB"/>
    <w:rsid w:val="009A7D1E"/>
    <w:rsid w:val="009B1EFC"/>
    <w:rsid w:val="009B2592"/>
    <w:rsid w:val="009B4DEE"/>
    <w:rsid w:val="009B5015"/>
    <w:rsid w:val="009B53B3"/>
    <w:rsid w:val="009C0484"/>
    <w:rsid w:val="009C22EA"/>
    <w:rsid w:val="009C4CD3"/>
    <w:rsid w:val="009C54EF"/>
    <w:rsid w:val="009D0D93"/>
    <w:rsid w:val="009D23F9"/>
    <w:rsid w:val="009D2FA1"/>
    <w:rsid w:val="009D317E"/>
    <w:rsid w:val="009D328A"/>
    <w:rsid w:val="009D3770"/>
    <w:rsid w:val="009D41F0"/>
    <w:rsid w:val="009D453A"/>
    <w:rsid w:val="009D5BF7"/>
    <w:rsid w:val="009D6097"/>
    <w:rsid w:val="009D6ACD"/>
    <w:rsid w:val="009E042E"/>
    <w:rsid w:val="009E105F"/>
    <w:rsid w:val="009E392F"/>
    <w:rsid w:val="009E5BF7"/>
    <w:rsid w:val="009E5E70"/>
    <w:rsid w:val="009E6A85"/>
    <w:rsid w:val="009E7AD1"/>
    <w:rsid w:val="009F06C8"/>
    <w:rsid w:val="009F0C9C"/>
    <w:rsid w:val="009F20B6"/>
    <w:rsid w:val="009F6553"/>
    <w:rsid w:val="009F6594"/>
    <w:rsid w:val="009F6B6C"/>
    <w:rsid w:val="009F6BB4"/>
    <w:rsid w:val="009F6DFD"/>
    <w:rsid w:val="009F70CB"/>
    <w:rsid w:val="00A02585"/>
    <w:rsid w:val="00A03295"/>
    <w:rsid w:val="00A03D86"/>
    <w:rsid w:val="00A0507E"/>
    <w:rsid w:val="00A0720E"/>
    <w:rsid w:val="00A07C70"/>
    <w:rsid w:val="00A11FD8"/>
    <w:rsid w:val="00A1453C"/>
    <w:rsid w:val="00A14681"/>
    <w:rsid w:val="00A152A8"/>
    <w:rsid w:val="00A1573E"/>
    <w:rsid w:val="00A1582C"/>
    <w:rsid w:val="00A16B75"/>
    <w:rsid w:val="00A213E8"/>
    <w:rsid w:val="00A22F68"/>
    <w:rsid w:val="00A23CFC"/>
    <w:rsid w:val="00A274F3"/>
    <w:rsid w:val="00A31B5E"/>
    <w:rsid w:val="00A34C40"/>
    <w:rsid w:val="00A40F54"/>
    <w:rsid w:val="00A52429"/>
    <w:rsid w:val="00A5262C"/>
    <w:rsid w:val="00A56623"/>
    <w:rsid w:val="00A568E4"/>
    <w:rsid w:val="00A57656"/>
    <w:rsid w:val="00A61C24"/>
    <w:rsid w:val="00A65D82"/>
    <w:rsid w:val="00A73E97"/>
    <w:rsid w:val="00A74322"/>
    <w:rsid w:val="00A759BC"/>
    <w:rsid w:val="00A7669A"/>
    <w:rsid w:val="00A775E7"/>
    <w:rsid w:val="00A80C4D"/>
    <w:rsid w:val="00A82ABC"/>
    <w:rsid w:val="00A82F1B"/>
    <w:rsid w:val="00A86029"/>
    <w:rsid w:val="00A86E52"/>
    <w:rsid w:val="00A873B7"/>
    <w:rsid w:val="00A9303C"/>
    <w:rsid w:val="00AA0E42"/>
    <w:rsid w:val="00AA1CCE"/>
    <w:rsid w:val="00AA2AB4"/>
    <w:rsid w:val="00AA4FAC"/>
    <w:rsid w:val="00AA5A1F"/>
    <w:rsid w:val="00AA6EA8"/>
    <w:rsid w:val="00AA71FD"/>
    <w:rsid w:val="00AB245E"/>
    <w:rsid w:val="00AB308A"/>
    <w:rsid w:val="00AB3F0E"/>
    <w:rsid w:val="00AB60F3"/>
    <w:rsid w:val="00AC1BD0"/>
    <w:rsid w:val="00AC1BF2"/>
    <w:rsid w:val="00AC28BF"/>
    <w:rsid w:val="00AC3084"/>
    <w:rsid w:val="00AC3E75"/>
    <w:rsid w:val="00AC3EC8"/>
    <w:rsid w:val="00AC6A3B"/>
    <w:rsid w:val="00AD2178"/>
    <w:rsid w:val="00AE107F"/>
    <w:rsid w:val="00AE1D5F"/>
    <w:rsid w:val="00AE4A44"/>
    <w:rsid w:val="00AF1270"/>
    <w:rsid w:val="00AF3DD3"/>
    <w:rsid w:val="00AF44F6"/>
    <w:rsid w:val="00AF4B08"/>
    <w:rsid w:val="00AF4D1A"/>
    <w:rsid w:val="00AF5953"/>
    <w:rsid w:val="00AF7622"/>
    <w:rsid w:val="00AF7BE5"/>
    <w:rsid w:val="00B003A2"/>
    <w:rsid w:val="00B0466F"/>
    <w:rsid w:val="00B04680"/>
    <w:rsid w:val="00B06428"/>
    <w:rsid w:val="00B12420"/>
    <w:rsid w:val="00B12EDF"/>
    <w:rsid w:val="00B134EC"/>
    <w:rsid w:val="00B145E0"/>
    <w:rsid w:val="00B20964"/>
    <w:rsid w:val="00B226B5"/>
    <w:rsid w:val="00B229B6"/>
    <w:rsid w:val="00B27272"/>
    <w:rsid w:val="00B27B27"/>
    <w:rsid w:val="00B313C5"/>
    <w:rsid w:val="00B319A2"/>
    <w:rsid w:val="00B33E53"/>
    <w:rsid w:val="00B35629"/>
    <w:rsid w:val="00B3759B"/>
    <w:rsid w:val="00B400DB"/>
    <w:rsid w:val="00B4248D"/>
    <w:rsid w:val="00B42F7B"/>
    <w:rsid w:val="00B44990"/>
    <w:rsid w:val="00B468D7"/>
    <w:rsid w:val="00B46D4E"/>
    <w:rsid w:val="00B50822"/>
    <w:rsid w:val="00B511AD"/>
    <w:rsid w:val="00B51964"/>
    <w:rsid w:val="00B52FD8"/>
    <w:rsid w:val="00B533C9"/>
    <w:rsid w:val="00B53FAD"/>
    <w:rsid w:val="00B55CEC"/>
    <w:rsid w:val="00B60E79"/>
    <w:rsid w:val="00B62D3A"/>
    <w:rsid w:val="00B63EAD"/>
    <w:rsid w:val="00B64A3A"/>
    <w:rsid w:val="00B660A7"/>
    <w:rsid w:val="00B66EE5"/>
    <w:rsid w:val="00B67F7A"/>
    <w:rsid w:val="00B702FC"/>
    <w:rsid w:val="00B70709"/>
    <w:rsid w:val="00B73AE4"/>
    <w:rsid w:val="00B747E4"/>
    <w:rsid w:val="00B74AFD"/>
    <w:rsid w:val="00B74CB4"/>
    <w:rsid w:val="00B80C2B"/>
    <w:rsid w:val="00B81471"/>
    <w:rsid w:val="00B832F2"/>
    <w:rsid w:val="00B8335D"/>
    <w:rsid w:val="00B83FF6"/>
    <w:rsid w:val="00B84467"/>
    <w:rsid w:val="00B85BAC"/>
    <w:rsid w:val="00B86E8B"/>
    <w:rsid w:val="00B966B9"/>
    <w:rsid w:val="00B9720A"/>
    <w:rsid w:val="00BA0B35"/>
    <w:rsid w:val="00BA31F5"/>
    <w:rsid w:val="00BA34C3"/>
    <w:rsid w:val="00BA5AB8"/>
    <w:rsid w:val="00BA6B5A"/>
    <w:rsid w:val="00BA7072"/>
    <w:rsid w:val="00BB4310"/>
    <w:rsid w:val="00BB68ED"/>
    <w:rsid w:val="00BB7302"/>
    <w:rsid w:val="00BC043A"/>
    <w:rsid w:val="00BC42FD"/>
    <w:rsid w:val="00BC5284"/>
    <w:rsid w:val="00BC6221"/>
    <w:rsid w:val="00BC7976"/>
    <w:rsid w:val="00BC7A6D"/>
    <w:rsid w:val="00BC7AD6"/>
    <w:rsid w:val="00BD5507"/>
    <w:rsid w:val="00BD736B"/>
    <w:rsid w:val="00BE1B23"/>
    <w:rsid w:val="00BE1FEC"/>
    <w:rsid w:val="00BE5C53"/>
    <w:rsid w:val="00BE7671"/>
    <w:rsid w:val="00BE7D2C"/>
    <w:rsid w:val="00BF0C75"/>
    <w:rsid w:val="00BF42AC"/>
    <w:rsid w:val="00BF66F0"/>
    <w:rsid w:val="00BF7FD9"/>
    <w:rsid w:val="00C00B03"/>
    <w:rsid w:val="00C0136F"/>
    <w:rsid w:val="00C0167E"/>
    <w:rsid w:val="00C01CA7"/>
    <w:rsid w:val="00C02B7C"/>
    <w:rsid w:val="00C03A19"/>
    <w:rsid w:val="00C05A93"/>
    <w:rsid w:val="00C06399"/>
    <w:rsid w:val="00C07539"/>
    <w:rsid w:val="00C077E1"/>
    <w:rsid w:val="00C07F14"/>
    <w:rsid w:val="00C109D9"/>
    <w:rsid w:val="00C10E5A"/>
    <w:rsid w:val="00C14A46"/>
    <w:rsid w:val="00C21598"/>
    <w:rsid w:val="00C2190C"/>
    <w:rsid w:val="00C257AB"/>
    <w:rsid w:val="00C26BE2"/>
    <w:rsid w:val="00C27AE8"/>
    <w:rsid w:val="00C30C64"/>
    <w:rsid w:val="00C33743"/>
    <w:rsid w:val="00C3437D"/>
    <w:rsid w:val="00C35DA2"/>
    <w:rsid w:val="00C42559"/>
    <w:rsid w:val="00C42D3A"/>
    <w:rsid w:val="00C47A3D"/>
    <w:rsid w:val="00C47CB9"/>
    <w:rsid w:val="00C50593"/>
    <w:rsid w:val="00C52738"/>
    <w:rsid w:val="00C527BC"/>
    <w:rsid w:val="00C53733"/>
    <w:rsid w:val="00C53CA1"/>
    <w:rsid w:val="00C55597"/>
    <w:rsid w:val="00C6201C"/>
    <w:rsid w:val="00C6239F"/>
    <w:rsid w:val="00C634E2"/>
    <w:rsid w:val="00C651A6"/>
    <w:rsid w:val="00C70CFE"/>
    <w:rsid w:val="00C74813"/>
    <w:rsid w:val="00C7637D"/>
    <w:rsid w:val="00C80207"/>
    <w:rsid w:val="00C843B8"/>
    <w:rsid w:val="00C854D7"/>
    <w:rsid w:val="00C85D71"/>
    <w:rsid w:val="00C86F01"/>
    <w:rsid w:val="00C9027C"/>
    <w:rsid w:val="00C9294C"/>
    <w:rsid w:val="00C92C8D"/>
    <w:rsid w:val="00C936DD"/>
    <w:rsid w:val="00C94CA2"/>
    <w:rsid w:val="00C9532D"/>
    <w:rsid w:val="00C970D8"/>
    <w:rsid w:val="00CA3BB7"/>
    <w:rsid w:val="00CA3F98"/>
    <w:rsid w:val="00CA73F5"/>
    <w:rsid w:val="00CB08A2"/>
    <w:rsid w:val="00CB0AEC"/>
    <w:rsid w:val="00CB4316"/>
    <w:rsid w:val="00CC0535"/>
    <w:rsid w:val="00CC09E4"/>
    <w:rsid w:val="00CC2D90"/>
    <w:rsid w:val="00CC372A"/>
    <w:rsid w:val="00CC6528"/>
    <w:rsid w:val="00CC695C"/>
    <w:rsid w:val="00CC6DD5"/>
    <w:rsid w:val="00CC777A"/>
    <w:rsid w:val="00CD2521"/>
    <w:rsid w:val="00CD265D"/>
    <w:rsid w:val="00CD3F0E"/>
    <w:rsid w:val="00CD4C29"/>
    <w:rsid w:val="00CD6809"/>
    <w:rsid w:val="00CD6FCC"/>
    <w:rsid w:val="00CE0E65"/>
    <w:rsid w:val="00CE6EF4"/>
    <w:rsid w:val="00CF028D"/>
    <w:rsid w:val="00CF281B"/>
    <w:rsid w:val="00CF2D01"/>
    <w:rsid w:val="00CF3950"/>
    <w:rsid w:val="00CF3EF1"/>
    <w:rsid w:val="00CF4623"/>
    <w:rsid w:val="00CF47FD"/>
    <w:rsid w:val="00CF49A3"/>
    <w:rsid w:val="00CF6662"/>
    <w:rsid w:val="00CF7CEB"/>
    <w:rsid w:val="00D0085C"/>
    <w:rsid w:val="00D03FDE"/>
    <w:rsid w:val="00D102C5"/>
    <w:rsid w:val="00D1389E"/>
    <w:rsid w:val="00D138C9"/>
    <w:rsid w:val="00D14F5A"/>
    <w:rsid w:val="00D1625A"/>
    <w:rsid w:val="00D17F4F"/>
    <w:rsid w:val="00D212A3"/>
    <w:rsid w:val="00D22B7F"/>
    <w:rsid w:val="00D236D1"/>
    <w:rsid w:val="00D24098"/>
    <w:rsid w:val="00D276E6"/>
    <w:rsid w:val="00D309EE"/>
    <w:rsid w:val="00D331F9"/>
    <w:rsid w:val="00D33387"/>
    <w:rsid w:val="00D34252"/>
    <w:rsid w:val="00D368BE"/>
    <w:rsid w:val="00D40425"/>
    <w:rsid w:val="00D4045E"/>
    <w:rsid w:val="00D41E73"/>
    <w:rsid w:val="00D42162"/>
    <w:rsid w:val="00D458CF"/>
    <w:rsid w:val="00D45AD8"/>
    <w:rsid w:val="00D507A2"/>
    <w:rsid w:val="00D53681"/>
    <w:rsid w:val="00D57F51"/>
    <w:rsid w:val="00D61EC0"/>
    <w:rsid w:val="00D6239E"/>
    <w:rsid w:val="00D628F7"/>
    <w:rsid w:val="00D64154"/>
    <w:rsid w:val="00D667B4"/>
    <w:rsid w:val="00D70FE2"/>
    <w:rsid w:val="00D73B76"/>
    <w:rsid w:val="00D7482F"/>
    <w:rsid w:val="00D748D3"/>
    <w:rsid w:val="00D75DA0"/>
    <w:rsid w:val="00D80953"/>
    <w:rsid w:val="00D82771"/>
    <w:rsid w:val="00D82A0C"/>
    <w:rsid w:val="00D84BD7"/>
    <w:rsid w:val="00D84F7F"/>
    <w:rsid w:val="00D85694"/>
    <w:rsid w:val="00D86652"/>
    <w:rsid w:val="00D8724F"/>
    <w:rsid w:val="00D87287"/>
    <w:rsid w:val="00D87990"/>
    <w:rsid w:val="00D90B11"/>
    <w:rsid w:val="00D90D1F"/>
    <w:rsid w:val="00D90F7B"/>
    <w:rsid w:val="00D9105B"/>
    <w:rsid w:val="00D91E67"/>
    <w:rsid w:val="00D9302F"/>
    <w:rsid w:val="00D94EBD"/>
    <w:rsid w:val="00D974CF"/>
    <w:rsid w:val="00DA1B81"/>
    <w:rsid w:val="00DA6BE6"/>
    <w:rsid w:val="00DA6F61"/>
    <w:rsid w:val="00DA70B9"/>
    <w:rsid w:val="00DB035B"/>
    <w:rsid w:val="00DB3491"/>
    <w:rsid w:val="00DB4029"/>
    <w:rsid w:val="00DC08F7"/>
    <w:rsid w:val="00DD0EE6"/>
    <w:rsid w:val="00DD6B9C"/>
    <w:rsid w:val="00DD739C"/>
    <w:rsid w:val="00DE13B5"/>
    <w:rsid w:val="00DE1FAA"/>
    <w:rsid w:val="00DE2214"/>
    <w:rsid w:val="00DE3F22"/>
    <w:rsid w:val="00DF02C2"/>
    <w:rsid w:val="00DF362E"/>
    <w:rsid w:val="00DF59C7"/>
    <w:rsid w:val="00E01B17"/>
    <w:rsid w:val="00E05BDB"/>
    <w:rsid w:val="00E104EC"/>
    <w:rsid w:val="00E14755"/>
    <w:rsid w:val="00E16FAF"/>
    <w:rsid w:val="00E238EE"/>
    <w:rsid w:val="00E2714E"/>
    <w:rsid w:val="00E2725A"/>
    <w:rsid w:val="00E27972"/>
    <w:rsid w:val="00E27E18"/>
    <w:rsid w:val="00E30593"/>
    <w:rsid w:val="00E3222A"/>
    <w:rsid w:val="00E3330B"/>
    <w:rsid w:val="00E36214"/>
    <w:rsid w:val="00E441F9"/>
    <w:rsid w:val="00E453C1"/>
    <w:rsid w:val="00E45694"/>
    <w:rsid w:val="00E4636E"/>
    <w:rsid w:val="00E50698"/>
    <w:rsid w:val="00E54E9D"/>
    <w:rsid w:val="00E55045"/>
    <w:rsid w:val="00E55A05"/>
    <w:rsid w:val="00E56D5A"/>
    <w:rsid w:val="00E60C29"/>
    <w:rsid w:val="00E622F4"/>
    <w:rsid w:val="00E62E55"/>
    <w:rsid w:val="00E62E76"/>
    <w:rsid w:val="00E67878"/>
    <w:rsid w:val="00E70B8F"/>
    <w:rsid w:val="00E7120C"/>
    <w:rsid w:val="00E73FBE"/>
    <w:rsid w:val="00E74E3D"/>
    <w:rsid w:val="00E761C8"/>
    <w:rsid w:val="00E7781D"/>
    <w:rsid w:val="00E8028C"/>
    <w:rsid w:val="00E80BE9"/>
    <w:rsid w:val="00E8182A"/>
    <w:rsid w:val="00E83E1E"/>
    <w:rsid w:val="00E83E7B"/>
    <w:rsid w:val="00E8481C"/>
    <w:rsid w:val="00E86B9D"/>
    <w:rsid w:val="00E87A8A"/>
    <w:rsid w:val="00E90368"/>
    <w:rsid w:val="00E91565"/>
    <w:rsid w:val="00E919AF"/>
    <w:rsid w:val="00E920D5"/>
    <w:rsid w:val="00E9259E"/>
    <w:rsid w:val="00E93579"/>
    <w:rsid w:val="00E94119"/>
    <w:rsid w:val="00E94880"/>
    <w:rsid w:val="00E94D35"/>
    <w:rsid w:val="00E950DB"/>
    <w:rsid w:val="00E9645E"/>
    <w:rsid w:val="00E966AE"/>
    <w:rsid w:val="00EA224D"/>
    <w:rsid w:val="00EA2C2B"/>
    <w:rsid w:val="00EA47ED"/>
    <w:rsid w:val="00EA4AB7"/>
    <w:rsid w:val="00EA5F06"/>
    <w:rsid w:val="00EA627A"/>
    <w:rsid w:val="00EA74F5"/>
    <w:rsid w:val="00EB1F41"/>
    <w:rsid w:val="00EB27E9"/>
    <w:rsid w:val="00EB4806"/>
    <w:rsid w:val="00EB75F8"/>
    <w:rsid w:val="00EB7B5B"/>
    <w:rsid w:val="00EC1C49"/>
    <w:rsid w:val="00EC226C"/>
    <w:rsid w:val="00EC6870"/>
    <w:rsid w:val="00ED1CDD"/>
    <w:rsid w:val="00EE242D"/>
    <w:rsid w:val="00EE321A"/>
    <w:rsid w:val="00EE35CC"/>
    <w:rsid w:val="00EE38B6"/>
    <w:rsid w:val="00EE426B"/>
    <w:rsid w:val="00EE5149"/>
    <w:rsid w:val="00EF06EE"/>
    <w:rsid w:val="00EF1104"/>
    <w:rsid w:val="00EF3A54"/>
    <w:rsid w:val="00EF4704"/>
    <w:rsid w:val="00EF6F2F"/>
    <w:rsid w:val="00F00143"/>
    <w:rsid w:val="00F01201"/>
    <w:rsid w:val="00F020DF"/>
    <w:rsid w:val="00F03767"/>
    <w:rsid w:val="00F0393B"/>
    <w:rsid w:val="00F04225"/>
    <w:rsid w:val="00F0523A"/>
    <w:rsid w:val="00F05812"/>
    <w:rsid w:val="00F1029C"/>
    <w:rsid w:val="00F10433"/>
    <w:rsid w:val="00F12D72"/>
    <w:rsid w:val="00F14B59"/>
    <w:rsid w:val="00F15BB3"/>
    <w:rsid w:val="00F162EB"/>
    <w:rsid w:val="00F179C6"/>
    <w:rsid w:val="00F17BD7"/>
    <w:rsid w:val="00F206F2"/>
    <w:rsid w:val="00F21128"/>
    <w:rsid w:val="00F23B37"/>
    <w:rsid w:val="00F25550"/>
    <w:rsid w:val="00F34164"/>
    <w:rsid w:val="00F361A5"/>
    <w:rsid w:val="00F3651A"/>
    <w:rsid w:val="00F369DF"/>
    <w:rsid w:val="00F37C03"/>
    <w:rsid w:val="00F40A6F"/>
    <w:rsid w:val="00F41A95"/>
    <w:rsid w:val="00F429A3"/>
    <w:rsid w:val="00F433E5"/>
    <w:rsid w:val="00F43531"/>
    <w:rsid w:val="00F43F72"/>
    <w:rsid w:val="00F4771C"/>
    <w:rsid w:val="00F528CD"/>
    <w:rsid w:val="00F53522"/>
    <w:rsid w:val="00F53979"/>
    <w:rsid w:val="00F548E8"/>
    <w:rsid w:val="00F55820"/>
    <w:rsid w:val="00F5662D"/>
    <w:rsid w:val="00F65E56"/>
    <w:rsid w:val="00F7152C"/>
    <w:rsid w:val="00F72F6E"/>
    <w:rsid w:val="00F73D29"/>
    <w:rsid w:val="00F756B6"/>
    <w:rsid w:val="00F770EC"/>
    <w:rsid w:val="00F7739A"/>
    <w:rsid w:val="00F819DF"/>
    <w:rsid w:val="00F820D3"/>
    <w:rsid w:val="00F837F4"/>
    <w:rsid w:val="00F83BF7"/>
    <w:rsid w:val="00F84BF1"/>
    <w:rsid w:val="00F84FEB"/>
    <w:rsid w:val="00F86DA5"/>
    <w:rsid w:val="00F872D3"/>
    <w:rsid w:val="00F904D2"/>
    <w:rsid w:val="00F9153A"/>
    <w:rsid w:val="00F9214B"/>
    <w:rsid w:val="00F930E6"/>
    <w:rsid w:val="00F94513"/>
    <w:rsid w:val="00F94B6A"/>
    <w:rsid w:val="00F96BB0"/>
    <w:rsid w:val="00F97057"/>
    <w:rsid w:val="00F97706"/>
    <w:rsid w:val="00FA0780"/>
    <w:rsid w:val="00FA25BA"/>
    <w:rsid w:val="00FA3452"/>
    <w:rsid w:val="00FA44C1"/>
    <w:rsid w:val="00FB3698"/>
    <w:rsid w:val="00FB4A06"/>
    <w:rsid w:val="00FB4E50"/>
    <w:rsid w:val="00FB53E1"/>
    <w:rsid w:val="00FC284E"/>
    <w:rsid w:val="00FC3D82"/>
    <w:rsid w:val="00FC44DF"/>
    <w:rsid w:val="00FC4E99"/>
    <w:rsid w:val="00FC6707"/>
    <w:rsid w:val="00FC753C"/>
    <w:rsid w:val="00FD1100"/>
    <w:rsid w:val="00FD2BBD"/>
    <w:rsid w:val="00FD3BC5"/>
    <w:rsid w:val="00FD45BE"/>
    <w:rsid w:val="00FD4A7B"/>
    <w:rsid w:val="00FD62FA"/>
    <w:rsid w:val="00FD75EB"/>
    <w:rsid w:val="00FD780F"/>
    <w:rsid w:val="00FE244A"/>
    <w:rsid w:val="00FE270D"/>
    <w:rsid w:val="00FE4F36"/>
    <w:rsid w:val="00FE5F87"/>
    <w:rsid w:val="00FE697F"/>
    <w:rsid w:val="00FE72F8"/>
    <w:rsid w:val="00FE7DBB"/>
    <w:rsid w:val="00FF0226"/>
    <w:rsid w:val="00FF3CDF"/>
    <w:rsid w:val="00FF48FB"/>
    <w:rsid w:val="00FF5692"/>
    <w:rsid w:val="00FF65D6"/>
    <w:rsid w:val="00FF7124"/>
    <w:rsid w:val="00FF74AB"/>
    <w:rsid w:val="0CFB1275"/>
    <w:rsid w:val="4F82262B"/>
    <w:rsid w:val="51775BE4"/>
    <w:rsid w:val="5E650F2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qFormat="1" w:unhideWhenUsed="0" w:uiPriority="39" w:semiHidden="0" w:name="toc 4"/>
    <w:lsdException w:qFormat="1" w:unhideWhenUsed="0" w:uiPriority="39" w:semiHidden="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Times New Roman" w:asciiTheme="minorHAnsi" w:hAnsiTheme="minorHAnsi" w:eastAsiaTheme="minorEastAsia"/>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黑体"/>
      <w:bCs/>
      <w:kern w:val="44"/>
      <w:sz w:val="44"/>
      <w:szCs w:val="44"/>
    </w:rPr>
  </w:style>
  <w:style w:type="paragraph" w:styleId="3">
    <w:name w:val="heading 2"/>
    <w:basedOn w:val="1"/>
    <w:next w:val="1"/>
    <w:qFormat/>
    <w:uiPriority w:val="0"/>
    <w:pPr>
      <w:keepNext/>
      <w:keepLines/>
      <w:spacing w:before="260" w:after="260" w:line="413" w:lineRule="auto"/>
      <w:jc w:val="center"/>
      <w:outlineLvl w:val="1"/>
    </w:pPr>
    <w:rPr>
      <w:rFonts w:eastAsia="黑体"/>
      <w:bCs/>
      <w:sz w:val="32"/>
      <w:szCs w:val="32"/>
    </w:rPr>
  </w:style>
  <w:style w:type="paragraph" w:styleId="4">
    <w:name w:val="heading 3"/>
    <w:basedOn w:val="1"/>
    <w:next w:val="1"/>
    <w:qFormat/>
    <w:uiPriority w:val="0"/>
    <w:pPr>
      <w:keepNext/>
      <w:keepLines/>
      <w:spacing w:before="260" w:after="260" w:line="413" w:lineRule="auto"/>
      <w:jc w:val="center"/>
      <w:outlineLvl w:val="2"/>
    </w:pPr>
    <w:rPr>
      <w:rFonts w:eastAsia="黑体"/>
      <w:bCs/>
      <w:sz w:val="30"/>
      <w:szCs w:val="30"/>
    </w:rPr>
  </w:style>
  <w:style w:type="paragraph" w:styleId="5">
    <w:name w:val="heading 4"/>
    <w:basedOn w:val="1"/>
    <w:next w:val="1"/>
    <w:qFormat/>
    <w:uiPriority w:val="0"/>
    <w:pPr>
      <w:keepNext/>
      <w:keepLines/>
      <w:spacing w:before="280" w:after="290" w:line="377" w:lineRule="auto"/>
      <w:ind w:firstLine="200" w:firstLineChars="200"/>
      <w:outlineLvl w:val="3"/>
    </w:pPr>
    <w:rPr>
      <w:rFonts w:eastAsia="黑体"/>
      <w:bCs/>
      <w:sz w:val="24"/>
    </w:rPr>
  </w:style>
  <w:style w:type="paragraph" w:styleId="6">
    <w:name w:val="heading 5"/>
    <w:basedOn w:val="1"/>
    <w:next w:val="1"/>
    <w:link w:val="32"/>
    <w:qFormat/>
    <w:uiPriority w:val="0"/>
    <w:pPr>
      <w:keepNext/>
      <w:keepLines/>
      <w:spacing w:before="280" w:after="290" w:line="377" w:lineRule="auto"/>
      <w:ind w:firstLine="200" w:firstLineChars="200"/>
      <w:outlineLvl w:val="4"/>
    </w:pPr>
    <w:rPr>
      <w:rFonts w:eastAsia="黑体"/>
      <w:bCs/>
      <w:sz w:val="24"/>
    </w:rPr>
  </w:style>
  <w:style w:type="paragraph" w:styleId="7">
    <w:name w:val="heading 6"/>
    <w:basedOn w:val="1"/>
    <w:next w:val="1"/>
    <w:qFormat/>
    <w:uiPriority w:val="0"/>
    <w:pPr>
      <w:keepNext/>
      <w:keepLines/>
      <w:spacing w:before="240" w:after="64" w:line="317" w:lineRule="auto"/>
      <w:ind w:firstLine="200" w:firstLineChars="200"/>
      <w:outlineLvl w:val="5"/>
    </w:pPr>
    <w:rPr>
      <w:rFonts w:eastAsia="黑体"/>
      <w:bCs/>
      <w:sz w:val="24"/>
    </w:rPr>
  </w:style>
  <w:style w:type="paragraph" w:styleId="8">
    <w:name w:val="heading 7"/>
    <w:basedOn w:val="1"/>
    <w:next w:val="1"/>
    <w:qFormat/>
    <w:uiPriority w:val="0"/>
    <w:pPr>
      <w:keepNext/>
      <w:keepLines/>
      <w:spacing w:before="240" w:after="64" w:line="317" w:lineRule="auto"/>
      <w:ind w:firstLine="200" w:firstLineChars="200"/>
      <w:outlineLvl w:val="6"/>
    </w:pPr>
    <w:rPr>
      <w:rFonts w:eastAsia="黑体"/>
      <w:bCs/>
      <w:sz w:val="24"/>
    </w:rPr>
  </w:style>
  <w:style w:type="paragraph" w:styleId="9">
    <w:name w:val="heading 8"/>
    <w:basedOn w:val="1"/>
    <w:next w:val="1"/>
    <w:qFormat/>
    <w:uiPriority w:val="0"/>
    <w:pPr>
      <w:keepNext/>
      <w:keepLines/>
      <w:spacing w:before="240" w:after="64" w:line="317" w:lineRule="auto"/>
      <w:ind w:firstLine="200" w:firstLineChars="200"/>
      <w:outlineLvl w:val="7"/>
    </w:pPr>
    <w:rPr>
      <w:rFonts w:eastAsia="黑体"/>
      <w:sz w:val="24"/>
    </w:rPr>
  </w:style>
  <w:style w:type="paragraph" w:styleId="10">
    <w:name w:val="heading 9"/>
    <w:basedOn w:val="1"/>
    <w:next w:val="1"/>
    <w:qFormat/>
    <w:uiPriority w:val="0"/>
    <w:pPr>
      <w:keepNext/>
      <w:keepLines/>
      <w:spacing w:before="240" w:after="64" w:line="317" w:lineRule="auto"/>
      <w:ind w:firstLine="200" w:firstLineChars="200"/>
      <w:outlineLvl w:val="8"/>
    </w:pPr>
    <w:rPr>
      <w:rFonts w:eastAsia="黑体"/>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Document Map"/>
    <w:basedOn w:val="1"/>
    <w:qFormat/>
    <w:uiPriority w:val="0"/>
    <w:pPr>
      <w:shd w:val="clear" w:color="auto" w:fill="000080"/>
    </w:pPr>
  </w:style>
  <w:style w:type="paragraph" w:styleId="12">
    <w:name w:val="annotation text"/>
    <w:basedOn w:val="1"/>
    <w:link w:val="41"/>
    <w:qFormat/>
    <w:uiPriority w:val="0"/>
    <w:pPr>
      <w:jc w:val="left"/>
    </w:pPr>
  </w:style>
  <w:style w:type="paragraph" w:styleId="13">
    <w:name w:val="toc 5"/>
    <w:basedOn w:val="1"/>
    <w:next w:val="1"/>
    <w:qFormat/>
    <w:uiPriority w:val="39"/>
    <w:pPr>
      <w:tabs>
        <w:tab w:val="right" w:leader="dot" w:pos="9214"/>
      </w:tabs>
      <w:ind w:left="991" w:leftChars="472" w:right="422" w:rightChars="201" w:firstLine="2"/>
    </w:pPr>
  </w:style>
  <w:style w:type="paragraph" w:styleId="14">
    <w:name w:val="Balloon Text"/>
    <w:basedOn w:val="1"/>
    <w:qFormat/>
    <w:uiPriority w:val="0"/>
    <w:rPr>
      <w:sz w:val="18"/>
      <w:szCs w:val="18"/>
    </w:rPr>
  </w:style>
  <w:style w:type="paragraph" w:styleId="15">
    <w:name w:val="footer"/>
    <w:basedOn w:val="1"/>
    <w:link w:val="48"/>
    <w:qFormat/>
    <w:uiPriority w:val="99"/>
    <w:pPr>
      <w:tabs>
        <w:tab w:val="center" w:pos="4153"/>
        <w:tab w:val="right" w:pos="8306"/>
      </w:tabs>
      <w:snapToGrid w:val="0"/>
      <w:jc w:val="left"/>
    </w:pPr>
    <w:rPr>
      <w:rFonts w:eastAsia="方正仿宋简体"/>
      <w:sz w:val="18"/>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style>
  <w:style w:type="paragraph" w:styleId="18">
    <w:name w:val="toc 4"/>
    <w:basedOn w:val="1"/>
    <w:next w:val="1"/>
    <w:qFormat/>
    <w:uiPriority w:val="39"/>
    <w:pPr>
      <w:tabs>
        <w:tab w:val="right" w:leader="dot" w:pos="9214"/>
      </w:tabs>
      <w:spacing w:line="300" w:lineRule="exact"/>
      <w:ind w:left="141" w:leftChars="67" w:firstLine="1"/>
    </w:pPr>
  </w:style>
  <w:style w:type="paragraph" w:styleId="19">
    <w:name w:val="toc 2"/>
    <w:basedOn w:val="1"/>
    <w:next w:val="1"/>
    <w:autoRedefine/>
    <w:unhideWhenUsed/>
    <w:qFormat/>
    <w:uiPriority w:val="39"/>
    <w:pPr>
      <w:ind w:left="420" w:leftChars="200"/>
    </w:pPr>
  </w:style>
  <w:style w:type="paragraph" w:styleId="20">
    <w:name w:val="Normal (Web)"/>
    <w:basedOn w:val="1"/>
    <w:unhideWhenUsed/>
    <w:qFormat/>
    <w:uiPriority w:val="99"/>
    <w:pPr>
      <w:widowControl/>
      <w:spacing w:before="100" w:beforeAutospacing="1" w:after="100" w:afterAutospacing="1"/>
      <w:jc w:val="left"/>
    </w:pPr>
    <w:rPr>
      <w:rFonts w:ascii="宋体" w:hAnsi="宋体" w:cs="宋体"/>
      <w:color w:val="000000"/>
      <w:kern w:val="0"/>
      <w:sz w:val="24"/>
    </w:rPr>
  </w:style>
  <w:style w:type="paragraph" w:styleId="21">
    <w:name w:val="Title"/>
    <w:basedOn w:val="1"/>
    <w:next w:val="1"/>
    <w:link w:val="37"/>
    <w:qFormat/>
    <w:uiPriority w:val="0"/>
    <w:pPr>
      <w:spacing w:before="240" w:after="60"/>
      <w:jc w:val="center"/>
      <w:outlineLvl w:val="0"/>
    </w:pPr>
    <w:rPr>
      <w:rFonts w:ascii="Cambria" w:hAnsi="Cambria"/>
      <w:b/>
      <w:bCs/>
      <w:sz w:val="32"/>
      <w:szCs w:val="32"/>
    </w:rPr>
  </w:style>
  <w:style w:type="paragraph" w:styleId="22">
    <w:name w:val="annotation subject"/>
    <w:basedOn w:val="12"/>
    <w:next w:val="12"/>
    <w:link w:val="47"/>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qFormat/>
    <w:uiPriority w:val="0"/>
  </w:style>
  <w:style w:type="character" w:styleId="27">
    <w:name w:val="Emphasis"/>
    <w:basedOn w:val="25"/>
    <w:qFormat/>
    <w:uiPriority w:val="20"/>
    <w:rPr>
      <w:b/>
      <w:bCs/>
      <w:color w:val="C15653"/>
      <w:u w:val="single"/>
    </w:rPr>
  </w:style>
  <w:style w:type="character" w:styleId="28">
    <w:name w:val="Hyperlink"/>
    <w:qFormat/>
    <w:uiPriority w:val="99"/>
    <w:rPr>
      <w:color w:val="0000FF"/>
      <w:u w:val="single"/>
    </w:rPr>
  </w:style>
  <w:style w:type="character" w:styleId="29">
    <w:name w:val="annotation reference"/>
    <w:qFormat/>
    <w:uiPriority w:val="0"/>
    <w:rPr>
      <w:sz w:val="21"/>
      <w:szCs w:val="21"/>
    </w:rPr>
  </w:style>
  <w:style w:type="character" w:customStyle="1" w:styleId="30">
    <w:name w:val="节 Char"/>
    <w:link w:val="31"/>
    <w:qFormat/>
    <w:uiPriority w:val="0"/>
    <w:rPr>
      <w:rFonts w:eastAsia="黑体"/>
      <w:bCs/>
      <w:kern w:val="2"/>
      <w:sz w:val="21"/>
      <w:szCs w:val="21"/>
      <w:lang w:val="en-US" w:eastAsia="zh-CN" w:bidi="ar-SA"/>
    </w:rPr>
  </w:style>
  <w:style w:type="paragraph" w:customStyle="1" w:styleId="31">
    <w:name w:val="节"/>
    <w:basedOn w:val="6"/>
    <w:link w:val="30"/>
    <w:qFormat/>
    <w:uiPriority w:val="0"/>
    <w:pPr>
      <w:ind w:firstLine="0" w:firstLineChars="0"/>
      <w:jc w:val="center"/>
    </w:pPr>
    <w:rPr>
      <w:sz w:val="21"/>
      <w:szCs w:val="21"/>
    </w:rPr>
  </w:style>
  <w:style w:type="character" w:customStyle="1" w:styleId="32">
    <w:name w:val="标题 5 Char"/>
    <w:link w:val="6"/>
    <w:qFormat/>
    <w:uiPriority w:val="0"/>
    <w:rPr>
      <w:rFonts w:eastAsia="黑体"/>
      <w:bCs/>
      <w:kern w:val="2"/>
      <w:sz w:val="24"/>
      <w:szCs w:val="24"/>
      <w:lang w:val="en-US" w:eastAsia="zh-CN" w:bidi="ar-SA"/>
    </w:rPr>
  </w:style>
  <w:style w:type="paragraph" w:customStyle="1" w:styleId="33">
    <w:name w:val="章"/>
    <w:basedOn w:val="5"/>
    <w:qFormat/>
    <w:uiPriority w:val="0"/>
    <w:pPr>
      <w:spacing w:before="260" w:after="260" w:line="413" w:lineRule="auto"/>
      <w:ind w:firstLine="0" w:firstLineChars="0"/>
      <w:jc w:val="center"/>
    </w:pPr>
    <w:rPr>
      <w:sz w:val="21"/>
      <w:szCs w:val="21"/>
    </w:rPr>
  </w:style>
  <w:style w:type="paragraph" w:customStyle="1" w:styleId="34">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5">
    <w:name w:val="文号"/>
    <w:basedOn w:val="4"/>
    <w:qFormat/>
    <w:uiPriority w:val="0"/>
    <w:rPr>
      <w:rFonts w:eastAsia="仿宋_GB2312"/>
      <w:sz w:val="18"/>
      <w:szCs w:val="18"/>
    </w:rPr>
  </w:style>
  <w:style w:type="paragraph" w:customStyle="1" w:styleId="36">
    <w:name w:val="修订1"/>
    <w:hidden/>
    <w:semiHidden/>
    <w:qFormat/>
    <w:uiPriority w:val="99"/>
    <w:rPr>
      <w:rFonts w:cs="Times New Roman" w:asciiTheme="minorHAnsi" w:hAnsiTheme="minorHAnsi" w:eastAsiaTheme="minorEastAsia"/>
      <w:kern w:val="2"/>
      <w:sz w:val="21"/>
      <w:szCs w:val="24"/>
      <w:lang w:val="en-US" w:eastAsia="zh-CN" w:bidi="ar-SA"/>
    </w:rPr>
  </w:style>
  <w:style w:type="character" w:customStyle="1" w:styleId="37">
    <w:name w:val="标题 Char"/>
    <w:link w:val="21"/>
    <w:qFormat/>
    <w:uiPriority w:val="0"/>
    <w:rPr>
      <w:rFonts w:ascii="Cambria" w:hAnsi="Cambria" w:cs="Times New Roman"/>
      <w:b/>
      <w:bCs/>
      <w:kern w:val="2"/>
      <w:sz w:val="32"/>
      <w:szCs w:val="32"/>
    </w:rPr>
  </w:style>
  <w:style w:type="character" w:customStyle="1" w:styleId="38">
    <w:name w:val="页码1"/>
    <w:basedOn w:val="25"/>
    <w:qFormat/>
    <w:uiPriority w:val="0"/>
  </w:style>
  <w:style w:type="character" w:customStyle="1" w:styleId="39">
    <w:name w:val="批注引用1"/>
    <w:qFormat/>
    <w:uiPriority w:val="0"/>
    <w:rPr>
      <w:sz w:val="21"/>
      <w:szCs w:val="21"/>
    </w:rPr>
  </w:style>
  <w:style w:type="character" w:customStyle="1" w:styleId="40">
    <w:name w:val="节 Char Char"/>
    <w:qFormat/>
    <w:uiPriority w:val="0"/>
    <w:rPr>
      <w:rFonts w:eastAsia="黑体"/>
      <w:bCs/>
      <w:kern w:val="2"/>
      <w:sz w:val="21"/>
      <w:szCs w:val="21"/>
      <w:lang w:val="en-US" w:eastAsia="zh-CN"/>
    </w:rPr>
  </w:style>
  <w:style w:type="character" w:customStyle="1" w:styleId="41">
    <w:name w:val="批注文字 Char"/>
    <w:link w:val="12"/>
    <w:qFormat/>
    <w:uiPriority w:val="0"/>
    <w:rPr>
      <w:kern w:val="2"/>
      <w:sz w:val="21"/>
      <w:szCs w:val="24"/>
    </w:rPr>
  </w:style>
  <w:style w:type="paragraph" w:customStyle="1" w:styleId="42">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43">
    <w:name w:val="文档结构图1"/>
    <w:basedOn w:val="1"/>
    <w:qFormat/>
    <w:uiPriority w:val="0"/>
    <w:pPr>
      <w:shd w:val="clear" w:color="auto" w:fill="000080"/>
    </w:pPr>
  </w:style>
  <w:style w:type="paragraph" w:customStyle="1" w:styleId="44">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45">
    <w:name w:val="批注主题1"/>
    <w:basedOn w:val="12"/>
    <w:next w:val="12"/>
    <w:qFormat/>
    <w:uiPriority w:val="0"/>
    <w:rPr>
      <w:b/>
      <w:bCs/>
    </w:rPr>
  </w:style>
  <w:style w:type="paragraph" w:styleId="46">
    <w:name w:val="List Paragraph"/>
    <w:basedOn w:val="1"/>
    <w:qFormat/>
    <w:uiPriority w:val="34"/>
    <w:pPr>
      <w:ind w:firstLine="420" w:firstLineChars="200"/>
    </w:pPr>
  </w:style>
  <w:style w:type="character" w:customStyle="1" w:styleId="47">
    <w:name w:val="批注主题 Char"/>
    <w:basedOn w:val="41"/>
    <w:link w:val="22"/>
    <w:qFormat/>
    <w:uiPriority w:val="99"/>
    <w:rPr>
      <w:b/>
      <w:bCs/>
      <w:kern w:val="2"/>
      <w:sz w:val="21"/>
      <w:szCs w:val="24"/>
    </w:rPr>
  </w:style>
  <w:style w:type="character" w:customStyle="1" w:styleId="48">
    <w:name w:val="页脚 Char"/>
    <w:basedOn w:val="25"/>
    <w:link w:val="15"/>
    <w:qFormat/>
    <w:uiPriority w:val="99"/>
    <w:rPr>
      <w:rFonts w:eastAsia="方正仿宋简体"/>
      <w:sz w:val="1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C2313F-44EF-4894-B011-C4CC1FBA33FE}">
  <ds:schemaRefs/>
</ds:datastoreItem>
</file>

<file path=customXml/itemProps2.xml><?xml version="1.0" encoding="utf-8"?>
<ds:datastoreItem xmlns:ds="http://schemas.openxmlformats.org/officeDocument/2006/customXml" ds:itemID="{359764EE-9322-483B-A681-FDEA2892524B}">
  <ds:schemaRefs/>
</ds:datastoreItem>
</file>

<file path=customXml/itemProps3.xml><?xml version="1.0" encoding="utf-8"?>
<ds:datastoreItem xmlns:ds="http://schemas.openxmlformats.org/officeDocument/2006/customXml" ds:itemID="{B7C06E7F-FD1C-496C-BE2F-D2FD97183E1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29583</Words>
  <Characters>30073</Characters>
  <Lines>248</Lines>
  <Paragraphs>69</Paragraphs>
  <TotalTime>7</TotalTime>
  <ScaleCrop>false</ScaleCrop>
  <LinksUpToDate>false</LinksUpToDate>
  <CharactersWithSpaces>30204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2022-02-11T09:22:00Z</dcterms:created>
  <dc:creator>FXJ -JY</dc:creator>
  <cp:lastModifiedBy>Yang</cp:lastModifiedBy>
  <cp:lastPrinted>2022-06-29T07:31:00Z</cp:lastPrinted>
  <dcterms:modified xsi:type="dcterms:W3CDTF">2024-09-20T04:43:41Z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46D696067E7A4BA380728FCB54B5BFBD_13</vt:lpwstr>
  </property>
</Properties>
</file>