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6FB" w:rsidRDefault="00D70846">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证券代码：301178    证券简称：天亿马    公告编号：2024-090</w:t>
      </w:r>
    </w:p>
    <w:p w:rsidR="001B66FB" w:rsidRDefault="00D70846">
      <w:pPr>
        <w:spacing w:beforeLines="50" w:before="156"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rsidR="001B66FB" w:rsidRDefault="00D70846">
      <w:pPr>
        <w:spacing w:beforeLines="50" w:before="156" w:afterLines="100" w:after="312" w:line="360" w:lineRule="auto"/>
        <w:jc w:val="center"/>
        <w:rPr>
          <w:rFonts w:ascii="黑体" w:eastAsia="黑体" w:hAnsi="黑体"/>
          <w:sz w:val="36"/>
          <w:szCs w:val="36"/>
        </w:rPr>
      </w:pPr>
      <w:r>
        <w:rPr>
          <w:rFonts w:ascii="黑体" w:eastAsia="黑体" w:hAnsi="黑体" w:hint="eastAsia"/>
          <w:sz w:val="36"/>
          <w:szCs w:val="36"/>
        </w:rPr>
        <w:t>关于变更部分募集资金用途的公告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1B66FB">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1B66FB" w:rsidRDefault="00D70846">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1B66FB" w:rsidRDefault="001B66FB"/>
    <w:p w:rsidR="001B66FB" w:rsidRDefault="00D70846">
      <w:pPr>
        <w:pStyle w:val="ad"/>
        <w:spacing w:beforeLines="50" w:before="156" w:after="156" w:line="360" w:lineRule="auto"/>
        <w:ind w:firstLine="560"/>
        <w:rPr>
          <w:rFonts w:ascii="仿宋" w:eastAsia="仿宋" w:hAnsi="仿宋"/>
          <w:sz w:val="28"/>
          <w:szCs w:val="28"/>
        </w:rPr>
      </w:pPr>
      <w:r>
        <w:rPr>
          <w:rFonts w:ascii="仿宋" w:eastAsia="仿宋" w:hAnsi="仿宋" w:hint="eastAsia"/>
          <w:sz w:val="28"/>
          <w:szCs w:val="28"/>
        </w:rPr>
        <w:t>广东天亿马信息产业股份有限公司</w:t>
      </w:r>
      <w:r>
        <w:rPr>
          <w:rFonts w:ascii="仿宋" w:eastAsia="仿宋" w:hAnsi="仿宋"/>
          <w:sz w:val="28"/>
          <w:szCs w:val="28"/>
        </w:rPr>
        <w:t>（以下简称“公司”</w:t>
      </w:r>
      <w:r>
        <w:rPr>
          <w:rFonts w:ascii="仿宋" w:eastAsia="仿宋" w:hAnsi="仿宋" w:hint="eastAsia"/>
          <w:sz w:val="28"/>
          <w:szCs w:val="28"/>
        </w:rPr>
        <w:t>、“天亿马”</w:t>
      </w:r>
      <w:r>
        <w:rPr>
          <w:rFonts w:ascii="仿宋" w:eastAsia="仿宋" w:hAnsi="仿宋"/>
          <w:sz w:val="28"/>
          <w:szCs w:val="28"/>
        </w:rPr>
        <w:t>）于20</w:t>
      </w:r>
      <w:r>
        <w:rPr>
          <w:rFonts w:ascii="仿宋" w:eastAsia="仿宋" w:hAnsi="仿宋" w:hint="eastAsia"/>
          <w:sz w:val="28"/>
          <w:szCs w:val="28"/>
        </w:rPr>
        <w:t>24</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11</w:t>
      </w:r>
      <w:r>
        <w:rPr>
          <w:rFonts w:ascii="仿宋" w:eastAsia="仿宋" w:hAnsi="仿宋"/>
          <w:sz w:val="28"/>
          <w:szCs w:val="28"/>
        </w:rPr>
        <w:t>日召开第</w:t>
      </w:r>
      <w:r>
        <w:rPr>
          <w:rFonts w:ascii="仿宋" w:eastAsia="仿宋" w:hAnsi="仿宋" w:hint="eastAsia"/>
          <w:sz w:val="28"/>
          <w:szCs w:val="28"/>
        </w:rPr>
        <w:t>三</w:t>
      </w:r>
      <w:r>
        <w:rPr>
          <w:rFonts w:ascii="仿宋" w:eastAsia="仿宋" w:hAnsi="仿宋"/>
          <w:sz w:val="28"/>
          <w:szCs w:val="28"/>
        </w:rPr>
        <w:t>届董事会第</w:t>
      </w:r>
      <w:r>
        <w:rPr>
          <w:rFonts w:ascii="仿宋" w:eastAsia="仿宋" w:hAnsi="仿宋" w:hint="eastAsia"/>
          <w:sz w:val="28"/>
          <w:szCs w:val="28"/>
        </w:rPr>
        <w:t>二十六</w:t>
      </w:r>
      <w:r>
        <w:rPr>
          <w:rFonts w:ascii="仿宋" w:eastAsia="仿宋" w:hAnsi="仿宋"/>
          <w:sz w:val="28"/>
          <w:szCs w:val="28"/>
        </w:rPr>
        <w:t>次会议和第</w:t>
      </w:r>
      <w:r>
        <w:rPr>
          <w:rFonts w:ascii="仿宋" w:eastAsia="仿宋" w:hAnsi="仿宋" w:hint="eastAsia"/>
          <w:sz w:val="28"/>
          <w:szCs w:val="28"/>
        </w:rPr>
        <w:t>三</w:t>
      </w:r>
      <w:r>
        <w:rPr>
          <w:rFonts w:ascii="仿宋" w:eastAsia="仿宋" w:hAnsi="仿宋"/>
          <w:sz w:val="28"/>
          <w:szCs w:val="28"/>
        </w:rPr>
        <w:t>届监事会第</w:t>
      </w:r>
      <w:r>
        <w:rPr>
          <w:rFonts w:ascii="仿宋" w:eastAsia="仿宋" w:hAnsi="仿宋" w:hint="eastAsia"/>
          <w:sz w:val="28"/>
          <w:szCs w:val="28"/>
        </w:rPr>
        <w:t>二十四</w:t>
      </w:r>
      <w:r>
        <w:rPr>
          <w:rFonts w:ascii="仿宋" w:eastAsia="仿宋" w:hAnsi="仿宋"/>
          <w:sz w:val="28"/>
          <w:szCs w:val="28"/>
        </w:rPr>
        <w:t>次会议，审议通过了《</w:t>
      </w:r>
      <w:r>
        <w:rPr>
          <w:rFonts w:ascii="仿宋" w:eastAsia="仿宋" w:hAnsi="仿宋" w:hint="eastAsia"/>
          <w:sz w:val="28"/>
          <w:szCs w:val="28"/>
        </w:rPr>
        <w:t>关于变更部分募集资金用途</w:t>
      </w:r>
      <w:r>
        <w:rPr>
          <w:rFonts w:ascii="仿宋" w:eastAsia="仿宋" w:hAnsi="仿宋"/>
          <w:sz w:val="28"/>
          <w:szCs w:val="28"/>
        </w:rPr>
        <w:t>的议案》</w:t>
      </w:r>
      <w:r>
        <w:rPr>
          <w:rFonts w:ascii="仿宋" w:eastAsia="仿宋" w:hAnsi="仿宋" w:hint="eastAsia"/>
          <w:sz w:val="28"/>
          <w:szCs w:val="28"/>
        </w:rPr>
        <w:t>，拟终止原募投项目 “智慧城市综合解决方案升级项目”，将其部分募集资金11,716.00万元变更用于实施“算力集群服务项目”，剩余募集资金及其孳息将根据公司未来经营需要，适时投入其他项目建设或其他用途。“算力集群服务项目”计划总投资额36,229.00万元，其中使用募集资金11,716.00万元，项目实施所需其余资金由公司自有资金或自筹资金补足。该项目由公司在深圳市实施建设，项目周期为5年。本议案尚需提交公司股东会审议，现将有关情况公告如下：</w:t>
      </w:r>
    </w:p>
    <w:p w:rsidR="001B66FB" w:rsidRDefault="00D70846">
      <w:pPr>
        <w:spacing w:beforeLines="50" w:before="156" w:afterLines="50" w:after="156" w:line="360" w:lineRule="auto"/>
        <w:ind w:firstLineChars="200" w:firstLine="562"/>
        <w:outlineLvl w:val="0"/>
        <w:rPr>
          <w:rFonts w:ascii="仿宋" w:eastAsia="仿宋" w:hAnsi="仿宋"/>
          <w:b/>
          <w:sz w:val="28"/>
          <w:szCs w:val="28"/>
        </w:rPr>
      </w:pPr>
      <w:r>
        <w:rPr>
          <w:rFonts w:ascii="仿宋" w:eastAsia="仿宋" w:hAnsi="仿宋" w:hint="eastAsia"/>
          <w:b/>
          <w:sz w:val="28"/>
          <w:szCs w:val="28"/>
        </w:rPr>
        <w:t>一、变更募集资金投资项目的概述</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t>（一）募集资金基本情况</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经中国证券监督管理委员会《关于同意广东天亿马信息产业股份有限公司首次公开发行股票注册的批复》（证监许可[2021]2937号）</w:t>
      </w:r>
      <w:r>
        <w:rPr>
          <w:rFonts w:ascii="仿宋" w:eastAsia="仿宋" w:hAnsi="仿宋" w:hint="eastAsia"/>
          <w:sz w:val="28"/>
          <w:szCs w:val="28"/>
        </w:rPr>
        <w:lastRenderedPageBreak/>
        <w:t>同意，并经深圳证券交易所同意，广东天亿马信息产业股份有限公司首次向社会公众发行人民币普通股（A股）股票1,177.80万股，每股面值人民币1.00元，每股发行价格为48.66元。本次募集资金总额为人民币573,117,480.00元，扣除发行费用人民币62,856,828.00元（不含增值税），实际募集资金净额为人民币510,260,652.00元。该项募集资金已于2021年11月5日存入公司募集资金专用账户，并经中审众环会计师事务所（特殊普通合伙）以众环验字（2021）0600012号《验资报告》审验。根据公司《首次公开发行股票并在创业板上市招股说明书》公司拟募集资金279,361,500.00元，本次超募资金为230,899,152.00元。</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t>（二）募集资金计划使用情况</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根据《广东天亿马信息产业股份有限公司首次公开发行股票并在创业板上市招股说明书》以及公司实际募集资金情况，公司募集资金用途如下：</w:t>
      </w:r>
    </w:p>
    <w:tbl>
      <w:tblPr>
        <w:tblStyle w:val="ab"/>
        <w:tblW w:w="5000" w:type="pct"/>
        <w:tblLayout w:type="fixed"/>
        <w:tblLook w:val="04A0" w:firstRow="1" w:lastRow="0" w:firstColumn="1" w:lastColumn="0" w:noHBand="0" w:noVBand="1"/>
      </w:tblPr>
      <w:tblGrid>
        <w:gridCol w:w="3369"/>
        <w:gridCol w:w="2454"/>
        <w:gridCol w:w="2699"/>
      </w:tblGrid>
      <w:tr w:rsidR="001B66FB">
        <w:trPr>
          <w:trHeight w:val="340"/>
        </w:trPr>
        <w:tc>
          <w:tcPr>
            <w:tcW w:w="3369" w:type="dxa"/>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b/>
                <w:bCs/>
                <w:sz w:val="22"/>
                <w:szCs w:val="22"/>
              </w:rPr>
              <w:t>项目名称</w:t>
            </w:r>
          </w:p>
        </w:tc>
        <w:tc>
          <w:tcPr>
            <w:tcW w:w="2454" w:type="dxa"/>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b/>
                <w:bCs/>
                <w:sz w:val="22"/>
                <w:szCs w:val="22"/>
              </w:rPr>
              <w:t>项目总投资额（万元）</w:t>
            </w:r>
          </w:p>
        </w:tc>
        <w:tc>
          <w:tcPr>
            <w:tcW w:w="2699" w:type="dxa"/>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b/>
                <w:bCs/>
                <w:sz w:val="22"/>
                <w:szCs w:val="22"/>
              </w:rPr>
              <w:t>运用募集资金投资（万元）</w:t>
            </w:r>
          </w:p>
        </w:tc>
      </w:tr>
      <w:tr w:rsidR="001B66FB">
        <w:trPr>
          <w:trHeight w:val="340"/>
        </w:trPr>
        <w:tc>
          <w:tcPr>
            <w:tcW w:w="3369" w:type="dxa"/>
          </w:tcPr>
          <w:p w:rsidR="001B66FB" w:rsidRDefault="00D70846">
            <w:pPr>
              <w:tabs>
                <w:tab w:val="center" w:pos="4153"/>
                <w:tab w:val="right" w:pos="8306"/>
              </w:tabs>
              <w:rPr>
                <w:rFonts w:ascii="仿宋" w:eastAsia="仿宋" w:hAnsi="仿宋"/>
                <w:bCs/>
                <w:sz w:val="22"/>
                <w:szCs w:val="22"/>
              </w:rPr>
            </w:pPr>
            <w:r>
              <w:rPr>
                <w:rFonts w:ascii="仿宋" w:eastAsia="仿宋" w:hAnsi="仿宋"/>
                <w:sz w:val="22"/>
                <w:szCs w:val="22"/>
              </w:rPr>
              <w:t>智慧城市综合解决方案升级项目</w:t>
            </w:r>
          </w:p>
        </w:tc>
        <w:tc>
          <w:tcPr>
            <w:tcW w:w="2454"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12,572.70</w:t>
            </w:r>
          </w:p>
        </w:tc>
        <w:tc>
          <w:tcPr>
            <w:tcW w:w="2699"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12,572.70</w:t>
            </w:r>
          </w:p>
        </w:tc>
      </w:tr>
      <w:tr w:rsidR="001B66FB">
        <w:trPr>
          <w:trHeight w:val="340"/>
        </w:trPr>
        <w:tc>
          <w:tcPr>
            <w:tcW w:w="3369" w:type="dxa"/>
          </w:tcPr>
          <w:p w:rsidR="001B66FB" w:rsidRDefault="00D70846">
            <w:pPr>
              <w:tabs>
                <w:tab w:val="center" w:pos="4153"/>
                <w:tab w:val="right" w:pos="8306"/>
              </w:tabs>
              <w:rPr>
                <w:rFonts w:ascii="仿宋" w:eastAsia="仿宋" w:hAnsi="仿宋"/>
                <w:bCs/>
                <w:sz w:val="22"/>
                <w:szCs w:val="22"/>
              </w:rPr>
            </w:pPr>
            <w:r>
              <w:rPr>
                <w:rFonts w:ascii="仿宋" w:eastAsia="仿宋" w:hAnsi="仿宋"/>
                <w:sz w:val="22"/>
                <w:szCs w:val="22"/>
              </w:rPr>
              <w:t>大数据应用技术中心建设项目</w:t>
            </w:r>
          </w:p>
        </w:tc>
        <w:tc>
          <w:tcPr>
            <w:tcW w:w="2454"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3,763.60</w:t>
            </w:r>
          </w:p>
        </w:tc>
        <w:tc>
          <w:tcPr>
            <w:tcW w:w="2699"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3,763.60</w:t>
            </w:r>
          </w:p>
        </w:tc>
      </w:tr>
      <w:tr w:rsidR="001B66FB">
        <w:trPr>
          <w:trHeight w:val="340"/>
        </w:trPr>
        <w:tc>
          <w:tcPr>
            <w:tcW w:w="3369" w:type="dxa"/>
          </w:tcPr>
          <w:p w:rsidR="001B66FB" w:rsidRDefault="00D70846">
            <w:pPr>
              <w:tabs>
                <w:tab w:val="center" w:pos="4153"/>
                <w:tab w:val="right" w:pos="8306"/>
              </w:tabs>
              <w:rPr>
                <w:rFonts w:ascii="仿宋" w:eastAsia="仿宋" w:hAnsi="仿宋"/>
                <w:bCs/>
                <w:sz w:val="22"/>
                <w:szCs w:val="22"/>
              </w:rPr>
            </w:pPr>
            <w:r>
              <w:rPr>
                <w:rFonts w:ascii="仿宋" w:eastAsia="仿宋" w:hAnsi="仿宋"/>
                <w:sz w:val="22"/>
                <w:szCs w:val="22"/>
              </w:rPr>
              <w:t>营销服务体系升级建设项目</w:t>
            </w:r>
          </w:p>
        </w:tc>
        <w:tc>
          <w:tcPr>
            <w:tcW w:w="2454"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1,599.85</w:t>
            </w:r>
          </w:p>
        </w:tc>
        <w:tc>
          <w:tcPr>
            <w:tcW w:w="2699"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1,599.85</w:t>
            </w:r>
          </w:p>
        </w:tc>
      </w:tr>
      <w:tr w:rsidR="001B66FB">
        <w:trPr>
          <w:trHeight w:val="340"/>
        </w:trPr>
        <w:tc>
          <w:tcPr>
            <w:tcW w:w="3369" w:type="dxa"/>
          </w:tcPr>
          <w:p w:rsidR="001B66FB" w:rsidRDefault="00D70846">
            <w:pPr>
              <w:tabs>
                <w:tab w:val="center" w:pos="4153"/>
                <w:tab w:val="right" w:pos="8306"/>
              </w:tabs>
              <w:rPr>
                <w:rFonts w:ascii="仿宋" w:eastAsia="仿宋" w:hAnsi="仿宋"/>
                <w:bCs/>
                <w:sz w:val="22"/>
                <w:szCs w:val="22"/>
              </w:rPr>
            </w:pPr>
            <w:r>
              <w:rPr>
                <w:rFonts w:ascii="仿宋" w:eastAsia="仿宋" w:hAnsi="仿宋"/>
                <w:sz w:val="22"/>
                <w:szCs w:val="22"/>
              </w:rPr>
              <w:t>补充流动资金</w:t>
            </w:r>
          </w:p>
        </w:tc>
        <w:tc>
          <w:tcPr>
            <w:tcW w:w="2454"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10,000.00</w:t>
            </w:r>
          </w:p>
        </w:tc>
        <w:tc>
          <w:tcPr>
            <w:tcW w:w="2699" w:type="dxa"/>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10,000.00</w:t>
            </w:r>
          </w:p>
        </w:tc>
      </w:tr>
      <w:tr w:rsidR="001B66FB">
        <w:trPr>
          <w:trHeight w:val="340"/>
        </w:trPr>
        <w:tc>
          <w:tcPr>
            <w:tcW w:w="3369" w:type="dxa"/>
          </w:tcPr>
          <w:p w:rsidR="001B66FB" w:rsidRDefault="00D70846">
            <w:pPr>
              <w:tabs>
                <w:tab w:val="center" w:pos="4153"/>
                <w:tab w:val="right" w:pos="8306"/>
              </w:tabs>
              <w:rPr>
                <w:rFonts w:ascii="仿宋" w:eastAsia="仿宋" w:hAnsi="仿宋"/>
                <w:b/>
                <w:bCs/>
                <w:sz w:val="22"/>
                <w:szCs w:val="22"/>
              </w:rPr>
            </w:pPr>
            <w:r>
              <w:rPr>
                <w:rFonts w:ascii="仿宋" w:eastAsia="仿宋" w:hAnsi="仿宋"/>
                <w:b/>
                <w:bCs/>
                <w:sz w:val="22"/>
                <w:szCs w:val="22"/>
              </w:rPr>
              <w:t>合计</w:t>
            </w:r>
          </w:p>
        </w:tc>
        <w:tc>
          <w:tcPr>
            <w:tcW w:w="2454" w:type="dxa"/>
          </w:tcPr>
          <w:p w:rsidR="001B66FB" w:rsidRDefault="00D70846">
            <w:pPr>
              <w:tabs>
                <w:tab w:val="center" w:pos="4153"/>
                <w:tab w:val="right" w:pos="8306"/>
              </w:tabs>
              <w:jc w:val="right"/>
              <w:rPr>
                <w:rFonts w:ascii="仿宋" w:eastAsia="仿宋" w:hAnsi="仿宋"/>
                <w:b/>
                <w:bCs/>
                <w:sz w:val="22"/>
                <w:szCs w:val="22"/>
              </w:rPr>
            </w:pPr>
            <w:r>
              <w:rPr>
                <w:rFonts w:ascii="仿宋" w:eastAsia="仿宋" w:hAnsi="仿宋"/>
                <w:b/>
                <w:bCs/>
                <w:sz w:val="22"/>
                <w:szCs w:val="22"/>
              </w:rPr>
              <w:t>27,936.15</w:t>
            </w:r>
          </w:p>
        </w:tc>
        <w:tc>
          <w:tcPr>
            <w:tcW w:w="2699" w:type="dxa"/>
          </w:tcPr>
          <w:p w:rsidR="001B66FB" w:rsidRDefault="00D70846">
            <w:pPr>
              <w:tabs>
                <w:tab w:val="center" w:pos="4153"/>
                <w:tab w:val="right" w:pos="8306"/>
              </w:tabs>
              <w:jc w:val="right"/>
              <w:rPr>
                <w:rFonts w:ascii="仿宋" w:eastAsia="仿宋" w:hAnsi="仿宋"/>
                <w:b/>
                <w:bCs/>
                <w:sz w:val="22"/>
                <w:szCs w:val="22"/>
              </w:rPr>
            </w:pPr>
            <w:r>
              <w:rPr>
                <w:rFonts w:ascii="仿宋" w:eastAsia="仿宋" w:hAnsi="仿宋"/>
                <w:b/>
                <w:bCs/>
                <w:sz w:val="22"/>
                <w:szCs w:val="22"/>
              </w:rPr>
              <w:t>27,936.15</w:t>
            </w:r>
          </w:p>
        </w:tc>
      </w:tr>
    </w:tbl>
    <w:p w:rsidR="001B66FB" w:rsidRDefault="00D70846">
      <w:pPr>
        <w:spacing w:line="460" w:lineRule="atLeast"/>
        <w:ind w:firstLineChars="200" w:firstLine="560"/>
        <w:rPr>
          <w:rFonts w:eastAsia="仿宋"/>
          <w:color w:val="000000"/>
          <w:sz w:val="28"/>
          <w:szCs w:val="28"/>
        </w:rPr>
      </w:pPr>
      <w:r>
        <w:rPr>
          <w:rFonts w:ascii="仿宋" w:eastAsia="仿宋" w:hAnsi="仿宋" w:hint="eastAsia"/>
          <w:sz w:val="28"/>
          <w:szCs w:val="28"/>
        </w:rPr>
        <w:t>根据经营规划及发展实际需求，</w:t>
      </w:r>
      <w:r>
        <w:rPr>
          <w:rFonts w:eastAsia="仿宋" w:hint="eastAsia"/>
          <w:color w:val="000000"/>
          <w:sz w:val="28"/>
          <w:szCs w:val="28"/>
        </w:rPr>
        <w:t>公司于</w:t>
      </w:r>
      <w:r>
        <w:rPr>
          <w:rFonts w:eastAsia="仿宋" w:hint="eastAsia"/>
          <w:color w:val="000000"/>
          <w:sz w:val="28"/>
          <w:szCs w:val="28"/>
        </w:rPr>
        <w:t>2023</w:t>
      </w:r>
      <w:r>
        <w:rPr>
          <w:rFonts w:eastAsia="仿宋" w:hint="eastAsia"/>
          <w:color w:val="000000"/>
          <w:sz w:val="28"/>
          <w:szCs w:val="28"/>
        </w:rPr>
        <w:t>年</w:t>
      </w:r>
      <w:r>
        <w:rPr>
          <w:rFonts w:eastAsia="仿宋" w:hint="eastAsia"/>
          <w:color w:val="000000"/>
          <w:sz w:val="28"/>
          <w:szCs w:val="28"/>
        </w:rPr>
        <w:t>8</w:t>
      </w:r>
      <w:r>
        <w:rPr>
          <w:rFonts w:eastAsia="仿宋" w:hint="eastAsia"/>
          <w:color w:val="000000"/>
          <w:sz w:val="28"/>
          <w:szCs w:val="28"/>
        </w:rPr>
        <w:t>月</w:t>
      </w:r>
      <w:r>
        <w:rPr>
          <w:rFonts w:eastAsia="仿宋" w:hint="eastAsia"/>
          <w:color w:val="000000"/>
          <w:sz w:val="28"/>
          <w:szCs w:val="28"/>
        </w:rPr>
        <w:t>2</w:t>
      </w:r>
      <w:r>
        <w:rPr>
          <w:rFonts w:eastAsia="仿宋" w:hint="eastAsia"/>
          <w:color w:val="000000"/>
          <w:sz w:val="28"/>
          <w:szCs w:val="28"/>
        </w:rPr>
        <w:t>日召开第三届董事会第十四次会议和第三届监事会第十二次会议，并于</w:t>
      </w:r>
      <w:r>
        <w:rPr>
          <w:rFonts w:eastAsia="仿宋" w:hint="eastAsia"/>
          <w:color w:val="000000"/>
          <w:sz w:val="28"/>
          <w:szCs w:val="28"/>
        </w:rPr>
        <w:t>2023</w:t>
      </w:r>
      <w:r>
        <w:rPr>
          <w:rFonts w:eastAsia="仿宋" w:hint="eastAsia"/>
          <w:color w:val="000000"/>
          <w:sz w:val="28"/>
          <w:szCs w:val="28"/>
        </w:rPr>
        <w:t>年</w:t>
      </w:r>
      <w:r>
        <w:rPr>
          <w:rFonts w:eastAsia="仿宋" w:hint="eastAsia"/>
          <w:color w:val="000000"/>
          <w:sz w:val="28"/>
          <w:szCs w:val="28"/>
        </w:rPr>
        <w:t>8</w:t>
      </w:r>
      <w:r>
        <w:rPr>
          <w:rFonts w:eastAsia="仿宋" w:hint="eastAsia"/>
          <w:color w:val="000000"/>
          <w:sz w:val="28"/>
          <w:szCs w:val="28"/>
        </w:rPr>
        <w:t>月</w:t>
      </w:r>
      <w:r>
        <w:rPr>
          <w:rFonts w:eastAsia="仿宋" w:hint="eastAsia"/>
          <w:color w:val="000000"/>
          <w:sz w:val="28"/>
          <w:szCs w:val="28"/>
        </w:rPr>
        <w:t>21</w:t>
      </w:r>
      <w:r>
        <w:rPr>
          <w:rFonts w:eastAsia="仿宋" w:hint="eastAsia"/>
          <w:color w:val="000000"/>
          <w:sz w:val="28"/>
          <w:szCs w:val="28"/>
        </w:rPr>
        <w:t>日召开</w:t>
      </w:r>
      <w:r>
        <w:rPr>
          <w:rFonts w:eastAsia="仿宋" w:hint="eastAsia"/>
          <w:color w:val="000000"/>
          <w:sz w:val="28"/>
          <w:szCs w:val="28"/>
        </w:rPr>
        <w:t>2023</w:t>
      </w:r>
      <w:r>
        <w:rPr>
          <w:rFonts w:eastAsia="仿宋" w:hint="eastAsia"/>
          <w:color w:val="000000"/>
          <w:sz w:val="28"/>
          <w:szCs w:val="28"/>
        </w:rPr>
        <w:t>年第三次临时股东大会，审议通过了《关于变更募投项目实施主体、实施地点及部分募集资金用途的议案》，将原</w:t>
      </w:r>
      <w:r>
        <w:rPr>
          <w:rFonts w:eastAsia="仿宋" w:hint="eastAsia"/>
          <w:color w:val="000000"/>
          <w:sz w:val="28"/>
          <w:szCs w:val="28"/>
        </w:rPr>
        <w:lastRenderedPageBreak/>
        <w:t>募投项“大数据应用技术中心建设项目”扩展升级为“深圳综合运营中心项目”，将实施地点变更为深圳市南山区。同时取消原“营销服务体系升级建设项目”并将其募集资金合并用于“深圳综合运营中心项目”的建设；项目由公司全资子公司深圳市互联精英信息技术有限公司建设实施。变更后公司募集资金投资用途如下：</w:t>
      </w:r>
    </w:p>
    <w:tbl>
      <w:tblPr>
        <w:tblStyle w:val="ab"/>
        <w:tblW w:w="5000" w:type="pct"/>
        <w:tblLook w:val="04A0" w:firstRow="1" w:lastRow="0" w:firstColumn="1" w:lastColumn="0" w:noHBand="0" w:noVBand="1"/>
      </w:tblPr>
      <w:tblGrid>
        <w:gridCol w:w="2413"/>
        <w:gridCol w:w="2049"/>
        <w:gridCol w:w="2354"/>
        <w:gridCol w:w="1706"/>
      </w:tblGrid>
      <w:tr w:rsidR="001B66FB">
        <w:trPr>
          <w:trHeight w:val="340"/>
        </w:trPr>
        <w:tc>
          <w:tcPr>
            <w:tcW w:w="1416" w:type="pct"/>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b/>
                <w:bCs/>
                <w:sz w:val="22"/>
                <w:szCs w:val="22"/>
              </w:rPr>
              <w:t>项目名称</w:t>
            </w:r>
          </w:p>
        </w:tc>
        <w:tc>
          <w:tcPr>
            <w:tcW w:w="1202" w:type="pct"/>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b/>
                <w:bCs/>
                <w:sz w:val="22"/>
                <w:szCs w:val="22"/>
              </w:rPr>
              <w:t>项目总投资额（万元）</w:t>
            </w:r>
          </w:p>
        </w:tc>
        <w:tc>
          <w:tcPr>
            <w:tcW w:w="1381" w:type="pct"/>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b/>
                <w:bCs/>
                <w:sz w:val="22"/>
                <w:szCs w:val="22"/>
              </w:rPr>
              <w:t>运用募集资金投资（万元）</w:t>
            </w:r>
          </w:p>
        </w:tc>
        <w:tc>
          <w:tcPr>
            <w:tcW w:w="1001" w:type="pct"/>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hint="eastAsia"/>
                <w:b/>
                <w:bCs/>
                <w:sz w:val="22"/>
                <w:szCs w:val="22"/>
              </w:rPr>
              <w:t>运用超募资金投资（万元）</w:t>
            </w:r>
          </w:p>
        </w:tc>
      </w:tr>
      <w:tr w:rsidR="001B66FB">
        <w:trPr>
          <w:trHeight w:val="340"/>
        </w:trPr>
        <w:tc>
          <w:tcPr>
            <w:tcW w:w="1416" w:type="pct"/>
          </w:tcPr>
          <w:p w:rsidR="001B66FB" w:rsidRDefault="00D70846">
            <w:pPr>
              <w:tabs>
                <w:tab w:val="center" w:pos="4153"/>
                <w:tab w:val="right" w:pos="8306"/>
              </w:tabs>
              <w:rPr>
                <w:rFonts w:ascii="仿宋" w:eastAsia="仿宋" w:hAnsi="仿宋"/>
                <w:bCs/>
                <w:sz w:val="22"/>
                <w:szCs w:val="22"/>
              </w:rPr>
            </w:pPr>
            <w:r>
              <w:rPr>
                <w:rFonts w:ascii="仿宋" w:eastAsia="仿宋" w:hAnsi="仿宋"/>
                <w:sz w:val="22"/>
                <w:szCs w:val="22"/>
              </w:rPr>
              <w:t>智慧城市综合解决方案升级项目</w:t>
            </w:r>
          </w:p>
        </w:tc>
        <w:tc>
          <w:tcPr>
            <w:tcW w:w="1202" w:type="pct"/>
            <w:vAlign w:val="center"/>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12,572.70</w:t>
            </w:r>
          </w:p>
        </w:tc>
        <w:tc>
          <w:tcPr>
            <w:tcW w:w="1381" w:type="pct"/>
            <w:vAlign w:val="center"/>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12,572.70</w:t>
            </w:r>
          </w:p>
        </w:tc>
        <w:tc>
          <w:tcPr>
            <w:tcW w:w="1001" w:type="pct"/>
            <w:vAlign w:val="center"/>
          </w:tcPr>
          <w:p w:rsidR="001B66FB" w:rsidRDefault="00D70846">
            <w:pPr>
              <w:tabs>
                <w:tab w:val="center" w:pos="4153"/>
                <w:tab w:val="right" w:pos="8306"/>
              </w:tabs>
              <w:jc w:val="right"/>
              <w:rPr>
                <w:rFonts w:ascii="仿宋" w:eastAsia="仿宋" w:hAnsi="仿宋"/>
                <w:sz w:val="22"/>
                <w:szCs w:val="22"/>
              </w:rPr>
            </w:pPr>
            <w:r>
              <w:rPr>
                <w:rFonts w:ascii="仿宋" w:eastAsia="仿宋" w:hAnsi="仿宋" w:hint="eastAsia"/>
                <w:sz w:val="22"/>
                <w:szCs w:val="22"/>
              </w:rPr>
              <w:t>-</w:t>
            </w:r>
          </w:p>
        </w:tc>
      </w:tr>
      <w:tr w:rsidR="001B66FB">
        <w:trPr>
          <w:trHeight w:val="340"/>
        </w:trPr>
        <w:tc>
          <w:tcPr>
            <w:tcW w:w="1416" w:type="pct"/>
          </w:tcPr>
          <w:p w:rsidR="001B66FB" w:rsidRDefault="00D70846">
            <w:pPr>
              <w:tabs>
                <w:tab w:val="center" w:pos="4153"/>
                <w:tab w:val="right" w:pos="8306"/>
              </w:tabs>
              <w:rPr>
                <w:rFonts w:ascii="仿宋" w:eastAsia="仿宋" w:hAnsi="仿宋"/>
                <w:bCs/>
                <w:sz w:val="22"/>
                <w:szCs w:val="22"/>
              </w:rPr>
            </w:pPr>
            <w:r>
              <w:rPr>
                <w:rFonts w:eastAsia="仿宋" w:hint="eastAsia"/>
                <w:color w:val="000000"/>
                <w:kern w:val="0"/>
                <w:sz w:val="24"/>
                <w:szCs w:val="24"/>
              </w:rPr>
              <w:t>深圳综合运营中心项目</w:t>
            </w:r>
          </w:p>
        </w:tc>
        <w:tc>
          <w:tcPr>
            <w:tcW w:w="1202" w:type="pct"/>
            <w:vAlign w:val="center"/>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bCs/>
                <w:sz w:val="22"/>
                <w:szCs w:val="22"/>
              </w:rPr>
              <w:t>9,</w:t>
            </w:r>
            <w:r>
              <w:rPr>
                <w:rFonts w:ascii="仿宋" w:eastAsia="仿宋" w:hAnsi="仿宋" w:hint="eastAsia"/>
                <w:bCs/>
                <w:sz w:val="22"/>
                <w:szCs w:val="22"/>
              </w:rPr>
              <w:t>9</w:t>
            </w:r>
            <w:r>
              <w:rPr>
                <w:rFonts w:ascii="仿宋" w:eastAsia="仿宋" w:hAnsi="仿宋"/>
                <w:bCs/>
                <w:sz w:val="22"/>
                <w:szCs w:val="22"/>
              </w:rPr>
              <w:t>56.36</w:t>
            </w:r>
          </w:p>
        </w:tc>
        <w:tc>
          <w:tcPr>
            <w:tcW w:w="1381" w:type="pct"/>
            <w:vAlign w:val="center"/>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5,569.67</w:t>
            </w:r>
          </w:p>
        </w:tc>
        <w:tc>
          <w:tcPr>
            <w:tcW w:w="1001" w:type="pct"/>
            <w:vAlign w:val="center"/>
          </w:tcPr>
          <w:p w:rsidR="001B66FB" w:rsidRDefault="00D70846">
            <w:pPr>
              <w:tabs>
                <w:tab w:val="center" w:pos="4153"/>
                <w:tab w:val="right" w:pos="8306"/>
              </w:tabs>
              <w:jc w:val="right"/>
              <w:rPr>
                <w:rFonts w:ascii="仿宋" w:eastAsia="仿宋" w:hAnsi="仿宋"/>
                <w:sz w:val="22"/>
                <w:szCs w:val="22"/>
              </w:rPr>
            </w:pPr>
            <w:r>
              <w:rPr>
                <w:rFonts w:ascii="仿宋" w:eastAsia="仿宋" w:hAnsi="仿宋"/>
                <w:sz w:val="22"/>
                <w:szCs w:val="22"/>
              </w:rPr>
              <w:t>4,186.69</w:t>
            </w:r>
          </w:p>
        </w:tc>
      </w:tr>
      <w:tr w:rsidR="001B66FB">
        <w:trPr>
          <w:trHeight w:val="340"/>
        </w:trPr>
        <w:tc>
          <w:tcPr>
            <w:tcW w:w="1416" w:type="pct"/>
          </w:tcPr>
          <w:p w:rsidR="001B66FB" w:rsidRDefault="00D70846">
            <w:pPr>
              <w:tabs>
                <w:tab w:val="center" w:pos="4153"/>
                <w:tab w:val="right" w:pos="8306"/>
              </w:tabs>
              <w:rPr>
                <w:rFonts w:ascii="仿宋" w:eastAsia="仿宋" w:hAnsi="仿宋"/>
                <w:bCs/>
                <w:sz w:val="22"/>
                <w:szCs w:val="22"/>
              </w:rPr>
            </w:pPr>
            <w:r>
              <w:rPr>
                <w:rFonts w:ascii="仿宋" w:eastAsia="仿宋" w:hAnsi="仿宋" w:hint="eastAsia"/>
                <w:sz w:val="22"/>
                <w:szCs w:val="22"/>
              </w:rPr>
              <w:t>募集资金</w:t>
            </w:r>
            <w:r>
              <w:rPr>
                <w:rFonts w:ascii="仿宋" w:eastAsia="仿宋" w:hAnsi="仿宋"/>
                <w:sz w:val="22"/>
                <w:szCs w:val="22"/>
              </w:rPr>
              <w:t>补充流动资金</w:t>
            </w:r>
          </w:p>
        </w:tc>
        <w:tc>
          <w:tcPr>
            <w:tcW w:w="1202" w:type="pct"/>
            <w:vAlign w:val="center"/>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10,000.00</w:t>
            </w:r>
          </w:p>
        </w:tc>
        <w:tc>
          <w:tcPr>
            <w:tcW w:w="1381" w:type="pct"/>
            <w:vAlign w:val="center"/>
          </w:tcPr>
          <w:p w:rsidR="001B66FB" w:rsidRDefault="00D70846">
            <w:pPr>
              <w:tabs>
                <w:tab w:val="center" w:pos="4153"/>
                <w:tab w:val="right" w:pos="8306"/>
              </w:tabs>
              <w:jc w:val="right"/>
              <w:rPr>
                <w:rFonts w:ascii="仿宋" w:eastAsia="仿宋" w:hAnsi="仿宋"/>
                <w:bCs/>
                <w:sz w:val="22"/>
                <w:szCs w:val="22"/>
              </w:rPr>
            </w:pPr>
            <w:r>
              <w:rPr>
                <w:rFonts w:ascii="仿宋" w:eastAsia="仿宋" w:hAnsi="仿宋"/>
                <w:sz w:val="22"/>
                <w:szCs w:val="22"/>
              </w:rPr>
              <w:t>10,000.00</w:t>
            </w:r>
          </w:p>
        </w:tc>
        <w:tc>
          <w:tcPr>
            <w:tcW w:w="1001" w:type="pct"/>
            <w:vAlign w:val="center"/>
          </w:tcPr>
          <w:p w:rsidR="001B66FB" w:rsidRDefault="001B66FB">
            <w:pPr>
              <w:tabs>
                <w:tab w:val="center" w:pos="4153"/>
                <w:tab w:val="right" w:pos="8306"/>
              </w:tabs>
              <w:jc w:val="right"/>
              <w:rPr>
                <w:rFonts w:ascii="仿宋" w:eastAsia="仿宋" w:hAnsi="仿宋"/>
                <w:sz w:val="22"/>
                <w:szCs w:val="22"/>
              </w:rPr>
            </w:pPr>
          </w:p>
        </w:tc>
      </w:tr>
      <w:tr w:rsidR="001B66FB">
        <w:trPr>
          <w:trHeight w:val="340"/>
        </w:trPr>
        <w:tc>
          <w:tcPr>
            <w:tcW w:w="1416" w:type="pct"/>
          </w:tcPr>
          <w:p w:rsidR="001B66FB" w:rsidRDefault="00D70846">
            <w:pPr>
              <w:tabs>
                <w:tab w:val="center" w:pos="4153"/>
                <w:tab w:val="right" w:pos="8306"/>
              </w:tabs>
              <w:rPr>
                <w:rFonts w:ascii="仿宋" w:eastAsia="仿宋" w:hAnsi="仿宋"/>
                <w:b/>
                <w:bCs/>
                <w:sz w:val="22"/>
                <w:szCs w:val="22"/>
              </w:rPr>
            </w:pPr>
            <w:r>
              <w:rPr>
                <w:rFonts w:ascii="仿宋" w:eastAsia="仿宋" w:hAnsi="仿宋"/>
                <w:b/>
                <w:bCs/>
                <w:sz w:val="22"/>
                <w:szCs w:val="22"/>
              </w:rPr>
              <w:t>合计</w:t>
            </w:r>
          </w:p>
        </w:tc>
        <w:tc>
          <w:tcPr>
            <w:tcW w:w="1202" w:type="pct"/>
            <w:vAlign w:val="center"/>
          </w:tcPr>
          <w:p w:rsidR="001B66FB" w:rsidRDefault="00D70846" w:rsidP="00382431">
            <w:pPr>
              <w:tabs>
                <w:tab w:val="center" w:pos="4153"/>
                <w:tab w:val="right" w:pos="8306"/>
              </w:tabs>
              <w:jc w:val="right"/>
              <w:rPr>
                <w:rFonts w:ascii="仿宋" w:eastAsia="仿宋" w:hAnsi="仿宋"/>
                <w:b/>
                <w:bCs/>
                <w:sz w:val="22"/>
                <w:szCs w:val="22"/>
              </w:rPr>
            </w:pPr>
            <w:r>
              <w:rPr>
                <w:rFonts w:ascii="仿宋" w:eastAsia="仿宋" w:hAnsi="仿宋"/>
                <w:b/>
                <w:bCs/>
                <w:sz w:val="22"/>
                <w:szCs w:val="22"/>
              </w:rPr>
              <w:t>3</w:t>
            </w:r>
            <w:r>
              <w:rPr>
                <w:rFonts w:ascii="仿宋" w:eastAsia="仿宋" w:hAnsi="仿宋" w:hint="eastAsia"/>
                <w:b/>
                <w:bCs/>
                <w:sz w:val="22"/>
                <w:szCs w:val="22"/>
              </w:rPr>
              <w:t>2,</w:t>
            </w:r>
            <w:r w:rsidR="00382431">
              <w:rPr>
                <w:rFonts w:ascii="仿宋" w:eastAsia="仿宋" w:hAnsi="仿宋" w:hint="eastAsia"/>
                <w:b/>
                <w:bCs/>
                <w:sz w:val="22"/>
                <w:szCs w:val="22"/>
              </w:rPr>
              <w:t>5</w:t>
            </w:r>
            <w:r w:rsidR="00382431">
              <w:rPr>
                <w:rFonts w:ascii="仿宋" w:eastAsia="仿宋" w:hAnsi="仿宋"/>
                <w:b/>
                <w:bCs/>
                <w:sz w:val="22"/>
                <w:szCs w:val="22"/>
              </w:rPr>
              <w:t>29</w:t>
            </w:r>
            <w:r>
              <w:rPr>
                <w:rFonts w:ascii="仿宋" w:eastAsia="仿宋" w:hAnsi="仿宋"/>
                <w:b/>
                <w:bCs/>
                <w:sz w:val="22"/>
                <w:szCs w:val="22"/>
              </w:rPr>
              <w:t>.06</w:t>
            </w:r>
          </w:p>
        </w:tc>
        <w:tc>
          <w:tcPr>
            <w:tcW w:w="1381" w:type="pct"/>
            <w:vAlign w:val="center"/>
          </w:tcPr>
          <w:p w:rsidR="001B66FB" w:rsidRDefault="00D70846">
            <w:pPr>
              <w:tabs>
                <w:tab w:val="center" w:pos="4153"/>
                <w:tab w:val="right" w:pos="8306"/>
              </w:tabs>
              <w:jc w:val="right"/>
              <w:rPr>
                <w:rFonts w:ascii="仿宋" w:eastAsia="仿宋" w:hAnsi="仿宋"/>
                <w:b/>
                <w:bCs/>
                <w:sz w:val="22"/>
                <w:szCs w:val="22"/>
              </w:rPr>
            </w:pPr>
            <w:r>
              <w:rPr>
                <w:rFonts w:ascii="仿宋" w:eastAsia="仿宋" w:hAnsi="仿宋"/>
                <w:b/>
                <w:bCs/>
                <w:sz w:val="22"/>
                <w:szCs w:val="22"/>
              </w:rPr>
              <w:t>28,142.37</w:t>
            </w:r>
          </w:p>
        </w:tc>
        <w:tc>
          <w:tcPr>
            <w:tcW w:w="1001" w:type="pct"/>
            <w:vAlign w:val="center"/>
          </w:tcPr>
          <w:p w:rsidR="001B66FB" w:rsidRDefault="00D70846">
            <w:pPr>
              <w:tabs>
                <w:tab w:val="center" w:pos="4153"/>
                <w:tab w:val="right" w:pos="8306"/>
              </w:tabs>
              <w:jc w:val="right"/>
              <w:rPr>
                <w:rFonts w:ascii="仿宋" w:eastAsia="仿宋" w:hAnsi="仿宋"/>
                <w:b/>
                <w:bCs/>
                <w:sz w:val="22"/>
                <w:szCs w:val="22"/>
              </w:rPr>
            </w:pPr>
            <w:r>
              <w:rPr>
                <w:rFonts w:ascii="仿宋" w:eastAsia="仿宋" w:hAnsi="仿宋"/>
                <w:b/>
                <w:sz w:val="22"/>
                <w:szCs w:val="22"/>
              </w:rPr>
              <w:t>4,186.69</w:t>
            </w:r>
          </w:p>
        </w:tc>
      </w:tr>
    </w:tbl>
    <w:p w:rsidR="001B66FB" w:rsidRDefault="00D70846">
      <w:pPr>
        <w:spacing w:line="460" w:lineRule="atLeast"/>
        <w:ind w:firstLineChars="200" w:firstLine="560"/>
        <w:rPr>
          <w:rFonts w:eastAsia="仿宋"/>
          <w:color w:val="000000"/>
          <w:sz w:val="28"/>
          <w:szCs w:val="28"/>
        </w:rPr>
      </w:pPr>
      <w:r>
        <w:rPr>
          <w:rFonts w:eastAsia="仿宋" w:hint="eastAsia"/>
          <w:color w:val="000000"/>
          <w:sz w:val="28"/>
          <w:szCs w:val="28"/>
        </w:rPr>
        <w:t>公司及子公司已开立募集资金专用账户对募集资金进行了专户存储，并与专户开户银行、保荐机构签订了募集资金三方（四方）监管协议。</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t>（三）本次拟变更部分募集资金用途的情况</w:t>
      </w:r>
    </w:p>
    <w:p w:rsidR="001B66FB" w:rsidRDefault="00D70846">
      <w:pPr>
        <w:pStyle w:val="ad"/>
        <w:spacing w:beforeLines="50" w:before="156" w:after="156" w:line="360" w:lineRule="auto"/>
        <w:ind w:firstLine="560"/>
        <w:rPr>
          <w:rFonts w:ascii="仿宋" w:eastAsia="仿宋" w:hAnsi="仿宋"/>
          <w:sz w:val="28"/>
          <w:szCs w:val="28"/>
        </w:rPr>
      </w:pPr>
      <w:r>
        <w:rPr>
          <w:rFonts w:ascii="仿宋" w:eastAsia="仿宋" w:hAnsi="仿宋" w:hint="eastAsia"/>
          <w:sz w:val="28"/>
          <w:szCs w:val="28"/>
        </w:rPr>
        <w:t>为满足公司数字经济战略拓展的需求，优化产业布局，提升综合竞争力，提高募集资金的使用效率和投资回报，公司拟终止原募投项目 “智慧城市综合解决方案升级项目”，将其部分募集资金11,716.00万元变更用于实施“算力集群服务项目”，剩余募集资金及其孳息将根据公司未来经营需要适时投入其他项目建设或其他用途。</w:t>
      </w:r>
    </w:p>
    <w:p w:rsidR="001B66FB" w:rsidRDefault="00D70846">
      <w:pPr>
        <w:pStyle w:val="ad"/>
        <w:spacing w:beforeLines="50" w:before="156" w:after="156" w:line="360" w:lineRule="auto"/>
        <w:ind w:firstLine="560"/>
        <w:rPr>
          <w:rFonts w:ascii="仿宋" w:eastAsia="仿宋" w:hAnsi="仿宋"/>
          <w:sz w:val="28"/>
          <w:szCs w:val="28"/>
        </w:rPr>
      </w:pPr>
      <w:r>
        <w:rPr>
          <w:rFonts w:ascii="仿宋" w:eastAsia="仿宋" w:hAnsi="仿宋" w:hint="eastAsia"/>
          <w:sz w:val="28"/>
          <w:szCs w:val="28"/>
        </w:rPr>
        <w:t>“智慧城市综合解决方案升级项目”计划总投资</w:t>
      </w:r>
      <w:r>
        <w:rPr>
          <w:rFonts w:ascii="仿宋" w:eastAsia="仿宋" w:hAnsi="仿宋"/>
          <w:sz w:val="28"/>
          <w:szCs w:val="28"/>
        </w:rPr>
        <w:t>12</w:t>
      </w:r>
      <w:r>
        <w:rPr>
          <w:rFonts w:ascii="仿宋" w:eastAsia="仿宋" w:hAnsi="仿宋" w:hint="eastAsia"/>
          <w:sz w:val="28"/>
          <w:szCs w:val="28"/>
        </w:rPr>
        <w:t>,</w:t>
      </w:r>
      <w:r>
        <w:rPr>
          <w:rFonts w:ascii="仿宋" w:eastAsia="仿宋" w:hAnsi="仿宋"/>
          <w:sz w:val="28"/>
          <w:szCs w:val="28"/>
        </w:rPr>
        <w:t>572.7</w:t>
      </w:r>
      <w:r>
        <w:rPr>
          <w:rFonts w:ascii="仿宋" w:eastAsia="仿宋" w:hAnsi="仿宋" w:hint="eastAsia"/>
          <w:sz w:val="28"/>
          <w:szCs w:val="28"/>
        </w:rPr>
        <w:t>0万元，占募集资金总额的45.01%；截至本公告日尚未投入建设。“算力集群服务项目”计划总投资额</w:t>
      </w:r>
      <w:r>
        <w:rPr>
          <w:rFonts w:ascii="仿宋" w:eastAsia="仿宋" w:hAnsi="仿宋"/>
          <w:sz w:val="28"/>
          <w:szCs w:val="28"/>
        </w:rPr>
        <w:t>36,</w:t>
      </w:r>
      <w:r>
        <w:rPr>
          <w:rFonts w:ascii="仿宋" w:eastAsia="仿宋" w:hAnsi="仿宋" w:hint="eastAsia"/>
          <w:sz w:val="28"/>
          <w:szCs w:val="28"/>
        </w:rPr>
        <w:t>229.00万元，其中使用原募投项目募集</w:t>
      </w:r>
      <w:r>
        <w:rPr>
          <w:rFonts w:ascii="仿宋" w:eastAsia="仿宋" w:hAnsi="仿宋" w:hint="eastAsia"/>
          <w:sz w:val="28"/>
          <w:szCs w:val="28"/>
        </w:rPr>
        <w:lastRenderedPageBreak/>
        <w:t>资金</w:t>
      </w:r>
      <w:bookmarkStart w:id="0" w:name="OLE_LINK2"/>
      <w:bookmarkStart w:id="1" w:name="OLE_LINK1"/>
      <w:r>
        <w:rPr>
          <w:rFonts w:ascii="仿宋" w:eastAsia="仿宋" w:hAnsi="仿宋"/>
          <w:sz w:val="28"/>
          <w:szCs w:val="28"/>
        </w:rPr>
        <w:t>11,716.00</w:t>
      </w:r>
      <w:r>
        <w:rPr>
          <w:rFonts w:ascii="仿宋" w:eastAsia="仿宋" w:hAnsi="仿宋" w:hint="eastAsia"/>
          <w:sz w:val="28"/>
          <w:szCs w:val="28"/>
        </w:rPr>
        <w:t>万元</w:t>
      </w:r>
      <w:bookmarkEnd w:id="0"/>
      <w:bookmarkEnd w:id="1"/>
      <w:r>
        <w:rPr>
          <w:rFonts w:ascii="仿宋" w:eastAsia="仿宋" w:hAnsi="仿宋" w:hint="eastAsia"/>
          <w:sz w:val="28"/>
          <w:szCs w:val="28"/>
        </w:rPr>
        <w:t>。该项目由公司在深圳市实施建设，项目周期为5年。具体如下：</w:t>
      </w:r>
    </w:p>
    <w:tbl>
      <w:tblPr>
        <w:tblStyle w:val="ab"/>
        <w:tblW w:w="5000" w:type="pct"/>
        <w:tblLook w:val="04A0" w:firstRow="1" w:lastRow="0" w:firstColumn="1" w:lastColumn="0" w:noHBand="0" w:noVBand="1"/>
      </w:tblPr>
      <w:tblGrid>
        <w:gridCol w:w="1618"/>
        <w:gridCol w:w="3452"/>
        <w:gridCol w:w="3452"/>
      </w:tblGrid>
      <w:tr w:rsidR="001B66FB">
        <w:trPr>
          <w:trHeight w:val="340"/>
          <w:tblHeader/>
        </w:trPr>
        <w:tc>
          <w:tcPr>
            <w:tcW w:w="949" w:type="pct"/>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hint="eastAsia"/>
                <w:b/>
                <w:bCs/>
                <w:sz w:val="22"/>
                <w:szCs w:val="22"/>
              </w:rPr>
              <w:t>项目</w:t>
            </w:r>
          </w:p>
        </w:tc>
        <w:tc>
          <w:tcPr>
            <w:tcW w:w="2025" w:type="pct"/>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hint="eastAsia"/>
                <w:b/>
                <w:bCs/>
                <w:sz w:val="22"/>
                <w:szCs w:val="22"/>
              </w:rPr>
              <w:t>变更前</w:t>
            </w:r>
          </w:p>
        </w:tc>
        <w:tc>
          <w:tcPr>
            <w:tcW w:w="2025" w:type="pct"/>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hint="eastAsia"/>
                <w:b/>
                <w:bCs/>
                <w:sz w:val="22"/>
                <w:szCs w:val="22"/>
              </w:rPr>
              <w:t>变更后</w:t>
            </w:r>
          </w:p>
        </w:tc>
      </w:tr>
      <w:tr w:rsidR="001B66FB">
        <w:trPr>
          <w:trHeight w:val="340"/>
        </w:trPr>
        <w:tc>
          <w:tcPr>
            <w:tcW w:w="949"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sz w:val="22"/>
                <w:szCs w:val="22"/>
              </w:rPr>
              <w:t>项目名称</w:t>
            </w:r>
          </w:p>
        </w:tc>
        <w:tc>
          <w:tcPr>
            <w:tcW w:w="2025" w:type="pct"/>
            <w:vAlign w:val="center"/>
          </w:tcPr>
          <w:p w:rsidR="001B66FB" w:rsidRDefault="00D70846">
            <w:pPr>
              <w:tabs>
                <w:tab w:val="center" w:pos="4153"/>
                <w:tab w:val="right" w:pos="8306"/>
              </w:tabs>
              <w:jc w:val="center"/>
              <w:rPr>
                <w:rFonts w:ascii="仿宋" w:eastAsia="仿宋" w:hAnsi="仿宋"/>
                <w:bCs/>
                <w:sz w:val="22"/>
                <w:szCs w:val="22"/>
              </w:rPr>
            </w:pPr>
            <w:r>
              <w:rPr>
                <w:rFonts w:ascii="仿宋" w:eastAsia="仿宋" w:hAnsi="仿宋" w:hint="eastAsia"/>
                <w:sz w:val="22"/>
                <w:szCs w:val="22"/>
              </w:rPr>
              <w:t>智慧城市综合解决方案升级项目</w:t>
            </w:r>
          </w:p>
        </w:tc>
        <w:tc>
          <w:tcPr>
            <w:tcW w:w="2025"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算力集群服务项目</w:t>
            </w:r>
          </w:p>
        </w:tc>
      </w:tr>
      <w:tr w:rsidR="001B66FB">
        <w:trPr>
          <w:trHeight w:val="340"/>
        </w:trPr>
        <w:tc>
          <w:tcPr>
            <w:tcW w:w="949"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建设地点</w:t>
            </w:r>
          </w:p>
        </w:tc>
        <w:tc>
          <w:tcPr>
            <w:tcW w:w="2025" w:type="pct"/>
            <w:vAlign w:val="center"/>
          </w:tcPr>
          <w:p w:rsidR="001B66FB" w:rsidRDefault="00D70846">
            <w:pPr>
              <w:tabs>
                <w:tab w:val="center" w:pos="4153"/>
                <w:tab w:val="right" w:pos="8306"/>
              </w:tabs>
              <w:jc w:val="center"/>
              <w:rPr>
                <w:rFonts w:ascii="仿宋" w:eastAsia="仿宋" w:hAnsi="仿宋"/>
                <w:bCs/>
                <w:sz w:val="22"/>
                <w:szCs w:val="22"/>
              </w:rPr>
            </w:pPr>
            <w:r>
              <w:rPr>
                <w:rFonts w:ascii="仿宋" w:eastAsia="仿宋" w:hAnsi="仿宋" w:hint="eastAsia"/>
                <w:bCs/>
                <w:sz w:val="22"/>
                <w:szCs w:val="22"/>
              </w:rPr>
              <w:t>汕头市</w:t>
            </w:r>
          </w:p>
        </w:tc>
        <w:tc>
          <w:tcPr>
            <w:tcW w:w="2025"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深圳市</w:t>
            </w:r>
          </w:p>
        </w:tc>
      </w:tr>
      <w:tr w:rsidR="001B66FB">
        <w:trPr>
          <w:trHeight w:val="340"/>
        </w:trPr>
        <w:tc>
          <w:tcPr>
            <w:tcW w:w="949"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项目实施主体</w:t>
            </w:r>
          </w:p>
        </w:tc>
        <w:tc>
          <w:tcPr>
            <w:tcW w:w="2025"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天亿马</w:t>
            </w:r>
          </w:p>
        </w:tc>
        <w:tc>
          <w:tcPr>
            <w:tcW w:w="2025"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天亿马</w:t>
            </w:r>
          </w:p>
        </w:tc>
      </w:tr>
      <w:tr w:rsidR="001B66FB">
        <w:trPr>
          <w:trHeight w:val="340"/>
        </w:trPr>
        <w:tc>
          <w:tcPr>
            <w:tcW w:w="949"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项目总投资</w:t>
            </w:r>
          </w:p>
        </w:tc>
        <w:tc>
          <w:tcPr>
            <w:tcW w:w="2025" w:type="pct"/>
            <w:vAlign w:val="center"/>
          </w:tcPr>
          <w:p w:rsidR="001B66FB" w:rsidRDefault="00D70846">
            <w:pPr>
              <w:tabs>
                <w:tab w:val="center" w:pos="4153"/>
                <w:tab w:val="right" w:pos="8306"/>
              </w:tabs>
              <w:jc w:val="center"/>
              <w:rPr>
                <w:rFonts w:ascii="仿宋" w:eastAsia="仿宋" w:hAnsi="仿宋"/>
                <w:bCs/>
                <w:sz w:val="22"/>
                <w:szCs w:val="22"/>
              </w:rPr>
            </w:pPr>
            <w:r>
              <w:rPr>
                <w:rFonts w:ascii="仿宋" w:eastAsia="仿宋" w:hAnsi="仿宋"/>
                <w:bCs/>
                <w:sz w:val="22"/>
                <w:szCs w:val="22"/>
              </w:rPr>
              <w:t>12</w:t>
            </w:r>
            <w:r>
              <w:rPr>
                <w:rFonts w:ascii="仿宋" w:eastAsia="仿宋" w:hAnsi="仿宋" w:hint="eastAsia"/>
                <w:bCs/>
                <w:sz w:val="22"/>
                <w:szCs w:val="22"/>
              </w:rPr>
              <w:t>,</w:t>
            </w:r>
            <w:r>
              <w:rPr>
                <w:rFonts w:ascii="仿宋" w:eastAsia="仿宋" w:hAnsi="仿宋"/>
                <w:bCs/>
                <w:sz w:val="22"/>
                <w:szCs w:val="22"/>
              </w:rPr>
              <w:t>572.7</w:t>
            </w:r>
            <w:r>
              <w:rPr>
                <w:rFonts w:ascii="仿宋" w:eastAsia="仿宋" w:hAnsi="仿宋" w:hint="eastAsia"/>
                <w:bCs/>
                <w:sz w:val="22"/>
                <w:szCs w:val="22"/>
              </w:rPr>
              <w:t>0万元</w:t>
            </w:r>
          </w:p>
        </w:tc>
        <w:tc>
          <w:tcPr>
            <w:tcW w:w="2025"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36,229.00万元</w:t>
            </w:r>
          </w:p>
        </w:tc>
      </w:tr>
      <w:tr w:rsidR="001B66FB">
        <w:trPr>
          <w:trHeight w:val="340"/>
        </w:trPr>
        <w:tc>
          <w:tcPr>
            <w:tcW w:w="949"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hint="eastAsia"/>
                <w:sz w:val="22"/>
                <w:szCs w:val="22"/>
              </w:rPr>
              <w:t>拟用募集资金金额</w:t>
            </w:r>
          </w:p>
        </w:tc>
        <w:tc>
          <w:tcPr>
            <w:tcW w:w="2025" w:type="pct"/>
            <w:vAlign w:val="center"/>
          </w:tcPr>
          <w:p w:rsidR="001B66FB" w:rsidRDefault="00D70846">
            <w:pPr>
              <w:tabs>
                <w:tab w:val="center" w:pos="4153"/>
                <w:tab w:val="right" w:pos="8306"/>
              </w:tabs>
              <w:jc w:val="center"/>
              <w:rPr>
                <w:rFonts w:ascii="仿宋" w:eastAsia="仿宋" w:hAnsi="仿宋"/>
                <w:b/>
                <w:bCs/>
                <w:sz w:val="22"/>
                <w:szCs w:val="22"/>
              </w:rPr>
            </w:pPr>
            <w:r>
              <w:rPr>
                <w:rFonts w:ascii="仿宋" w:eastAsia="仿宋" w:hAnsi="仿宋"/>
                <w:bCs/>
                <w:sz w:val="22"/>
                <w:szCs w:val="22"/>
              </w:rPr>
              <w:t>12</w:t>
            </w:r>
            <w:r>
              <w:rPr>
                <w:rFonts w:ascii="仿宋" w:eastAsia="仿宋" w:hAnsi="仿宋" w:hint="eastAsia"/>
                <w:bCs/>
                <w:sz w:val="22"/>
                <w:szCs w:val="22"/>
              </w:rPr>
              <w:t>,</w:t>
            </w:r>
            <w:r>
              <w:rPr>
                <w:rFonts w:ascii="仿宋" w:eastAsia="仿宋" w:hAnsi="仿宋"/>
                <w:bCs/>
                <w:sz w:val="22"/>
                <w:szCs w:val="22"/>
              </w:rPr>
              <w:t>572.7</w:t>
            </w:r>
            <w:r>
              <w:rPr>
                <w:rFonts w:ascii="仿宋" w:eastAsia="仿宋" w:hAnsi="仿宋" w:hint="eastAsia"/>
                <w:bCs/>
                <w:sz w:val="22"/>
                <w:szCs w:val="22"/>
              </w:rPr>
              <w:t>0万元</w:t>
            </w:r>
          </w:p>
        </w:tc>
        <w:tc>
          <w:tcPr>
            <w:tcW w:w="2025" w:type="pct"/>
            <w:vAlign w:val="center"/>
          </w:tcPr>
          <w:p w:rsidR="001B66FB" w:rsidRDefault="00D70846">
            <w:pPr>
              <w:tabs>
                <w:tab w:val="center" w:pos="4153"/>
                <w:tab w:val="right" w:pos="8306"/>
              </w:tabs>
              <w:jc w:val="center"/>
              <w:rPr>
                <w:rFonts w:ascii="仿宋" w:eastAsia="仿宋" w:hAnsi="仿宋"/>
                <w:sz w:val="22"/>
                <w:szCs w:val="22"/>
              </w:rPr>
            </w:pPr>
            <w:r>
              <w:rPr>
                <w:rFonts w:ascii="仿宋" w:eastAsia="仿宋" w:hAnsi="仿宋"/>
                <w:sz w:val="22"/>
                <w:szCs w:val="22"/>
              </w:rPr>
              <w:t>11,716.00</w:t>
            </w:r>
            <w:r>
              <w:rPr>
                <w:rFonts w:ascii="仿宋" w:eastAsia="仿宋" w:hAnsi="仿宋" w:hint="eastAsia"/>
                <w:sz w:val="22"/>
                <w:szCs w:val="22"/>
              </w:rPr>
              <w:t>万元</w:t>
            </w:r>
          </w:p>
        </w:tc>
      </w:tr>
    </w:tbl>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新募投项目实施所需其余资金由公司自有资金或自筹资金补足。</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t>（四）本次变更募集资金投资项目已履行的审议程序</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公司于2024年12月11日召开第三届董事会第二十六次会议、第三届监事会第二十四次会议，审议通过《关于变更募集资金用途的议案》，该事项尚需提交公司股东会审议通过后方可实施。保荐机构发表了同意意见。</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本次变更的募集资金投资项目不构成关联交易，不构成《上市公司重大资产重组管理办法》规定的重大资产重组。根据《上市公司监管指引第2号——上市公司募集资金管理和使用的监管要求》《深圳证券交易所创业板股票上市规则》《深圳证券交易所上市公司自律监管指引第2号——创业板上市公司规范运作》等法律、行政法规、规范性文件。</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本次变更后新募投项目无需经行政审批。</w:t>
      </w:r>
    </w:p>
    <w:p w:rsidR="001B66FB" w:rsidRDefault="00D70846">
      <w:pPr>
        <w:spacing w:beforeLines="50" w:before="156" w:afterLines="50" w:after="156" w:line="360" w:lineRule="auto"/>
        <w:ind w:firstLineChars="200" w:firstLine="562"/>
        <w:outlineLvl w:val="0"/>
        <w:rPr>
          <w:rFonts w:ascii="仿宋" w:eastAsia="仿宋" w:hAnsi="仿宋"/>
          <w:b/>
          <w:sz w:val="28"/>
          <w:szCs w:val="28"/>
        </w:rPr>
      </w:pPr>
      <w:r>
        <w:rPr>
          <w:rFonts w:ascii="仿宋" w:eastAsia="仿宋" w:hAnsi="仿宋" w:hint="eastAsia"/>
          <w:b/>
          <w:sz w:val="28"/>
          <w:szCs w:val="28"/>
        </w:rPr>
        <w:t>二、变更募集资金投资项目的原因</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lastRenderedPageBreak/>
        <w:t>（一）原募投项目计划和实际投资情况</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智慧城市综合解决方案升级项目”于2020年立项，由天亿马在汕头市实施建设，投资总额为12,572.70万元，拟使用募集资金12,572.70万元，计划建设期为2年。该项目建设内容主要是购置集中办公场地，对原智慧城市综合解决方案产品内容及技术进行研发升级，开发智慧城市领域新产品。经过公司2022年10月27日召开的第三届董事会第七次会议和第三届监事会第六次会议审议通过，公司对项目进度规划进行调整，将该项目达到预定可使用状态时间由2023年11月5日延长至2024年11月5日。</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经长时间寻源，项目实施当地存量的商用办公场地位置、面积等与公司业务不能匹配；基于谨慎原则，为降低资金风险，公司未考虑购置期房，进而导致项目搁置。截至本公告日，该募投项目尚未投入建设。</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t>（二）变更募集资金投资项目的原因</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“智慧城市综合解决方案升级项目”立项较早，主要为满足公司智慧城市领域产品和技术升级，以及改善公司总部人员办公场地的需求。</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近年来，数字经济正逐渐成为国家经济发展、构筑国家竞争新优势的重要驱动力。从技术上，人工智能、边缘计算、大数据、自然语言编程等技术接连取得突破，为技术升级、产品创新提供源源动力。《“十四五”数字经济发展规划》《数字中国建设整体布局规划》《关</w:t>
      </w:r>
      <w:r>
        <w:rPr>
          <w:rFonts w:ascii="仿宋" w:eastAsia="仿宋" w:hAnsi="仿宋" w:hint="eastAsia"/>
          <w:sz w:val="28"/>
          <w:szCs w:val="28"/>
        </w:rPr>
        <w:lastRenderedPageBreak/>
        <w:t>于加快场景创新以人工智能高水平应用促进经济高质量发展的指导意见》等重要文件陆续出台，完善数字经济治理体系，指明数字中国建设基础和基础设施布局，支持我国人工智能、大数据等相关技术的创新研发与应用拓展，促进我国软件开发、信息技术等多个行业蓬勃发展。</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综上所述，公司拟终止“智慧城市综合解决方案升级项目”，变更其部分募集资金用途用于实施“算力集群服务项目”。</w:t>
      </w:r>
    </w:p>
    <w:p w:rsidR="001B66FB" w:rsidRDefault="00D70846">
      <w:pPr>
        <w:spacing w:beforeLines="50" w:before="156" w:afterLines="50" w:after="156" w:line="360" w:lineRule="auto"/>
        <w:ind w:firstLineChars="200" w:firstLine="562"/>
        <w:outlineLvl w:val="0"/>
        <w:rPr>
          <w:rFonts w:ascii="仿宋" w:eastAsia="仿宋" w:hAnsi="仿宋"/>
          <w:b/>
          <w:sz w:val="28"/>
          <w:szCs w:val="28"/>
        </w:rPr>
      </w:pPr>
      <w:r>
        <w:rPr>
          <w:rFonts w:ascii="仿宋" w:eastAsia="仿宋" w:hAnsi="仿宋" w:hint="eastAsia"/>
          <w:b/>
          <w:sz w:val="28"/>
          <w:szCs w:val="28"/>
        </w:rPr>
        <w:t>三、新募投项目情况说明</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t>（一）项目基本情况及投资计划</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1.项目名称：</w:t>
      </w:r>
      <w:r>
        <w:rPr>
          <w:rFonts w:ascii="仿宋" w:eastAsia="仿宋" w:hAnsi="仿宋"/>
          <w:sz w:val="28"/>
          <w:szCs w:val="28"/>
        </w:rPr>
        <w:t>广东天亿马信息产业股份有限公司</w:t>
      </w:r>
      <w:r>
        <w:rPr>
          <w:rFonts w:ascii="仿宋" w:eastAsia="仿宋" w:hAnsi="仿宋" w:hint="eastAsia"/>
          <w:sz w:val="28"/>
          <w:szCs w:val="28"/>
        </w:rPr>
        <w:t>算力集群服务项目</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2.项目实施主体：</w:t>
      </w:r>
      <w:r>
        <w:rPr>
          <w:rFonts w:ascii="仿宋" w:eastAsia="仿宋" w:hAnsi="仿宋"/>
          <w:sz w:val="28"/>
          <w:szCs w:val="28"/>
        </w:rPr>
        <w:t>广东天亿马信息产业股份有限公司</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3.项目投资额：</w:t>
      </w:r>
      <w:r>
        <w:rPr>
          <w:rFonts w:ascii="仿宋" w:eastAsia="仿宋" w:hAnsi="仿宋"/>
          <w:sz w:val="28"/>
          <w:szCs w:val="28"/>
        </w:rPr>
        <w:t>36,</w:t>
      </w:r>
      <w:r>
        <w:rPr>
          <w:rFonts w:ascii="仿宋" w:eastAsia="仿宋" w:hAnsi="仿宋" w:hint="eastAsia"/>
          <w:sz w:val="28"/>
          <w:szCs w:val="28"/>
        </w:rPr>
        <w:t>229.00万元</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4.项目实施地：深圳市</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5.建设内容：本项目为智能算力中心建设及日常运维，建成后主要提供AI大模型训练、推理算力、图形渲染算力服务，服务于人工智能大模型、行业模型等。公司将按客户需求进行调整具体建设资源</w:t>
      </w:r>
      <w:r>
        <w:rPr>
          <w:rFonts w:ascii="仿宋" w:eastAsia="仿宋" w:hAnsi="仿宋" w:hint="eastAsia"/>
          <w:sz w:val="28"/>
          <w:szCs w:val="28"/>
        </w:rPr>
        <w:lastRenderedPageBreak/>
        <w:t>和人力资源投入，调整智能算力中心的日常运维、设备管理和客户服务等工作。</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6.项目资金的具体用途：</w:t>
      </w:r>
    </w:p>
    <w:tbl>
      <w:tblPr>
        <w:tblStyle w:val="ab"/>
        <w:tblW w:w="5000" w:type="pct"/>
        <w:tblLook w:val="04A0" w:firstRow="1" w:lastRow="0" w:firstColumn="1" w:lastColumn="0" w:noHBand="0" w:noVBand="1"/>
      </w:tblPr>
      <w:tblGrid>
        <w:gridCol w:w="689"/>
        <w:gridCol w:w="1152"/>
        <w:gridCol w:w="1624"/>
        <w:gridCol w:w="2529"/>
        <w:gridCol w:w="2528"/>
      </w:tblGrid>
      <w:tr w:rsidR="001B66FB">
        <w:trPr>
          <w:trHeight w:val="240"/>
        </w:trPr>
        <w:tc>
          <w:tcPr>
            <w:tcW w:w="404" w:type="pct"/>
            <w:vAlign w:val="center"/>
          </w:tcPr>
          <w:p w:rsidR="001B66FB" w:rsidRDefault="00D70846">
            <w:pPr>
              <w:widowControl/>
              <w:jc w:val="center"/>
              <w:rPr>
                <w:rFonts w:ascii="仿宋" w:eastAsia="仿宋" w:hAnsi="仿宋" w:cs="宋体"/>
                <w:b/>
                <w:bCs/>
                <w:kern w:val="0"/>
                <w:sz w:val="22"/>
                <w:szCs w:val="22"/>
              </w:rPr>
            </w:pPr>
            <w:r>
              <w:rPr>
                <w:rFonts w:ascii="仿宋" w:eastAsia="仿宋" w:hAnsi="仿宋" w:cs="宋体" w:hint="eastAsia"/>
                <w:b/>
                <w:bCs/>
                <w:kern w:val="0"/>
                <w:sz w:val="22"/>
                <w:szCs w:val="22"/>
              </w:rPr>
              <w:t>序号</w:t>
            </w:r>
          </w:p>
        </w:tc>
        <w:tc>
          <w:tcPr>
            <w:tcW w:w="676" w:type="pct"/>
            <w:vAlign w:val="center"/>
          </w:tcPr>
          <w:p w:rsidR="001B66FB" w:rsidRDefault="00D70846">
            <w:pPr>
              <w:widowControl/>
              <w:jc w:val="center"/>
              <w:rPr>
                <w:rFonts w:ascii="仿宋" w:eastAsia="仿宋" w:hAnsi="仿宋" w:cs="宋体"/>
                <w:b/>
                <w:bCs/>
                <w:kern w:val="0"/>
                <w:sz w:val="22"/>
                <w:szCs w:val="22"/>
              </w:rPr>
            </w:pPr>
            <w:r>
              <w:rPr>
                <w:rFonts w:ascii="仿宋" w:eastAsia="仿宋" w:hAnsi="仿宋" w:cs="宋体" w:hint="eastAsia"/>
                <w:b/>
                <w:bCs/>
                <w:kern w:val="0"/>
                <w:sz w:val="22"/>
                <w:szCs w:val="22"/>
              </w:rPr>
              <w:t>费用名称</w:t>
            </w:r>
          </w:p>
        </w:tc>
        <w:tc>
          <w:tcPr>
            <w:tcW w:w="953" w:type="pct"/>
            <w:vAlign w:val="center"/>
          </w:tcPr>
          <w:p w:rsidR="001B66FB" w:rsidRDefault="00D70846">
            <w:pPr>
              <w:widowControl/>
              <w:jc w:val="center"/>
              <w:rPr>
                <w:rFonts w:ascii="仿宋" w:eastAsia="仿宋" w:hAnsi="仿宋" w:cs="宋体"/>
                <w:b/>
                <w:bCs/>
                <w:kern w:val="0"/>
                <w:sz w:val="22"/>
                <w:szCs w:val="22"/>
              </w:rPr>
            </w:pPr>
            <w:r>
              <w:rPr>
                <w:rFonts w:ascii="仿宋" w:eastAsia="仿宋" w:hAnsi="仿宋" w:cs="宋体" w:hint="eastAsia"/>
                <w:b/>
                <w:bCs/>
                <w:kern w:val="0"/>
                <w:sz w:val="22"/>
                <w:szCs w:val="22"/>
              </w:rPr>
              <w:t>项目金额（万元）</w:t>
            </w:r>
          </w:p>
        </w:tc>
        <w:tc>
          <w:tcPr>
            <w:tcW w:w="1484" w:type="pct"/>
            <w:vAlign w:val="center"/>
          </w:tcPr>
          <w:p w:rsidR="001B66FB" w:rsidRDefault="00D70846">
            <w:pPr>
              <w:widowControl/>
              <w:jc w:val="center"/>
              <w:rPr>
                <w:rFonts w:ascii="仿宋" w:eastAsia="仿宋" w:hAnsi="仿宋" w:cs="宋体"/>
                <w:b/>
                <w:bCs/>
                <w:kern w:val="0"/>
                <w:sz w:val="22"/>
                <w:szCs w:val="22"/>
              </w:rPr>
            </w:pPr>
            <w:r>
              <w:rPr>
                <w:rFonts w:ascii="仿宋" w:eastAsia="仿宋" w:hAnsi="仿宋" w:cs="宋体" w:hint="eastAsia"/>
                <w:b/>
                <w:bCs/>
                <w:kern w:val="0"/>
                <w:sz w:val="22"/>
                <w:szCs w:val="22"/>
              </w:rPr>
              <w:t>拟使用募集资金金额（万元）</w:t>
            </w:r>
          </w:p>
        </w:tc>
        <w:tc>
          <w:tcPr>
            <w:tcW w:w="1483" w:type="pct"/>
            <w:vAlign w:val="center"/>
          </w:tcPr>
          <w:p w:rsidR="001B66FB" w:rsidRDefault="00D70846">
            <w:pPr>
              <w:widowControl/>
              <w:jc w:val="center"/>
              <w:rPr>
                <w:rFonts w:ascii="仿宋" w:eastAsia="仿宋" w:hAnsi="仿宋" w:cs="宋体"/>
                <w:b/>
                <w:bCs/>
                <w:kern w:val="0"/>
                <w:sz w:val="22"/>
                <w:szCs w:val="22"/>
              </w:rPr>
            </w:pPr>
            <w:r>
              <w:rPr>
                <w:rFonts w:ascii="仿宋" w:eastAsia="仿宋" w:hAnsi="仿宋" w:cs="宋体" w:hint="eastAsia"/>
                <w:b/>
                <w:bCs/>
                <w:kern w:val="0"/>
                <w:sz w:val="22"/>
                <w:szCs w:val="22"/>
              </w:rPr>
              <w:t>主要用途</w:t>
            </w:r>
          </w:p>
        </w:tc>
      </w:tr>
      <w:tr w:rsidR="001B66FB">
        <w:trPr>
          <w:trHeight w:val="240"/>
        </w:trPr>
        <w:tc>
          <w:tcPr>
            <w:tcW w:w="40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1</w:t>
            </w:r>
          </w:p>
        </w:tc>
        <w:tc>
          <w:tcPr>
            <w:tcW w:w="676"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设备购置</w:t>
            </w:r>
          </w:p>
        </w:tc>
        <w:tc>
          <w:tcPr>
            <w:tcW w:w="95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33,250</w:t>
            </w:r>
          </w:p>
        </w:tc>
        <w:tc>
          <w:tcPr>
            <w:tcW w:w="148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9,975.00</w:t>
            </w:r>
          </w:p>
        </w:tc>
        <w:tc>
          <w:tcPr>
            <w:tcW w:w="148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用于购置算力设备等相关费用。</w:t>
            </w:r>
          </w:p>
        </w:tc>
      </w:tr>
      <w:tr w:rsidR="001B66FB">
        <w:trPr>
          <w:trHeight w:val="240"/>
        </w:trPr>
        <w:tc>
          <w:tcPr>
            <w:tcW w:w="40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2</w:t>
            </w:r>
          </w:p>
        </w:tc>
        <w:tc>
          <w:tcPr>
            <w:tcW w:w="676"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运维成本</w:t>
            </w:r>
          </w:p>
        </w:tc>
        <w:tc>
          <w:tcPr>
            <w:tcW w:w="95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756.00</w:t>
            </w:r>
          </w:p>
        </w:tc>
        <w:tc>
          <w:tcPr>
            <w:tcW w:w="148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756.00</w:t>
            </w:r>
          </w:p>
        </w:tc>
        <w:tc>
          <w:tcPr>
            <w:tcW w:w="148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用于项目经营期间日常运维、设备管理、客户服务等相关运营维护投入。</w:t>
            </w:r>
          </w:p>
        </w:tc>
      </w:tr>
      <w:tr w:rsidR="001B66FB">
        <w:trPr>
          <w:trHeight w:val="240"/>
        </w:trPr>
        <w:tc>
          <w:tcPr>
            <w:tcW w:w="40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3</w:t>
            </w:r>
          </w:p>
        </w:tc>
        <w:tc>
          <w:tcPr>
            <w:tcW w:w="676" w:type="pct"/>
            <w:vAlign w:val="center"/>
          </w:tcPr>
          <w:p w:rsidR="001B66FB" w:rsidRDefault="00D70846">
            <w:pPr>
              <w:widowControl/>
              <w:jc w:val="center"/>
              <w:rPr>
                <w:rFonts w:ascii="仿宋" w:eastAsia="仿宋" w:hAnsi="仿宋" w:cs="宋体"/>
                <w:bCs/>
                <w:kern w:val="0"/>
                <w:sz w:val="22"/>
                <w:szCs w:val="22"/>
              </w:rPr>
            </w:pPr>
            <w:r>
              <w:rPr>
                <w:rFonts w:ascii="仿宋" w:eastAsia="仿宋" w:hAnsi="仿宋" w:cs="宋体" w:hint="eastAsia"/>
                <w:bCs/>
                <w:kern w:val="0"/>
                <w:sz w:val="22"/>
                <w:szCs w:val="22"/>
              </w:rPr>
              <w:t>铺底流动资金</w:t>
            </w:r>
          </w:p>
        </w:tc>
        <w:tc>
          <w:tcPr>
            <w:tcW w:w="95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2,223.00</w:t>
            </w:r>
          </w:p>
        </w:tc>
        <w:tc>
          <w:tcPr>
            <w:tcW w:w="148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985.00</w:t>
            </w:r>
          </w:p>
        </w:tc>
        <w:tc>
          <w:tcPr>
            <w:tcW w:w="148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用于项目进行正常生产经营活动与周转。</w:t>
            </w:r>
          </w:p>
        </w:tc>
      </w:tr>
      <w:tr w:rsidR="001B66FB">
        <w:trPr>
          <w:trHeight w:val="240"/>
        </w:trPr>
        <w:tc>
          <w:tcPr>
            <w:tcW w:w="40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4</w:t>
            </w:r>
          </w:p>
        </w:tc>
        <w:tc>
          <w:tcPr>
            <w:tcW w:w="676"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总投资额</w:t>
            </w:r>
          </w:p>
        </w:tc>
        <w:tc>
          <w:tcPr>
            <w:tcW w:w="95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36,229.00</w:t>
            </w:r>
          </w:p>
        </w:tc>
        <w:tc>
          <w:tcPr>
            <w:tcW w:w="1484"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11,716.00</w:t>
            </w:r>
          </w:p>
        </w:tc>
        <w:tc>
          <w:tcPr>
            <w:tcW w:w="1483" w:type="pct"/>
            <w:vAlign w:val="center"/>
          </w:tcPr>
          <w:p w:rsidR="001B66FB" w:rsidRDefault="00D70846">
            <w:pPr>
              <w:widowControl/>
              <w:jc w:val="center"/>
              <w:rPr>
                <w:rFonts w:ascii="仿宋" w:eastAsia="仿宋" w:hAnsi="仿宋" w:cs="宋体"/>
                <w:kern w:val="0"/>
                <w:sz w:val="22"/>
                <w:szCs w:val="22"/>
              </w:rPr>
            </w:pPr>
            <w:r>
              <w:rPr>
                <w:rFonts w:ascii="仿宋" w:eastAsia="仿宋" w:hAnsi="仿宋" w:cs="宋体" w:hint="eastAsia"/>
                <w:kern w:val="0"/>
                <w:sz w:val="22"/>
                <w:szCs w:val="22"/>
              </w:rPr>
              <w:t>-</w:t>
            </w:r>
          </w:p>
        </w:tc>
      </w:tr>
    </w:tbl>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新募投项目实施所需其余资金由公司自有资金或自筹资金补足。</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7.实施期限及进度安排</w:t>
      </w:r>
    </w:p>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本项目计划实施周期为5年，计划分3个阶段实施完成。</w:t>
      </w:r>
    </w:p>
    <w:tbl>
      <w:tblPr>
        <w:tblW w:w="5000" w:type="pct"/>
        <w:tblLook w:val="04A0" w:firstRow="1" w:lastRow="0" w:firstColumn="1" w:lastColumn="0" w:noHBand="0" w:noVBand="1"/>
      </w:tblPr>
      <w:tblGrid>
        <w:gridCol w:w="2663"/>
        <w:gridCol w:w="1134"/>
        <w:gridCol w:w="1135"/>
        <w:gridCol w:w="1133"/>
        <w:gridCol w:w="1133"/>
        <w:gridCol w:w="1324"/>
      </w:tblGrid>
      <w:tr w:rsidR="001B66FB">
        <w:trPr>
          <w:trHeight w:val="240"/>
        </w:trPr>
        <w:tc>
          <w:tcPr>
            <w:tcW w:w="156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项目</w:t>
            </w:r>
          </w:p>
        </w:tc>
        <w:tc>
          <w:tcPr>
            <w:tcW w:w="3438" w:type="pct"/>
            <w:gridSpan w:val="5"/>
            <w:tcBorders>
              <w:top w:val="single" w:sz="4" w:space="0" w:color="auto"/>
              <w:left w:val="nil"/>
              <w:bottom w:val="single" w:sz="4" w:space="0" w:color="auto"/>
              <w:right w:val="single" w:sz="4" w:space="0" w:color="000000"/>
            </w:tcBorders>
            <w:shd w:val="clear" w:color="auto" w:fill="auto"/>
            <w:vAlign w:val="center"/>
          </w:tcPr>
          <w:p w:rsidR="001B66FB" w:rsidRDefault="00D70846">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进度（年）</w:t>
            </w:r>
          </w:p>
        </w:tc>
      </w:tr>
      <w:tr w:rsidR="001B66FB">
        <w:trPr>
          <w:trHeight w:val="240"/>
        </w:trPr>
        <w:tc>
          <w:tcPr>
            <w:tcW w:w="1562" w:type="pct"/>
            <w:vMerge/>
            <w:tcBorders>
              <w:top w:val="single" w:sz="4" w:space="0" w:color="auto"/>
              <w:left w:val="single" w:sz="4" w:space="0" w:color="auto"/>
              <w:bottom w:val="single" w:sz="4" w:space="0" w:color="auto"/>
              <w:right w:val="single" w:sz="4" w:space="0" w:color="auto"/>
            </w:tcBorders>
            <w:vAlign w:val="center"/>
          </w:tcPr>
          <w:p w:rsidR="001B66FB" w:rsidRDefault="001B66FB">
            <w:pPr>
              <w:widowControl/>
              <w:jc w:val="center"/>
              <w:rPr>
                <w:rFonts w:ascii="仿宋" w:eastAsia="仿宋" w:hAnsi="仿宋" w:cs="宋体"/>
                <w:b/>
                <w:bCs/>
                <w:color w:val="000000"/>
                <w:kern w:val="0"/>
                <w:sz w:val="22"/>
                <w:szCs w:val="22"/>
              </w:rPr>
            </w:pPr>
          </w:p>
        </w:tc>
        <w:tc>
          <w:tcPr>
            <w:tcW w:w="665" w:type="pct"/>
            <w:tcBorders>
              <w:top w:val="nil"/>
              <w:left w:val="nil"/>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1</w:t>
            </w:r>
          </w:p>
        </w:tc>
        <w:tc>
          <w:tcPr>
            <w:tcW w:w="666" w:type="pct"/>
            <w:tcBorders>
              <w:top w:val="nil"/>
              <w:left w:val="nil"/>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2</w:t>
            </w:r>
          </w:p>
        </w:tc>
        <w:tc>
          <w:tcPr>
            <w:tcW w:w="665" w:type="pct"/>
            <w:tcBorders>
              <w:top w:val="nil"/>
              <w:left w:val="nil"/>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3</w:t>
            </w:r>
          </w:p>
        </w:tc>
        <w:tc>
          <w:tcPr>
            <w:tcW w:w="665" w:type="pct"/>
            <w:tcBorders>
              <w:top w:val="nil"/>
              <w:left w:val="nil"/>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4</w:t>
            </w:r>
          </w:p>
        </w:tc>
        <w:tc>
          <w:tcPr>
            <w:tcW w:w="778" w:type="pct"/>
            <w:tcBorders>
              <w:top w:val="nil"/>
              <w:left w:val="nil"/>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5</w:t>
            </w:r>
          </w:p>
        </w:tc>
      </w:tr>
      <w:tr w:rsidR="001B66FB">
        <w:trPr>
          <w:trHeight w:val="240"/>
        </w:trPr>
        <w:tc>
          <w:tcPr>
            <w:tcW w:w="1562" w:type="pct"/>
            <w:tcBorders>
              <w:top w:val="nil"/>
              <w:left w:val="single" w:sz="4" w:space="0" w:color="auto"/>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硬件设备采购</w:t>
            </w:r>
          </w:p>
        </w:tc>
        <w:tc>
          <w:tcPr>
            <w:tcW w:w="665" w:type="pct"/>
            <w:tcBorders>
              <w:top w:val="nil"/>
              <w:left w:val="nil"/>
              <w:bottom w:val="single" w:sz="4" w:space="0" w:color="auto"/>
              <w:right w:val="single" w:sz="4" w:space="0" w:color="auto"/>
            </w:tcBorders>
            <w:shd w:val="clear" w:color="000000" w:fill="4F81BD"/>
            <w:vAlign w:val="center"/>
          </w:tcPr>
          <w:p w:rsidR="001B66FB" w:rsidRDefault="001B66FB">
            <w:pPr>
              <w:widowControl/>
              <w:jc w:val="center"/>
              <w:rPr>
                <w:rFonts w:ascii="仿宋" w:eastAsia="仿宋" w:hAnsi="仿宋" w:cs="宋体"/>
                <w:color w:val="4F6228"/>
                <w:kern w:val="0"/>
                <w:sz w:val="22"/>
                <w:szCs w:val="22"/>
              </w:rPr>
            </w:pPr>
          </w:p>
        </w:tc>
        <w:tc>
          <w:tcPr>
            <w:tcW w:w="666"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c>
          <w:tcPr>
            <w:tcW w:w="665"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c>
          <w:tcPr>
            <w:tcW w:w="665"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c>
          <w:tcPr>
            <w:tcW w:w="778"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r>
      <w:tr w:rsidR="001B66FB">
        <w:trPr>
          <w:trHeight w:val="240"/>
        </w:trPr>
        <w:tc>
          <w:tcPr>
            <w:tcW w:w="1562" w:type="pct"/>
            <w:tcBorders>
              <w:top w:val="nil"/>
              <w:left w:val="single" w:sz="4" w:space="0" w:color="auto"/>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设备安装调试</w:t>
            </w:r>
          </w:p>
        </w:tc>
        <w:tc>
          <w:tcPr>
            <w:tcW w:w="665" w:type="pct"/>
            <w:tcBorders>
              <w:top w:val="nil"/>
              <w:left w:val="nil"/>
              <w:bottom w:val="single" w:sz="4" w:space="0" w:color="auto"/>
              <w:right w:val="single" w:sz="4" w:space="0" w:color="auto"/>
            </w:tcBorders>
            <w:shd w:val="clear" w:color="000000" w:fill="4F81BD"/>
            <w:vAlign w:val="center"/>
          </w:tcPr>
          <w:p w:rsidR="001B66FB" w:rsidRDefault="001B66FB">
            <w:pPr>
              <w:widowControl/>
              <w:jc w:val="center"/>
              <w:rPr>
                <w:rFonts w:ascii="仿宋" w:eastAsia="仿宋" w:hAnsi="仿宋" w:cs="宋体"/>
                <w:color w:val="000000"/>
                <w:kern w:val="0"/>
                <w:sz w:val="22"/>
                <w:szCs w:val="22"/>
              </w:rPr>
            </w:pPr>
          </w:p>
        </w:tc>
        <w:tc>
          <w:tcPr>
            <w:tcW w:w="666"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c>
          <w:tcPr>
            <w:tcW w:w="665"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c>
          <w:tcPr>
            <w:tcW w:w="665"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c>
          <w:tcPr>
            <w:tcW w:w="778" w:type="pct"/>
            <w:tcBorders>
              <w:top w:val="nil"/>
              <w:left w:val="nil"/>
              <w:bottom w:val="single" w:sz="4" w:space="0" w:color="auto"/>
              <w:right w:val="single" w:sz="4" w:space="0" w:color="auto"/>
            </w:tcBorders>
            <w:shd w:val="clear" w:color="auto" w:fill="auto"/>
            <w:vAlign w:val="center"/>
          </w:tcPr>
          <w:p w:rsidR="001B66FB" w:rsidRDefault="001B66FB">
            <w:pPr>
              <w:widowControl/>
              <w:jc w:val="center"/>
              <w:rPr>
                <w:rFonts w:ascii="仿宋" w:eastAsia="仿宋" w:hAnsi="仿宋" w:cs="宋体"/>
                <w:color w:val="000000"/>
                <w:kern w:val="0"/>
                <w:sz w:val="22"/>
                <w:szCs w:val="22"/>
              </w:rPr>
            </w:pPr>
          </w:p>
        </w:tc>
      </w:tr>
      <w:tr w:rsidR="001B66FB">
        <w:trPr>
          <w:trHeight w:val="240"/>
        </w:trPr>
        <w:tc>
          <w:tcPr>
            <w:tcW w:w="1562" w:type="pct"/>
            <w:tcBorders>
              <w:top w:val="nil"/>
              <w:left w:val="single" w:sz="4" w:space="0" w:color="auto"/>
              <w:bottom w:val="single" w:sz="4" w:space="0" w:color="auto"/>
              <w:right w:val="single" w:sz="4" w:space="0" w:color="auto"/>
            </w:tcBorders>
            <w:shd w:val="clear" w:color="auto" w:fill="auto"/>
            <w:vAlign w:val="center"/>
          </w:tcPr>
          <w:p w:rsidR="001B66FB" w:rsidRDefault="00D70846">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运营维护</w:t>
            </w:r>
          </w:p>
        </w:tc>
        <w:tc>
          <w:tcPr>
            <w:tcW w:w="665" w:type="pct"/>
            <w:tcBorders>
              <w:top w:val="nil"/>
              <w:left w:val="nil"/>
              <w:bottom w:val="single" w:sz="4" w:space="0" w:color="auto"/>
              <w:right w:val="single" w:sz="4" w:space="0" w:color="auto"/>
            </w:tcBorders>
            <w:shd w:val="clear" w:color="auto" w:fill="4F81BD" w:themeFill="accent1"/>
            <w:vAlign w:val="center"/>
          </w:tcPr>
          <w:p w:rsidR="001B66FB" w:rsidRDefault="001B66FB">
            <w:pPr>
              <w:widowControl/>
              <w:jc w:val="center"/>
              <w:rPr>
                <w:rFonts w:ascii="仿宋" w:eastAsia="仿宋" w:hAnsi="仿宋" w:cs="宋体"/>
                <w:color w:val="000000"/>
                <w:kern w:val="0"/>
                <w:sz w:val="22"/>
                <w:szCs w:val="22"/>
              </w:rPr>
            </w:pPr>
          </w:p>
        </w:tc>
        <w:tc>
          <w:tcPr>
            <w:tcW w:w="666" w:type="pct"/>
            <w:tcBorders>
              <w:top w:val="nil"/>
              <w:left w:val="nil"/>
              <w:bottom w:val="single" w:sz="4" w:space="0" w:color="auto"/>
              <w:right w:val="single" w:sz="4" w:space="0" w:color="auto"/>
            </w:tcBorders>
            <w:shd w:val="clear" w:color="000000" w:fill="4F81BD"/>
            <w:vAlign w:val="center"/>
          </w:tcPr>
          <w:p w:rsidR="001B66FB" w:rsidRDefault="001B66FB">
            <w:pPr>
              <w:widowControl/>
              <w:jc w:val="center"/>
              <w:rPr>
                <w:rFonts w:ascii="仿宋" w:eastAsia="仿宋" w:hAnsi="仿宋" w:cs="宋体"/>
                <w:color w:val="000000"/>
                <w:kern w:val="0"/>
                <w:sz w:val="22"/>
                <w:szCs w:val="22"/>
              </w:rPr>
            </w:pPr>
          </w:p>
        </w:tc>
        <w:tc>
          <w:tcPr>
            <w:tcW w:w="665" w:type="pct"/>
            <w:tcBorders>
              <w:top w:val="nil"/>
              <w:left w:val="nil"/>
              <w:bottom w:val="single" w:sz="4" w:space="0" w:color="auto"/>
              <w:right w:val="single" w:sz="4" w:space="0" w:color="auto"/>
            </w:tcBorders>
            <w:shd w:val="clear" w:color="000000" w:fill="4F81BD"/>
            <w:vAlign w:val="center"/>
          </w:tcPr>
          <w:p w:rsidR="001B66FB" w:rsidRDefault="001B66FB">
            <w:pPr>
              <w:widowControl/>
              <w:jc w:val="center"/>
              <w:rPr>
                <w:rFonts w:ascii="仿宋" w:eastAsia="仿宋" w:hAnsi="仿宋" w:cs="宋体"/>
                <w:color w:val="000000"/>
                <w:kern w:val="0"/>
                <w:sz w:val="22"/>
                <w:szCs w:val="22"/>
              </w:rPr>
            </w:pPr>
          </w:p>
        </w:tc>
        <w:tc>
          <w:tcPr>
            <w:tcW w:w="665" w:type="pct"/>
            <w:tcBorders>
              <w:top w:val="nil"/>
              <w:left w:val="nil"/>
              <w:bottom w:val="single" w:sz="4" w:space="0" w:color="auto"/>
              <w:right w:val="single" w:sz="4" w:space="0" w:color="auto"/>
            </w:tcBorders>
            <w:shd w:val="clear" w:color="000000" w:fill="4F81BD"/>
            <w:vAlign w:val="center"/>
          </w:tcPr>
          <w:p w:rsidR="001B66FB" w:rsidRDefault="001B66FB">
            <w:pPr>
              <w:widowControl/>
              <w:jc w:val="center"/>
              <w:rPr>
                <w:rFonts w:ascii="仿宋" w:eastAsia="仿宋" w:hAnsi="仿宋" w:cs="宋体"/>
                <w:color w:val="000000"/>
                <w:kern w:val="0"/>
                <w:sz w:val="22"/>
                <w:szCs w:val="22"/>
              </w:rPr>
            </w:pPr>
          </w:p>
        </w:tc>
        <w:tc>
          <w:tcPr>
            <w:tcW w:w="778" w:type="pct"/>
            <w:tcBorders>
              <w:top w:val="nil"/>
              <w:left w:val="nil"/>
              <w:bottom w:val="single" w:sz="4" w:space="0" w:color="auto"/>
              <w:right w:val="single" w:sz="4" w:space="0" w:color="auto"/>
            </w:tcBorders>
            <w:shd w:val="clear" w:color="000000" w:fill="4F81BD"/>
            <w:vAlign w:val="center"/>
          </w:tcPr>
          <w:p w:rsidR="001B66FB" w:rsidRDefault="001B66FB">
            <w:pPr>
              <w:widowControl/>
              <w:jc w:val="center"/>
              <w:rPr>
                <w:rFonts w:ascii="仿宋" w:eastAsia="仿宋" w:hAnsi="仿宋" w:cs="宋体"/>
                <w:color w:val="000000"/>
                <w:kern w:val="0"/>
                <w:sz w:val="22"/>
                <w:szCs w:val="22"/>
              </w:rPr>
            </w:pPr>
          </w:p>
        </w:tc>
      </w:tr>
    </w:tbl>
    <w:p w:rsidR="001B66FB" w:rsidRDefault="00D70846">
      <w:pPr>
        <w:spacing w:line="360" w:lineRule="auto"/>
        <w:ind w:firstLineChars="200" w:firstLine="560"/>
        <w:rPr>
          <w:rFonts w:ascii="仿宋" w:eastAsia="仿宋" w:hAnsi="仿宋"/>
          <w:sz w:val="28"/>
          <w:szCs w:val="28"/>
        </w:rPr>
      </w:pPr>
      <w:r>
        <w:rPr>
          <w:rFonts w:ascii="仿宋" w:eastAsia="仿宋" w:hAnsi="仿宋" w:hint="eastAsia"/>
          <w:sz w:val="28"/>
          <w:szCs w:val="28"/>
        </w:rPr>
        <w:t>其中，硬件设备采购及安装调试预计在项目启动后1个月内完成。</w:t>
      </w:r>
    </w:p>
    <w:p w:rsidR="001B66FB" w:rsidRDefault="00D70846">
      <w:pPr>
        <w:spacing w:beforeLines="50" w:before="156" w:afterLines="50" w:after="156" w:line="360" w:lineRule="auto"/>
        <w:ind w:firstLineChars="200" w:firstLine="562"/>
        <w:outlineLvl w:val="1"/>
        <w:rPr>
          <w:rFonts w:ascii="仿宋" w:eastAsia="仿宋" w:hAnsi="仿宋"/>
          <w:b/>
          <w:sz w:val="28"/>
          <w:szCs w:val="28"/>
        </w:rPr>
      </w:pPr>
      <w:r>
        <w:rPr>
          <w:rFonts w:ascii="仿宋" w:eastAsia="仿宋" w:hAnsi="仿宋" w:hint="eastAsia"/>
          <w:b/>
          <w:sz w:val="28"/>
          <w:szCs w:val="28"/>
        </w:rPr>
        <w:t>（二）项目可行性分析</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1.国家政策支持</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自2020年开始，我国针对新型数据中心与算力中心出台多项规划通知与指导意见，提出新型数据中心基础设施建设是重点布局，以算力平台、智能算力中心为代表的新型基础设施建设受到了极大的关注。云计算数据中心作为新基建的重要领域之一，顺应了国家数字经济产业发展的趋势。</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lastRenderedPageBreak/>
        <w:t>2023年2月，国务院发布《数字中国建设整体布局规划》指出“系统优化算力基础设施布局，促进东西部算力高效互补和协同联动，引导通用数据中心、超算中心、智能计算中心、边缘数据中心等合理梯次布局。”</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2023年7月，科技部发布《关于支持建设国家新一代人工智能公共算力开放创新平台的函》指出“正式批复9个平台建设国家新一代人工智能公共算力开放创新平台，16个平台建设国家新一代人工智能公共算力开放创新平台（筹），这些重磅平台将依托我国不同地区的不同科研单位进行建设。</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2023年10月，工信部发布《算力基础设施高质量发展行动计划》指出”到2025年，算力规模超过300EFLOPS，智能算力占比达到35%，东西部算力平衡协调发展；国家枢纽节点数据中心集群间基本实现不高于理论时延1.5倍的直连网络传输，重点应用场所光传送网(OTN)覆盖率达到80%，骨干网、城域网全面支持IPv6，SRv6等创新技术使用占比达到40%；存储总量超过1800EB，先进存储容量占比达到30%以上，重点行业核心数据、重要数据灾备覆盖率达到100%。</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2023年12月国家发改委等五部门联合发布《关于深入实施“东数西算”工程加快构建全国一体化算力网的实施意见》指出“到2025年，普惠易用、绿色安全的综合算力基础设施体系初步成型，东西部算力协同调度机制逐步完善，通用算力、智能算力、超级算力等多元算力加速集聚，国家枢纽节点地区各类新增算力占全国新增算力60%</w:t>
      </w:r>
      <w:r>
        <w:rPr>
          <w:rFonts w:ascii="仿宋" w:eastAsia="仿宋" w:hAnsi="仿宋" w:hint="eastAsia"/>
          <w:sz w:val="28"/>
          <w:szCs w:val="28"/>
        </w:rPr>
        <w:lastRenderedPageBreak/>
        <w:t>以上，国家枢纽节点算力资源使用率显著超过全国平均水平。</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综上所述，在我国数字经济高速发展的背景下，相关政策陆续出台促进了与其相关的各个行业的技术创新与产品升级，为本项目的实施营造了良好的政策环境，本项目实施具有政策可行性。</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2.场景应用激增，算力需求急切</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AI技术的发展催生了丰富的计算场景，不同的行业、应用场景对算力提出的需求不同。随着人工智能技术的不断升级以及算力、数据、算法等要素的持续迭代，未来AI技术将持续赋能各类文化创意、生产生活，为数字内容生产带来巨大变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智慧城市丰富的应用场景提供了大量的AI训练数据，海量训练数据对于数据中心算力提出更高要求。依托强大的算力可以模拟建立更加高效精准的AI算法模型，这些算法模型在智慧交通、应急管理、防洪减灾、环境保护、地理测绘等政府治理和公共服务场景中有着极大应用空间。</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3.满足公司数字经济战略拓展的需要</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天亿马系一家智慧城市解决方案提供商，致力于融合应用物联网、大数据、云计算、GIS、人工智能等新一代信息技术，为客户提供项目总体规划、方案设计、软件研发、项目实施及运维服务一体化的信息技术解决方案。公司今年9月已布局数据要素产业，已形成“平台（软件研发）+数据”赋能“场景”的战略路径；本项目将向上游延伸公司产业链，全面深化公司数据经济的战略拓展目标，打开公司全</w:t>
      </w:r>
      <w:r>
        <w:rPr>
          <w:rFonts w:ascii="仿宋" w:eastAsia="仿宋" w:hAnsi="仿宋" w:hint="eastAsia"/>
          <w:sz w:val="28"/>
          <w:szCs w:val="28"/>
        </w:rPr>
        <w:lastRenderedPageBreak/>
        <w:t>新发展空间。</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智能算力中心一方面可满足公司数字经济发展战略的需要，为公司提供算力支持，另一方面能产生可观的经济价值与收入，是公司战略拓展的重要一环，具有极高的重要性。</w:t>
      </w:r>
    </w:p>
    <w:p w:rsidR="001B66FB" w:rsidRDefault="00D70846">
      <w:pPr>
        <w:spacing w:beforeLines="50" w:before="156" w:afterLines="50" w:after="156" w:line="360" w:lineRule="auto"/>
        <w:ind w:firstLineChars="200" w:firstLine="562"/>
        <w:outlineLvl w:val="1"/>
        <w:rPr>
          <w:rFonts w:ascii="仿宋" w:eastAsia="仿宋" w:hAnsi="仿宋"/>
          <w:b/>
          <w:sz w:val="28"/>
          <w:szCs w:val="28"/>
        </w:rPr>
      </w:pPr>
      <w:r>
        <w:rPr>
          <w:rFonts w:ascii="仿宋" w:eastAsia="仿宋" w:hAnsi="仿宋" w:hint="eastAsia"/>
          <w:b/>
          <w:sz w:val="28"/>
          <w:szCs w:val="28"/>
        </w:rPr>
        <w:t>（三）项目经济效益分析</w:t>
      </w:r>
    </w:p>
    <w:p w:rsidR="001B66FB" w:rsidRDefault="003E603C" w:rsidP="003E603C">
      <w:pPr>
        <w:spacing w:beforeLines="50" w:before="156" w:afterLines="50" w:after="156" w:line="360" w:lineRule="auto"/>
        <w:ind w:firstLineChars="200" w:firstLine="560"/>
        <w:rPr>
          <w:rFonts w:ascii="仿宋" w:eastAsia="仿宋" w:hAnsi="仿宋"/>
          <w:sz w:val="28"/>
          <w:szCs w:val="28"/>
        </w:rPr>
      </w:pPr>
      <w:r w:rsidRPr="003E603C">
        <w:rPr>
          <w:rFonts w:ascii="仿宋" w:eastAsia="仿宋" w:hAnsi="仿宋" w:hint="eastAsia"/>
          <w:sz w:val="28"/>
          <w:szCs w:val="28"/>
        </w:rPr>
        <w:t>从项目的效益分析来看，</w:t>
      </w:r>
      <w:r w:rsidR="00282561">
        <w:rPr>
          <w:rFonts w:ascii="仿宋" w:eastAsia="仿宋" w:hAnsi="仿宋" w:hint="eastAsia"/>
          <w:sz w:val="28"/>
          <w:szCs w:val="28"/>
        </w:rPr>
        <w:t>新募投</w:t>
      </w:r>
      <w:r w:rsidRPr="003E603C">
        <w:rPr>
          <w:rFonts w:ascii="仿宋" w:eastAsia="仿宋" w:hAnsi="仿宋" w:hint="eastAsia"/>
          <w:sz w:val="28"/>
          <w:szCs w:val="28"/>
        </w:rPr>
        <w:t>项目投资总额为36,229.00万元，经营预测期为5年(含建设期),对应合同服务金额38,255.80万元。项目经营预测期达产后可实现营业收入约 7,218.08 万元/年(不含税)，运营期预计实现毛利总金额约7,423.81 万元。</w:t>
      </w:r>
      <w:r w:rsidR="006A563B">
        <w:rPr>
          <w:rFonts w:ascii="仿宋" w:eastAsia="仿宋" w:hAnsi="仿宋" w:hint="eastAsia"/>
          <w:sz w:val="28"/>
          <w:szCs w:val="28"/>
        </w:rPr>
        <w:t>新募投</w:t>
      </w:r>
      <w:r w:rsidR="00D70846">
        <w:rPr>
          <w:rFonts w:ascii="仿宋" w:eastAsia="仿宋" w:hAnsi="仿宋" w:hint="eastAsia"/>
          <w:sz w:val="28"/>
          <w:szCs w:val="28"/>
        </w:rPr>
        <w:t>项目有利于提高公司的经营能力，符合公司战略发展规划，有助于提升公司综合竞争实力。</w:t>
      </w:r>
    </w:p>
    <w:p w:rsidR="001B66FB" w:rsidRDefault="00D70846">
      <w:pPr>
        <w:spacing w:beforeLines="50" w:before="156" w:afterLines="50" w:after="156" w:line="360" w:lineRule="auto"/>
        <w:ind w:firstLineChars="200" w:firstLine="562"/>
        <w:outlineLvl w:val="1"/>
        <w:rPr>
          <w:rFonts w:ascii="仿宋" w:eastAsia="仿宋" w:hAnsi="仿宋"/>
          <w:b/>
          <w:sz w:val="28"/>
          <w:szCs w:val="28"/>
        </w:rPr>
      </w:pPr>
      <w:r>
        <w:rPr>
          <w:rFonts w:ascii="仿宋" w:eastAsia="仿宋" w:hAnsi="仿宋" w:hint="eastAsia"/>
          <w:b/>
          <w:sz w:val="28"/>
          <w:szCs w:val="28"/>
        </w:rPr>
        <w:t>（四）项目风险分析及应对措施</w:t>
      </w:r>
    </w:p>
    <w:p w:rsidR="001B66FB" w:rsidRDefault="00D70846">
      <w:pPr>
        <w:spacing w:beforeLines="50" w:before="156" w:afterLines="50" w:after="156" w:line="360" w:lineRule="auto"/>
        <w:ind w:firstLineChars="200" w:firstLine="560"/>
        <w:rPr>
          <w:rFonts w:ascii="仿宋" w:eastAsia="仿宋" w:hAnsi="仿宋"/>
          <w:sz w:val="28"/>
          <w:szCs w:val="28"/>
        </w:rPr>
      </w:pPr>
      <w:bookmarkStart w:id="2" w:name="_Toc409875551"/>
      <w:bookmarkStart w:id="3" w:name="_Toc139037901"/>
      <w:r>
        <w:rPr>
          <w:rFonts w:ascii="仿宋" w:eastAsia="仿宋" w:hAnsi="仿宋" w:hint="eastAsia"/>
          <w:sz w:val="28"/>
          <w:szCs w:val="28"/>
        </w:rPr>
        <w:t>1.产业政策变化风险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自国家重视AI相关行业以来，各地政府、行业协会纷纷出台大数据、算力扶持政策，推动算力市场发展，产业迎来高速发展。如未来出现相关产业政策发生变化，可能会对公司的生产经营产生一定不利影响。公司将积极关注行业政策变化，加强与上下游客户沟通，一同应对相应风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2.项目运营风险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在后期的运营与维护中，项目可能面临同业竞争加剧、市场价格</w:t>
      </w:r>
      <w:r>
        <w:rPr>
          <w:rFonts w:ascii="仿宋" w:eastAsia="仿宋" w:hAnsi="仿宋" w:hint="eastAsia"/>
          <w:sz w:val="28"/>
          <w:szCs w:val="28"/>
        </w:rPr>
        <w:lastRenderedPageBreak/>
        <w:t>下降等业务风险。同时，算力设备可能存在软硬件设备故障、设备性能下降、维护不当等风险。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sz w:val="28"/>
          <w:szCs w:val="28"/>
        </w:rPr>
        <w:t>公司将积极加强商务团队和运维团队建设，在项目推动和运营过程中建立专项小组，各个部门协同参与推进，形成业务合力，最大限度的降低项目运营成本，</w:t>
      </w:r>
      <w:r>
        <w:rPr>
          <w:rFonts w:ascii="仿宋" w:eastAsia="仿宋" w:hAnsi="仿宋" w:hint="eastAsia"/>
          <w:sz w:val="28"/>
          <w:szCs w:val="28"/>
        </w:rPr>
        <w:t>提升运营管理质量，</w:t>
      </w:r>
      <w:r>
        <w:rPr>
          <w:rFonts w:ascii="仿宋" w:eastAsia="仿宋" w:hAnsi="仿宋"/>
          <w:sz w:val="28"/>
          <w:szCs w:val="28"/>
        </w:rPr>
        <w:t>以应对相应风险，达成市场拓展目标和运营目标。</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3.产品技术迭代风险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公司所属行业为技术密集型行业，算力技术更新迭代速度快，市场需求变化快。新的算法、新的芯片、新的技术可能在未来行业中不断涌现，每一项技术的更新都可能对行业的竞争格局、成本效益、业务拓展等产生重大的影响。因此公司面临因产品技术迭代产生的市场竞争加剧的风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公司将紧跟算力技术更新的步伐，加强算力人才匹配，关注算力前沿技术发展趋势，扩大与国内外先进算力研发应用机构合作，以应对技术更新变化。</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4.技术人才流失风险</w:t>
      </w:r>
    </w:p>
    <w:p w:rsidR="001B66FB" w:rsidRDefault="005936FD">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新募投</w:t>
      </w:r>
      <w:r w:rsidR="00D70846">
        <w:rPr>
          <w:rFonts w:ascii="仿宋" w:eastAsia="仿宋" w:hAnsi="仿宋" w:hint="eastAsia"/>
          <w:sz w:val="28"/>
          <w:szCs w:val="28"/>
        </w:rPr>
        <w:t>项目对核心技术人员的依赖程度较高，保持核心人员稳定是项目运营和发展的根本。核心人员的流失，可能会造成产能、品质、服务不及预期的风险，并对公司和项目长期稳定发展带来一定的不利影响。</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lastRenderedPageBreak/>
        <w:t>为此，公司将提供有竞争力的薪酬，同时建立与业绩挂钩的奖励制度及条款，加强对技术人员团队的有效管理、建立持续高效的运作体系，确保公司及项目核心技术人员的稳定。公司将通过资源整合、人员调配、内部控制等诸多方面进行调整、优化，提升管理效率，打造高效团队。</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5.不可抗力风险</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若因宏观经济波动、市场供需变化、以及其他不可抗力因素可能导致市场未来发展状况不及预期，有可能对本项目的预期效益产生不利影响。公司将积极应对不可抗力风险，通过搭建稳定的团队及制定完善的激励机制等措施，以期获得预期的商业回报。</w:t>
      </w:r>
    </w:p>
    <w:p w:rsidR="001B66FB" w:rsidRDefault="00D70846">
      <w:pPr>
        <w:spacing w:beforeLines="50" w:before="156" w:afterLines="50" w:after="156" w:line="360" w:lineRule="auto"/>
        <w:ind w:firstLineChars="200" w:firstLine="562"/>
        <w:outlineLvl w:val="0"/>
        <w:rPr>
          <w:rFonts w:ascii="仿宋" w:eastAsia="仿宋" w:hAnsi="仿宋"/>
          <w:b/>
          <w:sz w:val="28"/>
          <w:szCs w:val="28"/>
        </w:rPr>
      </w:pPr>
      <w:r>
        <w:rPr>
          <w:rFonts w:ascii="仿宋" w:eastAsia="仿宋" w:hAnsi="仿宋" w:hint="eastAsia"/>
          <w:b/>
          <w:sz w:val="28"/>
          <w:szCs w:val="28"/>
        </w:rPr>
        <w:t>四</w:t>
      </w:r>
      <w:r>
        <w:rPr>
          <w:rFonts w:ascii="仿宋" w:eastAsia="仿宋" w:hAnsi="仿宋"/>
          <w:b/>
          <w:sz w:val="28"/>
          <w:szCs w:val="28"/>
        </w:rPr>
        <w:t>、</w:t>
      </w:r>
      <w:r>
        <w:rPr>
          <w:rFonts w:ascii="仿宋" w:eastAsia="仿宋" w:hAnsi="仿宋" w:hint="eastAsia"/>
          <w:b/>
          <w:sz w:val="28"/>
          <w:szCs w:val="28"/>
        </w:rPr>
        <w:t>监事会、保荐人对变更募投项目的意见</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t>（一）监事会意见</w:t>
      </w:r>
    </w:p>
    <w:p w:rsidR="001B66FB" w:rsidRDefault="00D70846">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szCs w:val="28"/>
        </w:rPr>
        <w:t>经审议，监事会认为：公司本次变更募集资金用途，符合公司全面深化公司数据经济的战略拓展目标，契合未来发展战略，有利于提高募集资金使用效率和长远利益。本次变更部分募集资金用途已经履行了必要的决策程序，符合《上市公司监管指引第2号——上市公司募集资金管理和使用的监管要求》《上市规则》《创业板规范运作指引》和《公司章程》等规定，符合公司及全体股东的利益，不存在损害</w:t>
      </w:r>
      <w:r>
        <w:rPr>
          <w:rFonts w:ascii="仿宋" w:eastAsia="仿宋" w:hAnsi="仿宋" w:hint="eastAsia"/>
          <w:sz w:val="28"/>
        </w:rPr>
        <w:t>公司及全体股东利益的情形。</w:t>
      </w:r>
    </w:p>
    <w:p w:rsidR="001B66FB" w:rsidRDefault="00D70846">
      <w:pPr>
        <w:pStyle w:val="a9"/>
        <w:shd w:val="clear" w:color="auto" w:fill="FFFFFF"/>
        <w:spacing w:beforeLines="50" w:before="156" w:beforeAutospacing="0" w:after="0" w:afterAutospacing="0" w:line="360" w:lineRule="auto"/>
        <w:ind w:firstLine="420"/>
        <w:jc w:val="both"/>
        <w:rPr>
          <w:rFonts w:ascii="仿宋" w:eastAsia="仿宋" w:hAnsi="仿宋" w:cs="Times New Roman"/>
          <w:kern w:val="2"/>
          <w:sz w:val="28"/>
          <w:szCs w:val="28"/>
        </w:rPr>
      </w:pPr>
      <w:r>
        <w:rPr>
          <w:rFonts w:ascii="仿宋" w:eastAsia="仿宋" w:hAnsi="仿宋" w:cs="Times New Roman" w:hint="eastAsia"/>
          <w:kern w:val="2"/>
          <w:sz w:val="28"/>
          <w:szCs w:val="28"/>
        </w:rPr>
        <w:t>综上所述，监事会同意该议案并同意将其提交至股东会审议。</w:t>
      </w:r>
    </w:p>
    <w:p w:rsidR="001B66FB" w:rsidRDefault="00D70846">
      <w:pPr>
        <w:spacing w:beforeLines="50" w:before="156" w:afterLines="50" w:after="156" w:line="360" w:lineRule="auto"/>
        <w:ind w:firstLineChars="200" w:firstLine="560"/>
        <w:outlineLvl w:val="1"/>
        <w:rPr>
          <w:rFonts w:ascii="仿宋" w:eastAsia="仿宋" w:hAnsi="仿宋"/>
          <w:sz w:val="28"/>
          <w:szCs w:val="28"/>
        </w:rPr>
      </w:pPr>
      <w:r>
        <w:rPr>
          <w:rFonts w:ascii="仿宋" w:eastAsia="仿宋" w:hAnsi="仿宋" w:hint="eastAsia"/>
          <w:sz w:val="28"/>
          <w:szCs w:val="28"/>
        </w:rPr>
        <w:lastRenderedPageBreak/>
        <w:t>（二）保荐机构意见</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经核查，保荐机构认为：公司本次变更部分募集资金用途事项已经公司董事会、监事会审议通过，履行了现阶段必要的审议程序，尚需公司股东会审议通过。本次变更部分募集资金用途事项系公司根据实际情况进行的调整，符合《上市公司监管指引第2号——上市公司募集资金管理和使用的监管要求》《上市规则》《创业板规范运作指引》等相关法律、法规和规范性文件的规定，不存在损害公司及股东利益的情形。</w:t>
      </w:r>
    </w:p>
    <w:p w:rsidR="001B66FB" w:rsidRDefault="00D70846">
      <w:pPr>
        <w:spacing w:beforeLines="50" w:before="156" w:afterLines="50" w:after="156" w:line="360" w:lineRule="auto"/>
        <w:ind w:firstLineChars="200" w:firstLine="562"/>
        <w:outlineLvl w:val="0"/>
        <w:rPr>
          <w:rFonts w:ascii="仿宋" w:eastAsia="仿宋" w:hAnsi="仿宋"/>
          <w:b/>
          <w:sz w:val="28"/>
          <w:szCs w:val="28"/>
        </w:rPr>
      </w:pPr>
      <w:r>
        <w:rPr>
          <w:rFonts w:ascii="仿宋" w:eastAsia="仿宋" w:hAnsi="仿宋" w:hint="eastAsia"/>
          <w:b/>
          <w:sz w:val="28"/>
          <w:szCs w:val="28"/>
        </w:rPr>
        <w:t>五</w:t>
      </w:r>
      <w:r>
        <w:rPr>
          <w:rFonts w:ascii="仿宋" w:eastAsia="仿宋" w:hAnsi="仿宋"/>
          <w:b/>
          <w:sz w:val="28"/>
          <w:szCs w:val="28"/>
        </w:rPr>
        <w:t>、备查文件</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广东天亿马信息产业股份有限公司第</w:t>
      </w:r>
      <w:r>
        <w:rPr>
          <w:rFonts w:ascii="仿宋" w:eastAsia="仿宋" w:hAnsi="仿宋" w:hint="eastAsia"/>
          <w:sz w:val="28"/>
          <w:szCs w:val="28"/>
        </w:rPr>
        <w:t>三</w:t>
      </w:r>
      <w:r>
        <w:rPr>
          <w:rFonts w:ascii="仿宋" w:eastAsia="仿宋" w:hAnsi="仿宋"/>
          <w:sz w:val="28"/>
          <w:szCs w:val="28"/>
        </w:rPr>
        <w:t>届董事会第</w:t>
      </w:r>
      <w:r>
        <w:rPr>
          <w:rFonts w:ascii="仿宋" w:eastAsia="仿宋" w:hAnsi="仿宋" w:hint="eastAsia"/>
          <w:sz w:val="28"/>
          <w:szCs w:val="28"/>
        </w:rPr>
        <w:t>二十六</w:t>
      </w:r>
      <w:r>
        <w:rPr>
          <w:rFonts w:ascii="仿宋" w:eastAsia="仿宋" w:hAnsi="仿宋"/>
          <w:sz w:val="28"/>
          <w:szCs w:val="28"/>
        </w:rPr>
        <w:t>次会议决议</w:t>
      </w:r>
      <w:r>
        <w:rPr>
          <w:rFonts w:ascii="仿宋" w:eastAsia="仿宋" w:hAnsi="仿宋" w:hint="eastAsia"/>
          <w:sz w:val="28"/>
          <w:szCs w:val="28"/>
        </w:rPr>
        <w:t>》；</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广东天亿马信息产业股份有限公司第</w:t>
      </w:r>
      <w:r>
        <w:rPr>
          <w:rFonts w:ascii="仿宋" w:eastAsia="仿宋" w:hAnsi="仿宋" w:hint="eastAsia"/>
          <w:sz w:val="28"/>
          <w:szCs w:val="28"/>
        </w:rPr>
        <w:t>三</w:t>
      </w:r>
      <w:r>
        <w:rPr>
          <w:rFonts w:ascii="仿宋" w:eastAsia="仿宋" w:hAnsi="仿宋"/>
          <w:sz w:val="28"/>
          <w:szCs w:val="28"/>
        </w:rPr>
        <w:t>届监事会第</w:t>
      </w:r>
      <w:r>
        <w:rPr>
          <w:rFonts w:ascii="仿宋" w:eastAsia="仿宋" w:hAnsi="仿宋" w:hint="eastAsia"/>
          <w:sz w:val="28"/>
          <w:szCs w:val="28"/>
        </w:rPr>
        <w:t>二十四</w:t>
      </w:r>
      <w:r>
        <w:rPr>
          <w:rFonts w:ascii="仿宋" w:eastAsia="仿宋" w:hAnsi="仿宋"/>
          <w:sz w:val="28"/>
          <w:szCs w:val="28"/>
        </w:rPr>
        <w:t>次会议决议</w:t>
      </w:r>
      <w:r>
        <w:rPr>
          <w:rFonts w:ascii="仿宋" w:eastAsia="仿宋" w:hAnsi="仿宋" w:hint="eastAsia"/>
          <w:sz w:val="28"/>
          <w:szCs w:val="28"/>
        </w:rPr>
        <w:t>》及</w:t>
      </w:r>
      <w:r w:rsidR="00EB010E">
        <w:rPr>
          <w:rFonts w:ascii="仿宋" w:eastAsia="仿宋" w:hAnsi="仿宋" w:hint="eastAsia"/>
          <w:sz w:val="28"/>
        </w:rPr>
        <w:t>及《广东天亿马信息产业股份</w:t>
      </w:r>
      <w:bookmarkStart w:id="4" w:name="_GoBack"/>
      <w:bookmarkEnd w:id="4"/>
      <w:r w:rsidR="00EB010E">
        <w:rPr>
          <w:rFonts w:ascii="仿宋" w:eastAsia="仿宋" w:hAnsi="仿宋" w:hint="eastAsia"/>
          <w:sz w:val="28"/>
        </w:rPr>
        <w:t>有限公司监事会关于公司第三</w:t>
      </w:r>
      <w:r w:rsidR="00EB010E" w:rsidRPr="003B735D">
        <w:rPr>
          <w:rFonts w:ascii="仿宋" w:eastAsia="仿宋" w:hAnsi="仿宋" w:hint="eastAsia"/>
          <w:sz w:val="28"/>
        </w:rPr>
        <w:t>届监事会第</w:t>
      </w:r>
      <w:r w:rsidR="00EB010E">
        <w:rPr>
          <w:rFonts w:ascii="仿宋" w:eastAsia="仿宋" w:hAnsi="仿宋" w:hint="eastAsia"/>
          <w:sz w:val="28"/>
        </w:rPr>
        <w:t>二十四</w:t>
      </w:r>
      <w:r w:rsidR="00EB010E" w:rsidRPr="003B735D">
        <w:rPr>
          <w:rFonts w:ascii="仿宋" w:eastAsia="仿宋" w:hAnsi="仿宋" w:hint="eastAsia"/>
          <w:sz w:val="28"/>
        </w:rPr>
        <w:t>次会议相关事项的意见</w:t>
      </w:r>
      <w:r w:rsidR="00EB010E">
        <w:rPr>
          <w:rFonts w:ascii="仿宋" w:eastAsia="仿宋" w:hAnsi="仿宋" w:hint="eastAsia"/>
          <w:sz w:val="28"/>
        </w:rPr>
        <w:t>》</w:t>
      </w:r>
      <w:r>
        <w:rPr>
          <w:rFonts w:ascii="仿宋" w:eastAsia="仿宋" w:hAnsi="仿宋" w:hint="eastAsia"/>
          <w:sz w:val="28"/>
          <w:szCs w:val="28"/>
        </w:rPr>
        <w:t>；</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（三）《</w:t>
      </w:r>
      <w:r>
        <w:rPr>
          <w:rFonts w:ascii="仿宋" w:eastAsia="仿宋" w:hAnsi="仿宋"/>
          <w:sz w:val="28"/>
          <w:szCs w:val="28"/>
        </w:rPr>
        <w:t>五矿证券有限公司关于广东天亿马信息产业股份有限公司变更募集资金用途的核查意见</w:t>
      </w:r>
      <w:r>
        <w:rPr>
          <w:rFonts w:ascii="仿宋" w:eastAsia="仿宋" w:hAnsi="仿宋" w:hint="eastAsia"/>
          <w:sz w:val="28"/>
          <w:szCs w:val="28"/>
        </w:rPr>
        <w:t>》。</w:t>
      </w:r>
    </w:p>
    <w:p w:rsidR="001B66FB" w:rsidRDefault="00D70846">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sz w:val="28"/>
          <w:szCs w:val="28"/>
        </w:rPr>
        <w:t>特此公告。</w:t>
      </w:r>
    </w:p>
    <w:p w:rsidR="001B66FB" w:rsidRDefault="00D70846">
      <w:pPr>
        <w:spacing w:beforeLines="50" w:before="156" w:afterLines="50" w:after="156" w:line="360" w:lineRule="auto"/>
        <w:ind w:firstLineChars="200" w:firstLine="560"/>
        <w:jc w:val="right"/>
        <w:rPr>
          <w:rFonts w:ascii="仿宋" w:eastAsia="仿宋" w:hAnsi="仿宋"/>
          <w:sz w:val="28"/>
          <w:szCs w:val="28"/>
        </w:rPr>
      </w:pPr>
      <w:r>
        <w:rPr>
          <w:rFonts w:ascii="仿宋" w:eastAsia="仿宋" w:hAnsi="仿宋"/>
          <w:sz w:val="28"/>
          <w:szCs w:val="28"/>
        </w:rPr>
        <w:t>广东天亿马信息产业股份有限公司</w:t>
      </w:r>
    </w:p>
    <w:p w:rsidR="001B66FB" w:rsidRDefault="00D70846">
      <w:pPr>
        <w:spacing w:beforeLines="50" w:before="156" w:afterLines="50" w:after="156" w:line="360" w:lineRule="auto"/>
        <w:ind w:firstLineChars="200" w:firstLine="560"/>
        <w:jc w:val="right"/>
        <w:rPr>
          <w:rFonts w:ascii="仿宋" w:eastAsia="仿宋" w:hAnsi="仿宋"/>
          <w:sz w:val="28"/>
          <w:szCs w:val="28"/>
        </w:rPr>
      </w:pPr>
      <w:r>
        <w:rPr>
          <w:rFonts w:ascii="仿宋" w:eastAsia="仿宋" w:hAnsi="仿宋"/>
          <w:sz w:val="28"/>
          <w:szCs w:val="28"/>
        </w:rPr>
        <w:t>董事会</w:t>
      </w:r>
    </w:p>
    <w:p w:rsidR="001B66FB" w:rsidRDefault="00D70846">
      <w:pPr>
        <w:spacing w:beforeLines="50" w:before="156" w:afterLines="50" w:after="156" w:line="360" w:lineRule="auto"/>
        <w:ind w:firstLineChars="200" w:firstLine="560"/>
        <w:jc w:val="right"/>
        <w:rPr>
          <w:rFonts w:ascii="仿宋" w:eastAsia="仿宋" w:hAnsi="仿宋"/>
          <w:sz w:val="28"/>
          <w:szCs w:val="28"/>
        </w:rPr>
      </w:pPr>
      <w:r>
        <w:rPr>
          <w:rFonts w:ascii="仿宋" w:eastAsia="仿宋" w:hAnsi="仿宋"/>
          <w:sz w:val="28"/>
          <w:szCs w:val="28"/>
        </w:rPr>
        <w:t>202</w:t>
      </w:r>
      <w:r>
        <w:rPr>
          <w:rFonts w:ascii="仿宋" w:eastAsia="仿宋" w:hAnsi="仿宋" w:hint="eastAsia"/>
          <w:sz w:val="28"/>
          <w:szCs w:val="28"/>
        </w:rPr>
        <w:t>4</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12</w:t>
      </w:r>
      <w:r>
        <w:rPr>
          <w:rFonts w:ascii="仿宋" w:eastAsia="仿宋" w:hAnsi="仿宋"/>
          <w:sz w:val="28"/>
          <w:szCs w:val="28"/>
        </w:rPr>
        <w:t>日</w:t>
      </w:r>
      <w:bookmarkEnd w:id="2"/>
      <w:bookmarkEnd w:id="3"/>
    </w:p>
    <w:sectPr w:rsidR="001B66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BC0" w:rsidRDefault="00F53BC0" w:rsidP="00E05238">
      <w:r>
        <w:separator/>
      </w:r>
    </w:p>
  </w:endnote>
  <w:endnote w:type="continuationSeparator" w:id="0">
    <w:p w:rsidR="00F53BC0" w:rsidRDefault="00F53BC0" w:rsidP="00E05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BC0" w:rsidRDefault="00F53BC0" w:rsidP="00E05238">
      <w:r>
        <w:separator/>
      </w:r>
    </w:p>
  </w:footnote>
  <w:footnote w:type="continuationSeparator" w:id="0">
    <w:p w:rsidR="00F53BC0" w:rsidRDefault="00F53BC0" w:rsidP="00E052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E91"/>
    <w:rsid w:val="00003E93"/>
    <w:rsid w:val="000049B2"/>
    <w:rsid w:val="00013D61"/>
    <w:rsid w:val="00017FCA"/>
    <w:rsid w:val="00020B25"/>
    <w:rsid w:val="00030A45"/>
    <w:rsid w:val="00031940"/>
    <w:rsid w:val="00035BD2"/>
    <w:rsid w:val="000407E9"/>
    <w:rsid w:val="0004214C"/>
    <w:rsid w:val="00046B19"/>
    <w:rsid w:val="00047237"/>
    <w:rsid w:val="0004779F"/>
    <w:rsid w:val="00052B98"/>
    <w:rsid w:val="00053BFA"/>
    <w:rsid w:val="00053D91"/>
    <w:rsid w:val="00055546"/>
    <w:rsid w:val="00062A33"/>
    <w:rsid w:val="0006688E"/>
    <w:rsid w:val="000720D6"/>
    <w:rsid w:val="00077533"/>
    <w:rsid w:val="0009278A"/>
    <w:rsid w:val="000942B9"/>
    <w:rsid w:val="00095F5E"/>
    <w:rsid w:val="00096F07"/>
    <w:rsid w:val="000A781F"/>
    <w:rsid w:val="000B027D"/>
    <w:rsid w:val="000B30B3"/>
    <w:rsid w:val="000B4FB1"/>
    <w:rsid w:val="000C0073"/>
    <w:rsid w:val="000C2B6C"/>
    <w:rsid w:val="000C654C"/>
    <w:rsid w:val="000C6E91"/>
    <w:rsid w:val="000D25E5"/>
    <w:rsid w:val="000E1D3D"/>
    <w:rsid w:val="000E582A"/>
    <w:rsid w:val="000E7F9A"/>
    <w:rsid w:val="000F18E8"/>
    <w:rsid w:val="000F2373"/>
    <w:rsid w:val="000F2CF7"/>
    <w:rsid w:val="000F5532"/>
    <w:rsid w:val="001000F7"/>
    <w:rsid w:val="00101178"/>
    <w:rsid w:val="00121B3E"/>
    <w:rsid w:val="0012327B"/>
    <w:rsid w:val="00125200"/>
    <w:rsid w:val="00125C1B"/>
    <w:rsid w:val="001326F0"/>
    <w:rsid w:val="001340A7"/>
    <w:rsid w:val="0013485E"/>
    <w:rsid w:val="00147EF3"/>
    <w:rsid w:val="00155201"/>
    <w:rsid w:val="001607CB"/>
    <w:rsid w:val="00163FD2"/>
    <w:rsid w:val="001647F1"/>
    <w:rsid w:val="0016530E"/>
    <w:rsid w:val="0016699A"/>
    <w:rsid w:val="00172EEA"/>
    <w:rsid w:val="0017428D"/>
    <w:rsid w:val="00177ABC"/>
    <w:rsid w:val="001845C8"/>
    <w:rsid w:val="00186049"/>
    <w:rsid w:val="0018689F"/>
    <w:rsid w:val="001966C9"/>
    <w:rsid w:val="00197E45"/>
    <w:rsid w:val="001A137C"/>
    <w:rsid w:val="001A4E56"/>
    <w:rsid w:val="001A6CB8"/>
    <w:rsid w:val="001A7A4E"/>
    <w:rsid w:val="001B66FB"/>
    <w:rsid w:val="001C2BC7"/>
    <w:rsid w:val="001C51F5"/>
    <w:rsid w:val="001C74E2"/>
    <w:rsid w:val="001C7A52"/>
    <w:rsid w:val="001E271F"/>
    <w:rsid w:val="001E5B42"/>
    <w:rsid w:val="001E6978"/>
    <w:rsid w:val="001F4B67"/>
    <w:rsid w:val="00200E65"/>
    <w:rsid w:val="00203025"/>
    <w:rsid w:val="00206BBA"/>
    <w:rsid w:val="00212959"/>
    <w:rsid w:val="002200BC"/>
    <w:rsid w:val="002234CB"/>
    <w:rsid w:val="002444A1"/>
    <w:rsid w:val="00250325"/>
    <w:rsid w:val="00254BC5"/>
    <w:rsid w:val="00256208"/>
    <w:rsid w:val="0026072E"/>
    <w:rsid w:val="00261782"/>
    <w:rsid w:val="002666E7"/>
    <w:rsid w:val="00271B82"/>
    <w:rsid w:val="00282561"/>
    <w:rsid w:val="0028271B"/>
    <w:rsid w:val="002856C0"/>
    <w:rsid w:val="00287DFE"/>
    <w:rsid w:val="00293B0B"/>
    <w:rsid w:val="00294EB2"/>
    <w:rsid w:val="002A468D"/>
    <w:rsid w:val="002B28D2"/>
    <w:rsid w:val="002B6649"/>
    <w:rsid w:val="002B7977"/>
    <w:rsid w:val="002D0A99"/>
    <w:rsid w:val="002D2690"/>
    <w:rsid w:val="002D278B"/>
    <w:rsid w:val="002D3A09"/>
    <w:rsid w:val="002E2AFA"/>
    <w:rsid w:val="002E320B"/>
    <w:rsid w:val="002E4087"/>
    <w:rsid w:val="002F0583"/>
    <w:rsid w:val="003006A5"/>
    <w:rsid w:val="00301E43"/>
    <w:rsid w:val="00301EA8"/>
    <w:rsid w:val="00304E8B"/>
    <w:rsid w:val="003078DD"/>
    <w:rsid w:val="00314060"/>
    <w:rsid w:val="00314615"/>
    <w:rsid w:val="003177FE"/>
    <w:rsid w:val="00322916"/>
    <w:rsid w:val="00323A2D"/>
    <w:rsid w:val="00324424"/>
    <w:rsid w:val="003258A3"/>
    <w:rsid w:val="003348D9"/>
    <w:rsid w:val="00337D9A"/>
    <w:rsid w:val="0034213E"/>
    <w:rsid w:val="003449BF"/>
    <w:rsid w:val="00346380"/>
    <w:rsid w:val="00350A53"/>
    <w:rsid w:val="00357462"/>
    <w:rsid w:val="00357A32"/>
    <w:rsid w:val="00360908"/>
    <w:rsid w:val="00362373"/>
    <w:rsid w:val="003716F0"/>
    <w:rsid w:val="00371D0F"/>
    <w:rsid w:val="00372207"/>
    <w:rsid w:val="00373890"/>
    <w:rsid w:val="00375238"/>
    <w:rsid w:val="00376FED"/>
    <w:rsid w:val="00380C5F"/>
    <w:rsid w:val="00382431"/>
    <w:rsid w:val="0039330A"/>
    <w:rsid w:val="00394278"/>
    <w:rsid w:val="003956B2"/>
    <w:rsid w:val="0039645A"/>
    <w:rsid w:val="003A2181"/>
    <w:rsid w:val="003A2420"/>
    <w:rsid w:val="003A2E7E"/>
    <w:rsid w:val="003A6E49"/>
    <w:rsid w:val="003B0B3C"/>
    <w:rsid w:val="003B5E45"/>
    <w:rsid w:val="003C3377"/>
    <w:rsid w:val="003D0A73"/>
    <w:rsid w:val="003D18FD"/>
    <w:rsid w:val="003E13E0"/>
    <w:rsid w:val="003E1AA9"/>
    <w:rsid w:val="003E603C"/>
    <w:rsid w:val="003F5764"/>
    <w:rsid w:val="00404029"/>
    <w:rsid w:val="00405C35"/>
    <w:rsid w:val="004123DC"/>
    <w:rsid w:val="00413F2C"/>
    <w:rsid w:val="00416B0E"/>
    <w:rsid w:val="00416EE3"/>
    <w:rsid w:val="00420E4E"/>
    <w:rsid w:val="0042503E"/>
    <w:rsid w:val="0042509C"/>
    <w:rsid w:val="00433AA9"/>
    <w:rsid w:val="00435B88"/>
    <w:rsid w:val="004510A6"/>
    <w:rsid w:val="00453529"/>
    <w:rsid w:val="00453884"/>
    <w:rsid w:val="00455FDF"/>
    <w:rsid w:val="004600B8"/>
    <w:rsid w:val="004631CD"/>
    <w:rsid w:val="00465DBB"/>
    <w:rsid w:val="00471542"/>
    <w:rsid w:val="004754E0"/>
    <w:rsid w:val="004800C8"/>
    <w:rsid w:val="00480B14"/>
    <w:rsid w:val="00480E58"/>
    <w:rsid w:val="0048151A"/>
    <w:rsid w:val="00483549"/>
    <w:rsid w:val="00485833"/>
    <w:rsid w:val="004925E8"/>
    <w:rsid w:val="004945D1"/>
    <w:rsid w:val="00497517"/>
    <w:rsid w:val="004A573C"/>
    <w:rsid w:val="004A6724"/>
    <w:rsid w:val="004B0790"/>
    <w:rsid w:val="004B090F"/>
    <w:rsid w:val="004B1557"/>
    <w:rsid w:val="004B59EF"/>
    <w:rsid w:val="004C7281"/>
    <w:rsid w:val="004D264A"/>
    <w:rsid w:val="004D4D58"/>
    <w:rsid w:val="004D626D"/>
    <w:rsid w:val="004E5717"/>
    <w:rsid w:val="004F1E46"/>
    <w:rsid w:val="004F38B3"/>
    <w:rsid w:val="004F6041"/>
    <w:rsid w:val="004F7252"/>
    <w:rsid w:val="00500A8E"/>
    <w:rsid w:val="005022E2"/>
    <w:rsid w:val="005024EA"/>
    <w:rsid w:val="00503C2D"/>
    <w:rsid w:val="0050651D"/>
    <w:rsid w:val="00506984"/>
    <w:rsid w:val="00507FF9"/>
    <w:rsid w:val="00514904"/>
    <w:rsid w:val="005222B9"/>
    <w:rsid w:val="00525091"/>
    <w:rsid w:val="005300F3"/>
    <w:rsid w:val="00531053"/>
    <w:rsid w:val="00531E87"/>
    <w:rsid w:val="0053399F"/>
    <w:rsid w:val="00535187"/>
    <w:rsid w:val="00535C76"/>
    <w:rsid w:val="00537B6A"/>
    <w:rsid w:val="005402C2"/>
    <w:rsid w:val="00547369"/>
    <w:rsid w:val="00554FDB"/>
    <w:rsid w:val="005551BC"/>
    <w:rsid w:val="00555FC4"/>
    <w:rsid w:val="005628E6"/>
    <w:rsid w:val="005663C6"/>
    <w:rsid w:val="00566E9A"/>
    <w:rsid w:val="0056772E"/>
    <w:rsid w:val="005716A8"/>
    <w:rsid w:val="00574160"/>
    <w:rsid w:val="005741EE"/>
    <w:rsid w:val="005760C2"/>
    <w:rsid w:val="005767E0"/>
    <w:rsid w:val="00580B44"/>
    <w:rsid w:val="00584910"/>
    <w:rsid w:val="005917BC"/>
    <w:rsid w:val="00591A09"/>
    <w:rsid w:val="005936FD"/>
    <w:rsid w:val="005A0A23"/>
    <w:rsid w:val="005A332B"/>
    <w:rsid w:val="005A4854"/>
    <w:rsid w:val="005B044D"/>
    <w:rsid w:val="005B50AF"/>
    <w:rsid w:val="005C0569"/>
    <w:rsid w:val="005C15C5"/>
    <w:rsid w:val="005C48D6"/>
    <w:rsid w:val="005C5443"/>
    <w:rsid w:val="005C6CEA"/>
    <w:rsid w:val="005D36E4"/>
    <w:rsid w:val="005D6630"/>
    <w:rsid w:val="005D76AD"/>
    <w:rsid w:val="005E4758"/>
    <w:rsid w:val="005E57B5"/>
    <w:rsid w:val="005F2C3B"/>
    <w:rsid w:val="005F5896"/>
    <w:rsid w:val="005F6995"/>
    <w:rsid w:val="005F6AF8"/>
    <w:rsid w:val="005F718F"/>
    <w:rsid w:val="0060775D"/>
    <w:rsid w:val="00607A63"/>
    <w:rsid w:val="0061365D"/>
    <w:rsid w:val="00613680"/>
    <w:rsid w:val="00617316"/>
    <w:rsid w:val="00625F1F"/>
    <w:rsid w:val="00626D9A"/>
    <w:rsid w:val="00632827"/>
    <w:rsid w:val="0064385D"/>
    <w:rsid w:val="006449E9"/>
    <w:rsid w:val="00650867"/>
    <w:rsid w:val="00653FE8"/>
    <w:rsid w:val="0066200E"/>
    <w:rsid w:val="00666239"/>
    <w:rsid w:val="00671A3B"/>
    <w:rsid w:val="0067246F"/>
    <w:rsid w:val="00676057"/>
    <w:rsid w:val="006779B9"/>
    <w:rsid w:val="006865B1"/>
    <w:rsid w:val="006917A8"/>
    <w:rsid w:val="00695657"/>
    <w:rsid w:val="00696E43"/>
    <w:rsid w:val="006A563B"/>
    <w:rsid w:val="006C1DEB"/>
    <w:rsid w:val="006C2270"/>
    <w:rsid w:val="006C5A72"/>
    <w:rsid w:val="006C6B0A"/>
    <w:rsid w:val="006D01FE"/>
    <w:rsid w:val="006D0736"/>
    <w:rsid w:val="006D3324"/>
    <w:rsid w:val="006D591E"/>
    <w:rsid w:val="006E00EF"/>
    <w:rsid w:val="006E2E02"/>
    <w:rsid w:val="006E32C1"/>
    <w:rsid w:val="006E4DD2"/>
    <w:rsid w:val="006E6413"/>
    <w:rsid w:val="006F1CCF"/>
    <w:rsid w:val="006F62F9"/>
    <w:rsid w:val="00700594"/>
    <w:rsid w:val="0070383C"/>
    <w:rsid w:val="00704888"/>
    <w:rsid w:val="00706703"/>
    <w:rsid w:val="007207C1"/>
    <w:rsid w:val="00723F88"/>
    <w:rsid w:val="0073012D"/>
    <w:rsid w:val="007312D9"/>
    <w:rsid w:val="00732848"/>
    <w:rsid w:val="007364EA"/>
    <w:rsid w:val="007377A1"/>
    <w:rsid w:val="00741737"/>
    <w:rsid w:val="00746655"/>
    <w:rsid w:val="00754888"/>
    <w:rsid w:val="00761F39"/>
    <w:rsid w:val="00762547"/>
    <w:rsid w:val="00766F6D"/>
    <w:rsid w:val="00770113"/>
    <w:rsid w:val="007704A4"/>
    <w:rsid w:val="007715F7"/>
    <w:rsid w:val="007723D6"/>
    <w:rsid w:val="0078216F"/>
    <w:rsid w:val="007944EA"/>
    <w:rsid w:val="007A16A8"/>
    <w:rsid w:val="007B183E"/>
    <w:rsid w:val="007B23B9"/>
    <w:rsid w:val="007B269A"/>
    <w:rsid w:val="007B3A17"/>
    <w:rsid w:val="007C24DD"/>
    <w:rsid w:val="007C31B3"/>
    <w:rsid w:val="007C530B"/>
    <w:rsid w:val="007C5449"/>
    <w:rsid w:val="007D0B40"/>
    <w:rsid w:val="007D189A"/>
    <w:rsid w:val="007D59A0"/>
    <w:rsid w:val="007D78F6"/>
    <w:rsid w:val="007E2848"/>
    <w:rsid w:val="007E37EC"/>
    <w:rsid w:val="007E4CE5"/>
    <w:rsid w:val="007E6B2B"/>
    <w:rsid w:val="007F1EB0"/>
    <w:rsid w:val="007F2816"/>
    <w:rsid w:val="007F2CC0"/>
    <w:rsid w:val="007F4B63"/>
    <w:rsid w:val="007F5A87"/>
    <w:rsid w:val="00801A14"/>
    <w:rsid w:val="00803642"/>
    <w:rsid w:val="0081444B"/>
    <w:rsid w:val="00820CE6"/>
    <w:rsid w:val="00826E8A"/>
    <w:rsid w:val="00827E55"/>
    <w:rsid w:val="00830871"/>
    <w:rsid w:val="00835BB0"/>
    <w:rsid w:val="00836CFE"/>
    <w:rsid w:val="0084316A"/>
    <w:rsid w:val="00844BCD"/>
    <w:rsid w:val="00845B15"/>
    <w:rsid w:val="00850BA5"/>
    <w:rsid w:val="00850C87"/>
    <w:rsid w:val="00861ABE"/>
    <w:rsid w:val="00871507"/>
    <w:rsid w:val="00872FEE"/>
    <w:rsid w:val="00874972"/>
    <w:rsid w:val="00877B41"/>
    <w:rsid w:val="00881983"/>
    <w:rsid w:val="008863F8"/>
    <w:rsid w:val="008935AC"/>
    <w:rsid w:val="00897835"/>
    <w:rsid w:val="008A2A0F"/>
    <w:rsid w:val="008A374C"/>
    <w:rsid w:val="008A696B"/>
    <w:rsid w:val="008B5881"/>
    <w:rsid w:val="008B6324"/>
    <w:rsid w:val="008B7CF3"/>
    <w:rsid w:val="008C71A0"/>
    <w:rsid w:val="008D4E3E"/>
    <w:rsid w:val="008D4F9F"/>
    <w:rsid w:val="008D710B"/>
    <w:rsid w:val="008E0BE5"/>
    <w:rsid w:val="008E0D8C"/>
    <w:rsid w:val="008E0F67"/>
    <w:rsid w:val="008E1D12"/>
    <w:rsid w:val="008E43E6"/>
    <w:rsid w:val="008E7D3E"/>
    <w:rsid w:val="008F7771"/>
    <w:rsid w:val="0090229A"/>
    <w:rsid w:val="00910BB4"/>
    <w:rsid w:val="00911782"/>
    <w:rsid w:val="00914A27"/>
    <w:rsid w:val="00920B50"/>
    <w:rsid w:val="00921171"/>
    <w:rsid w:val="00922044"/>
    <w:rsid w:val="0092406C"/>
    <w:rsid w:val="00927FA1"/>
    <w:rsid w:val="00940468"/>
    <w:rsid w:val="00940E5A"/>
    <w:rsid w:val="00942A01"/>
    <w:rsid w:val="00944EDE"/>
    <w:rsid w:val="00946B3D"/>
    <w:rsid w:val="00950C5E"/>
    <w:rsid w:val="00953D07"/>
    <w:rsid w:val="009550FB"/>
    <w:rsid w:val="00970A47"/>
    <w:rsid w:val="00975DDE"/>
    <w:rsid w:val="009840BC"/>
    <w:rsid w:val="00987EDC"/>
    <w:rsid w:val="00994318"/>
    <w:rsid w:val="00995DF3"/>
    <w:rsid w:val="009A4B4E"/>
    <w:rsid w:val="009B0378"/>
    <w:rsid w:val="009B4473"/>
    <w:rsid w:val="009B5C30"/>
    <w:rsid w:val="009B7916"/>
    <w:rsid w:val="009C0D41"/>
    <w:rsid w:val="009C3395"/>
    <w:rsid w:val="009C4443"/>
    <w:rsid w:val="009C7306"/>
    <w:rsid w:val="009C7734"/>
    <w:rsid w:val="009D394A"/>
    <w:rsid w:val="009D592F"/>
    <w:rsid w:val="009E16CA"/>
    <w:rsid w:val="009E3A03"/>
    <w:rsid w:val="009E51D5"/>
    <w:rsid w:val="009E53DD"/>
    <w:rsid w:val="009F0192"/>
    <w:rsid w:val="009F1E14"/>
    <w:rsid w:val="009F404F"/>
    <w:rsid w:val="00A003AD"/>
    <w:rsid w:val="00A00443"/>
    <w:rsid w:val="00A04008"/>
    <w:rsid w:val="00A0567E"/>
    <w:rsid w:val="00A10CE7"/>
    <w:rsid w:val="00A14B70"/>
    <w:rsid w:val="00A21A2E"/>
    <w:rsid w:val="00A239C6"/>
    <w:rsid w:val="00A257EE"/>
    <w:rsid w:val="00A3006D"/>
    <w:rsid w:val="00A31897"/>
    <w:rsid w:val="00A3504C"/>
    <w:rsid w:val="00A37AB8"/>
    <w:rsid w:val="00A41C01"/>
    <w:rsid w:val="00A429E8"/>
    <w:rsid w:val="00A46CE2"/>
    <w:rsid w:val="00A4784D"/>
    <w:rsid w:val="00A51DE1"/>
    <w:rsid w:val="00A52AA8"/>
    <w:rsid w:val="00A559F1"/>
    <w:rsid w:val="00A5704B"/>
    <w:rsid w:val="00A5787E"/>
    <w:rsid w:val="00A6149C"/>
    <w:rsid w:val="00A67367"/>
    <w:rsid w:val="00A758A2"/>
    <w:rsid w:val="00A778D7"/>
    <w:rsid w:val="00A823AD"/>
    <w:rsid w:val="00A83A7C"/>
    <w:rsid w:val="00A84FEA"/>
    <w:rsid w:val="00A85897"/>
    <w:rsid w:val="00A904D8"/>
    <w:rsid w:val="00AA6377"/>
    <w:rsid w:val="00AB2D81"/>
    <w:rsid w:val="00AB3419"/>
    <w:rsid w:val="00AB5126"/>
    <w:rsid w:val="00AB681A"/>
    <w:rsid w:val="00AD278E"/>
    <w:rsid w:val="00AD6338"/>
    <w:rsid w:val="00AD6D02"/>
    <w:rsid w:val="00AE73B3"/>
    <w:rsid w:val="00AF1D9A"/>
    <w:rsid w:val="00AF2273"/>
    <w:rsid w:val="00AF36A7"/>
    <w:rsid w:val="00AF5461"/>
    <w:rsid w:val="00AF5A6C"/>
    <w:rsid w:val="00B00B42"/>
    <w:rsid w:val="00B036A2"/>
    <w:rsid w:val="00B10BCC"/>
    <w:rsid w:val="00B13D7C"/>
    <w:rsid w:val="00B16082"/>
    <w:rsid w:val="00B2154F"/>
    <w:rsid w:val="00B25D07"/>
    <w:rsid w:val="00B26D23"/>
    <w:rsid w:val="00B2766C"/>
    <w:rsid w:val="00B32A1A"/>
    <w:rsid w:val="00B3457B"/>
    <w:rsid w:val="00B41AF5"/>
    <w:rsid w:val="00B41B40"/>
    <w:rsid w:val="00B42338"/>
    <w:rsid w:val="00B46D1F"/>
    <w:rsid w:val="00B47C97"/>
    <w:rsid w:val="00B5053B"/>
    <w:rsid w:val="00B55B7E"/>
    <w:rsid w:val="00B612E0"/>
    <w:rsid w:val="00B63E8D"/>
    <w:rsid w:val="00B70E46"/>
    <w:rsid w:val="00B72926"/>
    <w:rsid w:val="00B8441B"/>
    <w:rsid w:val="00B84FD9"/>
    <w:rsid w:val="00B87462"/>
    <w:rsid w:val="00B904FD"/>
    <w:rsid w:val="00B96653"/>
    <w:rsid w:val="00B97AD9"/>
    <w:rsid w:val="00BA2D5B"/>
    <w:rsid w:val="00BA6877"/>
    <w:rsid w:val="00BA77D5"/>
    <w:rsid w:val="00BA7CC5"/>
    <w:rsid w:val="00BB3BC7"/>
    <w:rsid w:val="00BB75E3"/>
    <w:rsid w:val="00BC64BD"/>
    <w:rsid w:val="00BD1B9F"/>
    <w:rsid w:val="00BD2336"/>
    <w:rsid w:val="00BE1CBD"/>
    <w:rsid w:val="00BE5534"/>
    <w:rsid w:val="00BE7BEC"/>
    <w:rsid w:val="00BF31C7"/>
    <w:rsid w:val="00BF462E"/>
    <w:rsid w:val="00BF7F29"/>
    <w:rsid w:val="00C00178"/>
    <w:rsid w:val="00C0454A"/>
    <w:rsid w:val="00C05470"/>
    <w:rsid w:val="00C05B13"/>
    <w:rsid w:val="00C14E3D"/>
    <w:rsid w:val="00C3216B"/>
    <w:rsid w:val="00C35C80"/>
    <w:rsid w:val="00C3692C"/>
    <w:rsid w:val="00C408B3"/>
    <w:rsid w:val="00C5117D"/>
    <w:rsid w:val="00C51B03"/>
    <w:rsid w:val="00C56F79"/>
    <w:rsid w:val="00C62AC8"/>
    <w:rsid w:val="00C66377"/>
    <w:rsid w:val="00C77910"/>
    <w:rsid w:val="00C8001F"/>
    <w:rsid w:val="00C819AB"/>
    <w:rsid w:val="00C8283B"/>
    <w:rsid w:val="00C83AAF"/>
    <w:rsid w:val="00C8443E"/>
    <w:rsid w:val="00C87061"/>
    <w:rsid w:val="00C9468E"/>
    <w:rsid w:val="00CA10A5"/>
    <w:rsid w:val="00CA11E7"/>
    <w:rsid w:val="00CA2366"/>
    <w:rsid w:val="00CB0BE2"/>
    <w:rsid w:val="00CB4FA4"/>
    <w:rsid w:val="00CB5930"/>
    <w:rsid w:val="00CC09BA"/>
    <w:rsid w:val="00CC0B07"/>
    <w:rsid w:val="00CC12D4"/>
    <w:rsid w:val="00CC724F"/>
    <w:rsid w:val="00CD09F0"/>
    <w:rsid w:val="00CD2332"/>
    <w:rsid w:val="00CD43A1"/>
    <w:rsid w:val="00CE1ABF"/>
    <w:rsid w:val="00CF0E8E"/>
    <w:rsid w:val="00CF1D6D"/>
    <w:rsid w:val="00CF5012"/>
    <w:rsid w:val="00D073B2"/>
    <w:rsid w:val="00D11B57"/>
    <w:rsid w:val="00D133DD"/>
    <w:rsid w:val="00D1357C"/>
    <w:rsid w:val="00D15967"/>
    <w:rsid w:val="00D16187"/>
    <w:rsid w:val="00D17D54"/>
    <w:rsid w:val="00D22B7C"/>
    <w:rsid w:val="00D23087"/>
    <w:rsid w:val="00D2434C"/>
    <w:rsid w:val="00D2439F"/>
    <w:rsid w:val="00D2681F"/>
    <w:rsid w:val="00D30C2D"/>
    <w:rsid w:val="00D316FF"/>
    <w:rsid w:val="00D322C1"/>
    <w:rsid w:val="00D333E1"/>
    <w:rsid w:val="00D35D0B"/>
    <w:rsid w:val="00D37CA3"/>
    <w:rsid w:val="00D37CE8"/>
    <w:rsid w:val="00D40982"/>
    <w:rsid w:val="00D53561"/>
    <w:rsid w:val="00D540E3"/>
    <w:rsid w:val="00D564C6"/>
    <w:rsid w:val="00D57059"/>
    <w:rsid w:val="00D64442"/>
    <w:rsid w:val="00D70846"/>
    <w:rsid w:val="00D72798"/>
    <w:rsid w:val="00D81663"/>
    <w:rsid w:val="00D834FF"/>
    <w:rsid w:val="00D84549"/>
    <w:rsid w:val="00D86D9F"/>
    <w:rsid w:val="00D9313D"/>
    <w:rsid w:val="00D950FB"/>
    <w:rsid w:val="00DA19D0"/>
    <w:rsid w:val="00DA408B"/>
    <w:rsid w:val="00DA6345"/>
    <w:rsid w:val="00DB268B"/>
    <w:rsid w:val="00DB7DC9"/>
    <w:rsid w:val="00DC5B23"/>
    <w:rsid w:val="00DC7307"/>
    <w:rsid w:val="00DD48E2"/>
    <w:rsid w:val="00DD6D32"/>
    <w:rsid w:val="00DE29D6"/>
    <w:rsid w:val="00DE5F3E"/>
    <w:rsid w:val="00DF5A7F"/>
    <w:rsid w:val="00DF702B"/>
    <w:rsid w:val="00E00E86"/>
    <w:rsid w:val="00E028D4"/>
    <w:rsid w:val="00E05238"/>
    <w:rsid w:val="00E16E01"/>
    <w:rsid w:val="00E2099D"/>
    <w:rsid w:val="00E23A53"/>
    <w:rsid w:val="00E3168C"/>
    <w:rsid w:val="00E33653"/>
    <w:rsid w:val="00E35C47"/>
    <w:rsid w:val="00E37C24"/>
    <w:rsid w:val="00E37ECC"/>
    <w:rsid w:val="00E42CB2"/>
    <w:rsid w:val="00E513ED"/>
    <w:rsid w:val="00E54035"/>
    <w:rsid w:val="00E56A27"/>
    <w:rsid w:val="00E61565"/>
    <w:rsid w:val="00E66333"/>
    <w:rsid w:val="00E66481"/>
    <w:rsid w:val="00E77A29"/>
    <w:rsid w:val="00E80A38"/>
    <w:rsid w:val="00E921CB"/>
    <w:rsid w:val="00E93938"/>
    <w:rsid w:val="00E965C7"/>
    <w:rsid w:val="00EA0BF8"/>
    <w:rsid w:val="00EA2588"/>
    <w:rsid w:val="00EA3BF0"/>
    <w:rsid w:val="00EB00C1"/>
    <w:rsid w:val="00EB010E"/>
    <w:rsid w:val="00EB42B6"/>
    <w:rsid w:val="00EB66CA"/>
    <w:rsid w:val="00EC359F"/>
    <w:rsid w:val="00EC655E"/>
    <w:rsid w:val="00ED1329"/>
    <w:rsid w:val="00ED15F7"/>
    <w:rsid w:val="00ED3EA3"/>
    <w:rsid w:val="00ED5A94"/>
    <w:rsid w:val="00EE2CF4"/>
    <w:rsid w:val="00EE602F"/>
    <w:rsid w:val="00EE6BAA"/>
    <w:rsid w:val="00EE7D87"/>
    <w:rsid w:val="00EF2240"/>
    <w:rsid w:val="00EF35E8"/>
    <w:rsid w:val="00EF5D7C"/>
    <w:rsid w:val="00EF7C0C"/>
    <w:rsid w:val="00F01C60"/>
    <w:rsid w:val="00F021C4"/>
    <w:rsid w:val="00F129E1"/>
    <w:rsid w:val="00F16421"/>
    <w:rsid w:val="00F21B86"/>
    <w:rsid w:val="00F21DCE"/>
    <w:rsid w:val="00F236DC"/>
    <w:rsid w:val="00F23EAB"/>
    <w:rsid w:val="00F327D7"/>
    <w:rsid w:val="00F36F4B"/>
    <w:rsid w:val="00F410B7"/>
    <w:rsid w:val="00F53BC0"/>
    <w:rsid w:val="00F56743"/>
    <w:rsid w:val="00F6418E"/>
    <w:rsid w:val="00F642C7"/>
    <w:rsid w:val="00F65BEB"/>
    <w:rsid w:val="00F65CAF"/>
    <w:rsid w:val="00F71C53"/>
    <w:rsid w:val="00F72268"/>
    <w:rsid w:val="00F76EF2"/>
    <w:rsid w:val="00F80DB3"/>
    <w:rsid w:val="00F8150D"/>
    <w:rsid w:val="00F81D83"/>
    <w:rsid w:val="00F84002"/>
    <w:rsid w:val="00F93651"/>
    <w:rsid w:val="00F945CC"/>
    <w:rsid w:val="00FA2C57"/>
    <w:rsid w:val="00FA5104"/>
    <w:rsid w:val="00FB4BCE"/>
    <w:rsid w:val="00FB695E"/>
    <w:rsid w:val="00FB6E17"/>
    <w:rsid w:val="00FC023C"/>
    <w:rsid w:val="00FC18EB"/>
    <w:rsid w:val="00FC1FE4"/>
    <w:rsid w:val="00FD4E97"/>
    <w:rsid w:val="00FF149E"/>
    <w:rsid w:val="00FF348A"/>
    <w:rsid w:val="00FF7D77"/>
    <w:rsid w:val="02F00F30"/>
    <w:rsid w:val="05A802DC"/>
    <w:rsid w:val="19B74AE0"/>
    <w:rsid w:val="1D084EC0"/>
    <w:rsid w:val="2259039E"/>
    <w:rsid w:val="2B3D5F96"/>
    <w:rsid w:val="39956FB6"/>
    <w:rsid w:val="478252E8"/>
    <w:rsid w:val="50D858DC"/>
    <w:rsid w:val="58072F88"/>
    <w:rsid w:val="66F75866"/>
    <w:rsid w:val="672F4D00"/>
    <w:rsid w:val="6ECD5272"/>
    <w:rsid w:val="78CA6744"/>
    <w:rsid w:val="7D243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qFormat="1"/>
    <w:lsdException w:name="footer" w:semiHidden="0" w:qFormat="1"/>
    <w:lsdException w:name="caption" w:uiPriority="35" w:qFormat="1"/>
    <w:lsdException w:name="annotation reference" w:semiHidden="0" w:unhideWhenUsed="0" w:qFormat="1"/>
    <w:lsdException w:name="Title" w:semiHidden="0" w:uiPriority="10" w:unhideWhenUsed="0" w:qFormat="1"/>
    <w:lsdException w:name="Default Paragraph Font" w:uiPriority="1" w:qFormat="1"/>
    <w:lsdException w:name="Body Text" w:semiHidden="0" w:unhideWhenUsed="0"/>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pPr>
      <w:widowControl/>
      <w:jc w:val="left"/>
    </w:pPr>
    <w:rPr>
      <w:rFonts w:ascii="宋体" w:hAnsi="宋体" w:cs="宋体"/>
      <w:kern w:val="0"/>
      <w:sz w:val="24"/>
      <w:szCs w:val="24"/>
    </w:rPr>
  </w:style>
  <w:style w:type="paragraph" w:styleId="a4">
    <w:name w:val="Body Text"/>
    <w:basedOn w:val="a"/>
    <w:link w:val="Char0"/>
    <w:uiPriority w:val="99"/>
    <w:pPr>
      <w:widowControl/>
      <w:ind w:firstLineChars="202" w:firstLine="424"/>
      <w:jc w:val="left"/>
    </w:pPr>
    <w:rPr>
      <w:rFonts w:ascii="宋体" w:eastAsia="黑体" w:hAnsi="宋体" w:cs="宋体"/>
      <w:kern w:val="0"/>
      <w:sz w:val="24"/>
    </w:r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3"/>
    <w:next w:val="a3"/>
    <w:link w:val="Char5"/>
    <w:uiPriority w:val="99"/>
    <w:semiHidden/>
    <w:unhideWhenUsed/>
    <w:qFormat/>
    <w:pPr>
      <w:widowControl w:val="0"/>
    </w:pPr>
    <w:rPr>
      <w:rFonts w:ascii="Times New Roman" w:hAnsi="Times New Roman" w:cs="Times New Roman"/>
      <w:b/>
      <w:bCs/>
      <w:kern w:val="2"/>
      <w:sz w:val="21"/>
      <w:szCs w:val="20"/>
    </w:r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0"/>
    <w:uiPriority w:val="99"/>
    <w:qFormat/>
    <w:rPr>
      <w:rFonts w:cs="Times New Roman"/>
      <w:sz w:val="21"/>
      <w:szCs w:val="21"/>
    </w:rPr>
  </w:style>
  <w:style w:type="character" w:customStyle="1" w:styleId="Char4">
    <w:name w:val="页眉 Char"/>
    <w:basedOn w:val="a0"/>
    <w:link w:val="a8"/>
    <w:uiPriority w:val="99"/>
    <w:qFormat/>
    <w:rPr>
      <w:rFonts w:ascii="Times New Roman" w:eastAsia="宋体" w:hAnsi="Times New Roman" w:cs="Times New Roman"/>
      <w:sz w:val="18"/>
      <w:szCs w:val="18"/>
    </w:rPr>
  </w:style>
  <w:style w:type="character" w:customStyle="1" w:styleId="Char3">
    <w:name w:val="页脚 Char"/>
    <w:basedOn w:val="a0"/>
    <w:link w:val="a7"/>
    <w:uiPriority w:val="99"/>
    <w:qFormat/>
    <w:rPr>
      <w:rFonts w:ascii="Times New Roman" w:eastAsia="宋体" w:hAnsi="Times New Roman" w:cs="Times New Roman"/>
      <w:sz w:val="18"/>
      <w:szCs w:val="18"/>
    </w:rPr>
  </w:style>
  <w:style w:type="paragraph" w:customStyle="1" w:styleId="002">
    <w:name w:val="002二级标题"/>
    <w:link w:val="002Char"/>
    <w:qFormat/>
    <w:pPr>
      <w:keepNext/>
      <w:keepLines/>
      <w:spacing w:beforeLines="50" w:before="50" w:line="360" w:lineRule="auto"/>
      <w:jc w:val="both"/>
      <w:outlineLvl w:val="1"/>
    </w:pPr>
    <w:rPr>
      <w:rFonts w:ascii="Times New Roman" w:eastAsia="黑体" w:hAnsi="Times New Roman" w:cs="Times New Roman"/>
      <w:b/>
      <w:bCs/>
      <w:kern w:val="2"/>
      <w:sz w:val="28"/>
      <w:szCs w:val="28"/>
    </w:rPr>
  </w:style>
  <w:style w:type="character" w:customStyle="1" w:styleId="002Char">
    <w:name w:val="002二级标题 Char"/>
    <w:link w:val="002"/>
    <w:qFormat/>
    <w:rPr>
      <w:rFonts w:ascii="Times New Roman" w:eastAsia="黑体" w:hAnsi="Times New Roman" w:cs="Times New Roman"/>
      <w:b/>
      <w:bCs/>
      <w:sz w:val="28"/>
      <w:szCs w:val="28"/>
    </w:rPr>
  </w:style>
  <w:style w:type="paragraph" w:customStyle="1" w:styleId="003">
    <w:name w:val="003三级标题"/>
    <w:link w:val="003Char"/>
    <w:qFormat/>
    <w:pPr>
      <w:keepNext/>
      <w:keepLines/>
      <w:spacing w:beforeLines="50" w:before="50" w:line="360" w:lineRule="auto"/>
      <w:jc w:val="both"/>
      <w:outlineLvl w:val="2"/>
    </w:pPr>
    <w:rPr>
      <w:rFonts w:ascii="Times New Roman" w:eastAsia="黑体" w:hAnsi="Times New Roman" w:cs="Times New Roman"/>
      <w:b/>
      <w:bCs/>
      <w:kern w:val="2"/>
      <w:sz w:val="24"/>
      <w:szCs w:val="28"/>
    </w:rPr>
  </w:style>
  <w:style w:type="character" w:customStyle="1" w:styleId="003Char">
    <w:name w:val="003三级标题 Char"/>
    <w:link w:val="003"/>
    <w:qFormat/>
    <w:rPr>
      <w:rFonts w:ascii="Times New Roman" w:eastAsia="黑体" w:hAnsi="Times New Roman" w:cs="Times New Roman"/>
      <w:b/>
      <w:bCs/>
      <w:sz w:val="24"/>
      <w:szCs w:val="28"/>
    </w:rPr>
  </w:style>
  <w:style w:type="paragraph" w:customStyle="1" w:styleId="004">
    <w:name w:val="004四级标题"/>
    <w:basedOn w:val="002"/>
    <w:link w:val="004Char"/>
    <w:qFormat/>
    <w:pPr>
      <w:ind w:firstLineChars="200" w:firstLine="200"/>
      <w:outlineLvl w:val="3"/>
    </w:pPr>
    <w:rPr>
      <w:rFonts w:eastAsia="宋体"/>
      <w:sz w:val="24"/>
    </w:rPr>
  </w:style>
  <w:style w:type="character" w:customStyle="1" w:styleId="004Char">
    <w:name w:val="004四级标题 Char"/>
    <w:link w:val="004"/>
    <w:qFormat/>
    <w:rPr>
      <w:rFonts w:ascii="Times New Roman" w:eastAsia="宋体" w:hAnsi="Times New Roman" w:cs="Times New Roman"/>
      <w:b/>
      <w:bCs/>
      <w:sz w:val="24"/>
      <w:szCs w:val="28"/>
    </w:rPr>
  </w:style>
  <w:style w:type="character" w:customStyle="1" w:styleId="Char0">
    <w:name w:val="正文文本 Char"/>
    <w:basedOn w:val="a0"/>
    <w:link w:val="a4"/>
    <w:uiPriority w:val="99"/>
    <w:qFormat/>
    <w:rPr>
      <w:rFonts w:ascii="宋体" w:eastAsia="黑体" w:hAnsi="宋体" w:cs="宋体"/>
      <w:kern w:val="0"/>
      <w:sz w:val="24"/>
      <w:szCs w:val="20"/>
    </w:rPr>
  </w:style>
  <w:style w:type="paragraph" w:customStyle="1" w:styleId="9">
    <w:name w:val="9级我乐 正文"/>
    <w:basedOn w:val="a"/>
    <w:qFormat/>
    <w:pPr>
      <w:spacing w:beforeLines="50" w:before="50" w:afterLines="50" w:after="50" w:line="360" w:lineRule="auto"/>
    </w:pPr>
    <w:rPr>
      <w:rFonts w:ascii="Calibri" w:hAnsi="Calibri"/>
      <w:sz w:val="24"/>
      <w:szCs w:val="24"/>
    </w:rPr>
  </w:style>
  <w:style w:type="paragraph" w:customStyle="1" w:styleId="005">
    <w:name w:val="005正文"/>
    <w:basedOn w:val="a"/>
    <w:link w:val="005Char"/>
    <w:qFormat/>
    <w:pPr>
      <w:spacing w:beforeLines="50" w:before="50" w:line="360" w:lineRule="auto"/>
      <w:ind w:firstLineChars="200" w:firstLine="200"/>
    </w:pPr>
    <w:rPr>
      <w:sz w:val="24"/>
      <w:szCs w:val="22"/>
    </w:rPr>
  </w:style>
  <w:style w:type="character" w:customStyle="1" w:styleId="005Char">
    <w:name w:val="005正文 Char"/>
    <w:link w:val="005"/>
    <w:qFormat/>
    <w:rPr>
      <w:rFonts w:ascii="Times New Roman" w:eastAsia="宋体" w:hAnsi="Times New Roman" w:cs="Times New Roman"/>
      <w:sz w:val="24"/>
    </w:rPr>
  </w:style>
  <w:style w:type="character" w:customStyle="1" w:styleId="Char">
    <w:name w:val="批注文字 Char"/>
    <w:basedOn w:val="a0"/>
    <w:link w:val="a3"/>
    <w:uiPriority w:val="99"/>
    <w:qFormat/>
    <w:rPr>
      <w:rFonts w:ascii="宋体" w:eastAsia="宋体" w:hAnsi="宋体" w:cs="宋体"/>
      <w:kern w:val="0"/>
      <w:sz w:val="24"/>
      <w:szCs w:val="24"/>
    </w:rPr>
  </w:style>
  <w:style w:type="character" w:customStyle="1" w:styleId="Char2">
    <w:name w:val="批注框文本 Char"/>
    <w:basedOn w:val="a0"/>
    <w:link w:val="a6"/>
    <w:uiPriority w:val="99"/>
    <w:semiHidden/>
    <w:qFormat/>
    <w:rPr>
      <w:rFonts w:ascii="Times New Roman" w:eastAsia="宋体" w:hAnsi="Times New Roman" w:cs="Times New Roman"/>
      <w:sz w:val="18"/>
      <w:szCs w:val="18"/>
    </w:rPr>
  </w:style>
  <w:style w:type="paragraph" w:styleId="ad">
    <w:name w:val="List Paragraph"/>
    <w:basedOn w:val="a"/>
    <w:link w:val="Char6"/>
    <w:uiPriority w:val="34"/>
    <w:qFormat/>
    <w:pPr>
      <w:ind w:firstLineChars="200" w:firstLine="420"/>
    </w:pPr>
    <w:rPr>
      <w:szCs w:val="24"/>
    </w:rPr>
  </w:style>
  <w:style w:type="character" w:customStyle="1" w:styleId="Char6">
    <w:name w:val="列出段落 Char"/>
    <w:basedOn w:val="a0"/>
    <w:link w:val="ad"/>
    <w:uiPriority w:val="34"/>
    <w:qFormat/>
    <w:rPr>
      <w:rFonts w:ascii="Times New Roman" w:eastAsia="宋体" w:hAnsi="Times New Roman" w:cs="Times New Roman"/>
      <w:szCs w:val="24"/>
    </w:rPr>
  </w:style>
  <w:style w:type="character" w:customStyle="1" w:styleId="Char5">
    <w:name w:val="批注主题 Char"/>
    <w:basedOn w:val="Char"/>
    <w:link w:val="aa"/>
    <w:uiPriority w:val="99"/>
    <w:semiHidden/>
    <w:qFormat/>
    <w:rPr>
      <w:rFonts w:ascii="Times New Roman" w:eastAsia="宋体" w:hAnsi="Times New Roman" w:cs="Times New Roman"/>
      <w:b/>
      <w:bCs/>
      <w:kern w:val="0"/>
      <w:sz w:val="24"/>
      <w:szCs w:val="20"/>
    </w:rPr>
  </w:style>
  <w:style w:type="character" w:customStyle="1" w:styleId="Char1">
    <w:name w:val="日期 Char"/>
    <w:basedOn w:val="a0"/>
    <w:link w:val="a5"/>
    <w:uiPriority w:val="99"/>
    <w:semiHidden/>
    <w:qFormat/>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qFormat="1"/>
    <w:lsdException w:name="footer" w:semiHidden="0" w:qFormat="1"/>
    <w:lsdException w:name="caption" w:uiPriority="35" w:qFormat="1"/>
    <w:lsdException w:name="annotation reference" w:semiHidden="0" w:unhideWhenUsed="0" w:qFormat="1"/>
    <w:lsdException w:name="Title" w:semiHidden="0" w:uiPriority="10" w:unhideWhenUsed="0" w:qFormat="1"/>
    <w:lsdException w:name="Default Paragraph Font" w:uiPriority="1" w:qFormat="1"/>
    <w:lsdException w:name="Body Text" w:semiHidden="0" w:unhideWhenUsed="0"/>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pPr>
      <w:widowControl/>
      <w:jc w:val="left"/>
    </w:pPr>
    <w:rPr>
      <w:rFonts w:ascii="宋体" w:hAnsi="宋体" w:cs="宋体"/>
      <w:kern w:val="0"/>
      <w:sz w:val="24"/>
      <w:szCs w:val="24"/>
    </w:rPr>
  </w:style>
  <w:style w:type="paragraph" w:styleId="a4">
    <w:name w:val="Body Text"/>
    <w:basedOn w:val="a"/>
    <w:link w:val="Char0"/>
    <w:uiPriority w:val="99"/>
    <w:pPr>
      <w:widowControl/>
      <w:ind w:firstLineChars="202" w:firstLine="424"/>
      <w:jc w:val="left"/>
    </w:pPr>
    <w:rPr>
      <w:rFonts w:ascii="宋体" w:eastAsia="黑体" w:hAnsi="宋体" w:cs="宋体"/>
      <w:kern w:val="0"/>
      <w:sz w:val="24"/>
    </w:r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3"/>
    <w:next w:val="a3"/>
    <w:link w:val="Char5"/>
    <w:uiPriority w:val="99"/>
    <w:semiHidden/>
    <w:unhideWhenUsed/>
    <w:qFormat/>
    <w:pPr>
      <w:widowControl w:val="0"/>
    </w:pPr>
    <w:rPr>
      <w:rFonts w:ascii="Times New Roman" w:hAnsi="Times New Roman" w:cs="Times New Roman"/>
      <w:b/>
      <w:bCs/>
      <w:kern w:val="2"/>
      <w:sz w:val="21"/>
      <w:szCs w:val="20"/>
    </w:r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0"/>
    <w:uiPriority w:val="99"/>
    <w:qFormat/>
    <w:rPr>
      <w:rFonts w:cs="Times New Roman"/>
      <w:sz w:val="21"/>
      <w:szCs w:val="21"/>
    </w:rPr>
  </w:style>
  <w:style w:type="character" w:customStyle="1" w:styleId="Char4">
    <w:name w:val="页眉 Char"/>
    <w:basedOn w:val="a0"/>
    <w:link w:val="a8"/>
    <w:uiPriority w:val="99"/>
    <w:qFormat/>
    <w:rPr>
      <w:rFonts w:ascii="Times New Roman" w:eastAsia="宋体" w:hAnsi="Times New Roman" w:cs="Times New Roman"/>
      <w:sz w:val="18"/>
      <w:szCs w:val="18"/>
    </w:rPr>
  </w:style>
  <w:style w:type="character" w:customStyle="1" w:styleId="Char3">
    <w:name w:val="页脚 Char"/>
    <w:basedOn w:val="a0"/>
    <w:link w:val="a7"/>
    <w:uiPriority w:val="99"/>
    <w:qFormat/>
    <w:rPr>
      <w:rFonts w:ascii="Times New Roman" w:eastAsia="宋体" w:hAnsi="Times New Roman" w:cs="Times New Roman"/>
      <w:sz w:val="18"/>
      <w:szCs w:val="18"/>
    </w:rPr>
  </w:style>
  <w:style w:type="paragraph" w:customStyle="1" w:styleId="002">
    <w:name w:val="002二级标题"/>
    <w:link w:val="002Char"/>
    <w:qFormat/>
    <w:pPr>
      <w:keepNext/>
      <w:keepLines/>
      <w:spacing w:beforeLines="50" w:before="50" w:line="360" w:lineRule="auto"/>
      <w:jc w:val="both"/>
      <w:outlineLvl w:val="1"/>
    </w:pPr>
    <w:rPr>
      <w:rFonts w:ascii="Times New Roman" w:eastAsia="黑体" w:hAnsi="Times New Roman" w:cs="Times New Roman"/>
      <w:b/>
      <w:bCs/>
      <w:kern w:val="2"/>
      <w:sz w:val="28"/>
      <w:szCs w:val="28"/>
    </w:rPr>
  </w:style>
  <w:style w:type="character" w:customStyle="1" w:styleId="002Char">
    <w:name w:val="002二级标题 Char"/>
    <w:link w:val="002"/>
    <w:qFormat/>
    <w:rPr>
      <w:rFonts w:ascii="Times New Roman" w:eastAsia="黑体" w:hAnsi="Times New Roman" w:cs="Times New Roman"/>
      <w:b/>
      <w:bCs/>
      <w:sz w:val="28"/>
      <w:szCs w:val="28"/>
    </w:rPr>
  </w:style>
  <w:style w:type="paragraph" w:customStyle="1" w:styleId="003">
    <w:name w:val="003三级标题"/>
    <w:link w:val="003Char"/>
    <w:qFormat/>
    <w:pPr>
      <w:keepNext/>
      <w:keepLines/>
      <w:spacing w:beforeLines="50" w:before="50" w:line="360" w:lineRule="auto"/>
      <w:jc w:val="both"/>
      <w:outlineLvl w:val="2"/>
    </w:pPr>
    <w:rPr>
      <w:rFonts w:ascii="Times New Roman" w:eastAsia="黑体" w:hAnsi="Times New Roman" w:cs="Times New Roman"/>
      <w:b/>
      <w:bCs/>
      <w:kern w:val="2"/>
      <w:sz w:val="24"/>
      <w:szCs w:val="28"/>
    </w:rPr>
  </w:style>
  <w:style w:type="character" w:customStyle="1" w:styleId="003Char">
    <w:name w:val="003三级标题 Char"/>
    <w:link w:val="003"/>
    <w:qFormat/>
    <w:rPr>
      <w:rFonts w:ascii="Times New Roman" w:eastAsia="黑体" w:hAnsi="Times New Roman" w:cs="Times New Roman"/>
      <w:b/>
      <w:bCs/>
      <w:sz w:val="24"/>
      <w:szCs w:val="28"/>
    </w:rPr>
  </w:style>
  <w:style w:type="paragraph" w:customStyle="1" w:styleId="004">
    <w:name w:val="004四级标题"/>
    <w:basedOn w:val="002"/>
    <w:link w:val="004Char"/>
    <w:qFormat/>
    <w:pPr>
      <w:ind w:firstLineChars="200" w:firstLine="200"/>
      <w:outlineLvl w:val="3"/>
    </w:pPr>
    <w:rPr>
      <w:rFonts w:eastAsia="宋体"/>
      <w:sz w:val="24"/>
    </w:rPr>
  </w:style>
  <w:style w:type="character" w:customStyle="1" w:styleId="004Char">
    <w:name w:val="004四级标题 Char"/>
    <w:link w:val="004"/>
    <w:qFormat/>
    <w:rPr>
      <w:rFonts w:ascii="Times New Roman" w:eastAsia="宋体" w:hAnsi="Times New Roman" w:cs="Times New Roman"/>
      <w:b/>
      <w:bCs/>
      <w:sz w:val="24"/>
      <w:szCs w:val="28"/>
    </w:rPr>
  </w:style>
  <w:style w:type="character" w:customStyle="1" w:styleId="Char0">
    <w:name w:val="正文文本 Char"/>
    <w:basedOn w:val="a0"/>
    <w:link w:val="a4"/>
    <w:uiPriority w:val="99"/>
    <w:qFormat/>
    <w:rPr>
      <w:rFonts w:ascii="宋体" w:eastAsia="黑体" w:hAnsi="宋体" w:cs="宋体"/>
      <w:kern w:val="0"/>
      <w:sz w:val="24"/>
      <w:szCs w:val="20"/>
    </w:rPr>
  </w:style>
  <w:style w:type="paragraph" w:customStyle="1" w:styleId="9">
    <w:name w:val="9级我乐 正文"/>
    <w:basedOn w:val="a"/>
    <w:qFormat/>
    <w:pPr>
      <w:spacing w:beforeLines="50" w:before="50" w:afterLines="50" w:after="50" w:line="360" w:lineRule="auto"/>
    </w:pPr>
    <w:rPr>
      <w:rFonts w:ascii="Calibri" w:hAnsi="Calibri"/>
      <w:sz w:val="24"/>
      <w:szCs w:val="24"/>
    </w:rPr>
  </w:style>
  <w:style w:type="paragraph" w:customStyle="1" w:styleId="005">
    <w:name w:val="005正文"/>
    <w:basedOn w:val="a"/>
    <w:link w:val="005Char"/>
    <w:qFormat/>
    <w:pPr>
      <w:spacing w:beforeLines="50" w:before="50" w:line="360" w:lineRule="auto"/>
      <w:ind w:firstLineChars="200" w:firstLine="200"/>
    </w:pPr>
    <w:rPr>
      <w:sz w:val="24"/>
      <w:szCs w:val="22"/>
    </w:rPr>
  </w:style>
  <w:style w:type="character" w:customStyle="1" w:styleId="005Char">
    <w:name w:val="005正文 Char"/>
    <w:link w:val="005"/>
    <w:qFormat/>
    <w:rPr>
      <w:rFonts w:ascii="Times New Roman" w:eastAsia="宋体" w:hAnsi="Times New Roman" w:cs="Times New Roman"/>
      <w:sz w:val="24"/>
    </w:rPr>
  </w:style>
  <w:style w:type="character" w:customStyle="1" w:styleId="Char">
    <w:name w:val="批注文字 Char"/>
    <w:basedOn w:val="a0"/>
    <w:link w:val="a3"/>
    <w:uiPriority w:val="99"/>
    <w:qFormat/>
    <w:rPr>
      <w:rFonts w:ascii="宋体" w:eastAsia="宋体" w:hAnsi="宋体" w:cs="宋体"/>
      <w:kern w:val="0"/>
      <w:sz w:val="24"/>
      <w:szCs w:val="24"/>
    </w:rPr>
  </w:style>
  <w:style w:type="character" w:customStyle="1" w:styleId="Char2">
    <w:name w:val="批注框文本 Char"/>
    <w:basedOn w:val="a0"/>
    <w:link w:val="a6"/>
    <w:uiPriority w:val="99"/>
    <w:semiHidden/>
    <w:qFormat/>
    <w:rPr>
      <w:rFonts w:ascii="Times New Roman" w:eastAsia="宋体" w:hAnsi="Times New Roman" w:cs="Times New Roman"/>
      <w:sz w:val="18"/>
      <w:szCs w:val="18"/>
    </w:rPr>
  </w:style>
  <w:style w:type="paragraph" w:styleId="ad">
    <w:name w:val="List Paragraph"/>
    <w:basedOn w:val="a"/>
    <w:link w:val="Char6"/>
    <w:uiPriority w:val="34"/>
    <w:qFormat/>
    <w:pPr>
      <w:ind w:firstLineChars="200" w:firstLine="420"/>
    </w:pPr>
    <w:rPr>
      <w:szCs w:val="24"/>
    </w:rPr>
  </w:style>
  <w:style w:type="character" w:customStyle="1" w:styleId="Char6">
    <w:name w:val="列出段落 Char"/>
    <w:basedOn w:val="a0"/>
    <w:link w:val="ad"/>
    <w:uiPriority w:val="34"/>
    <w:qFormat/>
    <w:rPr>
      <w:rFonts w:ascii="Times New Roman" w:eastAsia="宋体" w:hAnsi="Times New Roman" w:cs="Times New Roman"/>
      <w:szCs w:val="24"/>
    </w:rPr>
  </w:style>
  <w:style w:type="character" w:customStyle="1" w:styleId="Char5">
    <w:name w:val="批注主题 Char"/>
    <w:basedOn w:val="Char"/>
    <w:link w:val="aa"/>
    <w:uiPriority w:val="99"/>
    <w:semiHidden/>
    <w:qFormat/>
    <w:rPr>
      <w:rFonts w:ascii="Times New Roman" w:eastAsia="宋体" w:hAnsi="Times New Roman" w:cs="Times New Roman"/>
      <w:b/>
      <w:bCs/>
      <w:kern w:val="0"/>
      <w:sz w:val="24"/>
      <w:szCs w:val="20"/>
    </w:rPr>
  </w:style>
  <w:style w:type="character" w:customStyle="1" w:styleId="Char1">
    <w:name w:val="日期 Char"/>
    <w:basedOn w:val="a0"/>
    <w:link w:val="a5"/>
    <w:uiPriority w:val="99"/>
    <w:semiHidden/>
    <w:qFormat/>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13</Pages>
  <Words>1048</Words>
  <Characters>5978</Characters>
  <Application>Microsoft Office Word</Application>
  <DocSecurity>0</DocSecurity>
  <Lines>49</Lines>
  <Paragraphs>14</Paragraphs>
  <ScaleCrop>false</ScaleCrop>
  <Company>Microsoft</Company>
  <LinksUpToDate>false</LinksUpToDate>
  <CharactersWithSpaces>7012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630</cp:revision>
  <dcterms:created xsi:type="dcterms:W3CDTF">2023-07-29T10:25:00Z</dcterms:created>
  <dcterms:modified xsi:type="dcterms:W3CDTF">2024-12-11T03:15:00Z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ies>
</file>