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0E28" w:rsidRDefault="002757FE">
      <w:pPr>
        <w:autoSpaceDE w:val="0"/>
        <w:autoSpaceDN w:val="0"/>
        <w:adjustRightInd w:val="0"/>
        <w:spacing w:beforeLines="50" w:before="156" w:afterLines="50" w:after="156" w:line="360" w:lineRule="auto"/>
        <w:jc w:val="center"/>
        <w:rPr>
          <w:rFonts w:ascii="黑体" w:eastAsia="黑体" w:hAnsi="黑体"/>
          <w:b/>
          <w:bCs/>
          <w:sz w:val="32"/>
          <w:szCs w:val="32"/>
        </w:rPr>
      </w:pPr>
      <w:r>
        <w:rPr>
          <w:rFonts w:ascii="黑体" w:eastAsia="黑体" w:hAnsi="黑体" w:hint="eastAsia"/>
          <w:b/>
          <w:bCs/>
          <w:sz w:val="32"/>
          <w:szCs w:val="32"/>
        </w:rPr>
        <w:t>五矿证券有限公司</w:t>
      </w:r>
    </w:p>
    <w:p w:rsidR="00FB0E28" w:rsidRDefault="002757FE">
      <w:pPr>
        <w:autoSpaceDE w:val="0"/>
        <w:autoSpaceDN w:val="0"/>
        <w:adjustRightInd w:val="0"/>
        <w:spacing w:beforeLines="50" w:before="156" w:afterLines="50" w:after="156" w:line="360" w:lineRule="auto"/>
        <w:jc w:val="center"/>
        <w:rPr>
          <w:rFonts w:ascii="黑体" w:eastAsia="黑体" w:hAnsi="黑体"/>
          <w:b/>
          <w:bCs/>
          <w:sz w:val="32"/>
          <w:szCs w:val="32"/>
        </w:rPr>
      </w:pPr>
      <w:r>
        <w:rPr>
          <w:rFonts w:ascii="黑体" w:eastAsia="黑体" w:hAnsi="黑体" w:hint="eastAsia"/>
          <w:b/>
          <w:bCs/>
          <w:sz w:val="32"/>
          <w:szCs w:val="32"/>
        </w:rPr>
        <w:t>关于广东天亿马信息产业股份有限公司</w:t>
      </w:r>
    </w:p>
    <w:p w:rsidR="00FB0E28" w:rsidRDefault="002757FE">
      <w:pPr>
        <w:autoSpaceDE w:val="0"/>
        <w:autoSpaceDN w:val="0"/>
        <w:adjustRightInd w:val="0"/>
        <w:spacing w:beforeLines="50" w:before="156" w:afterLines="50" w:after="156" w:line="360" w:lineRule="auto"/>
        <w:jc w:val="center"/>
        <w:rPr>
          <w:b/>
          <w:bCs/>
          <w:sz w:val="32"/>
          <w:szCs w:val="32"/>
        </w:rPr>
      </w:pPr>
      <w:r>
        <w:rPr>
          <w:rFonts w:ascii="黑体" w:eastAsia="黑体" w:hAnsi="黑体" w:hint="eastAsia"/>
          <w:b/>
          <w:bCs/>
          <w:sz w:val="32"/>
          <w:szCs w:val="32"/>
        </w:rPr>
        <w:t>变更部分募集资金用途的核查意见</w:t>
      </w:r>
    </w:p>
    <w:p w:rsidR="00FB0E28" w:rsidRDefault="002757FE">
      <w:pPr>
        <w:widowControl/>
        <w:spacing w:beforeLines="50" w:before="156" w:afterLines="50" w:after="156" w:line="360" w:lineRule="auto"/>
        <w:ind w:firstLineChars="200" w:firstLine="480"/>
        <w:jc w:val="left"/>
        <w:rPr>
          <w:color w:val="000000"/>
          <w:sz w:val="24"/>
          <w:szCs w:val="24"/>
        </w:rPr>
      </w:pPr>
      <w:r>
        <w:rPr>
          <w:rFonts w:ascii="宋体" w:hAnsi="宋体" w:cs="宋体" w:hint="eastAsia"/>
          <w:color w:val="000000"/>
          <w:kern w:val="0"/>
          <w:sz w:val="24"/>
          <w:szCs w:val="24"/>
          <w:lang w:bidi="ar"/>
        </w:rPr>
        <w:t>五矿证券有限公司</w:t>
      </w:r>
      <w:r>
        <w:rPr>
          <w:rFonts w:ascii="宋体" w:hAnsi="宋体" w:cs="宋体" w:hint="eastAsia"/>
          <w:color w:val="000000"/>
          <w:kern w:val="0"/>
          <w:sz w:val="24"/>
          <w:szCs w:val="24"/>
          <w:lang w:bidi="ar"/>
        </w:rPr>
        <w:t>（</w:t>
      </w:r>
      <w:r>
        <w:rPr>
          <w:rFonts w:ascii="宋体" w:hAnsi="宋体" w:cs="宋体" w:hint="eastAsia"/>
          <w:color w:val="000000"/>
          <w:kern w:val="0"/>
          <w:sz w:val="24"/>
          <w:szCs w:val="24"/>
          <w:lang w:bidi="ar"/>
        </w:rPr>
        <w:t>以下简称“保荐机构”</w:t>
      </w:r>
      <w:r>
        <w:rPr>
          <w:rFonts w:ascii="宋体" w:hAnsi="宋体" w:cs="宋体" w:hint="eastAsia"/>
          <w:color w:val="000000"/>
          <w:kern w:val="0"/>
          <w:sz w:val="24"/>
          <w:szCs w:val="24"/>
          <w:lang w:bidi="ar"/>
        </w:rPr>
        <w:t>）</w:t>
      </w:r>
      <w:r>
        <w:rPr>
          <w:rFonts w:ascii="宋体" w:hAnsi="宋体" w:cs="宋体" w:hint="eastAsia"/>
          <w:color w:val="000000"/>
          <w:kern w:val="0"/>
          <w:sz w:val="24"/>
          <w:szCs w:val="24"/>
          <w:lang w:bidi="ar"/>
        </w:rPr>
        <w:t>作为广东天亿马信息产业股份有限公司</w:t>
      </w:r>
      <w:r>
        <w:rPr>
          <w:rFonts w:ascii="宋体" w:hAnsi="宋体" w:cs="宋体" w:hint="eastAsia"/>
          <w:color w:val="000000"/>
          <w:kern w:val="0"/>
          <w:sz w:val="24"/>
          <w:szCs w:val="24"/>
          <w:lang w:bidi="ar"/>
        </w:rPr>
        <w:t>（</w:t>
      </w:r>
      <w:r>
        <w:rPr>
          <w:rFonts w:ascii="宋体" w:hAnsi="宋体" w:cs="宋体" w:hint="eastAsia"/>
          <w:color w:val="000000"/>
          <w:kern w:val="0"/>
          <w:sz w:val="24"/>
          <w:szCs w:val="24"/>
          <w:lang w:bidi="ar"/>
        </w:rPr>
        <w:t>以下简称“公司”或“天亿马”</w:t>
      </w:r>
      <w:r>
        <w:rPr>
          <w:rFonts w:ascii="宋体" w:hAnsi="宋体" w:cs="宋体" w:hint="eastAsia"/>
          <w:color w:val="000000"/>
          <w:kern w:val="0"/>
          <w:sz w:val="24"/>
          <w:szCs w:val="24"/>
          <w:lang w:bidi="ar"/>
        </w:rPr>
        <w:t>）</w:t>
      </w:r>
      <w:r>
        <w:rPr>
          <w:rFonts w:ascii="宋体" w:hAnsi="宋体" w:cs="宋体" w:hint="eastAsia"/>
          <w:color w:val="000000"/>
          <w:kern w:val="0"/>
          <w:sz w:val="24"/>
          <w:szCs w:val="24"/>
          <w:lang w:bidi="ar"/>
        </w:rPr>
        <w:t>首次公开发行股票并在创业板上市保荐机构，根据《证券发行上市保荐业务管理办法</w:t>
      </w:r>
      <w:r>
        <w:rPr>
          <w:rFonts w:ascii="宋体" w:hAnsi="宋体" w:cs="宋体" w:hint="eastAsia"/>
          <w:color w:val="000000"/>
          <w:kern w:val="0"/>
          <w:sz w:val="24"/>
          <w:szCs w:val="24"/>
          <w:lang w:bidi="ar"/>
        </w:rPr>
        <w:t>》《</w:t>
      </w:r>
      <w:r>
        <w:rPr>
          <w:rFonts w:ascii="宋体" w:hAnsi="宋体" w:cs="宋体" w:hint="eastAsia"/>
          <w:color w:val="000000"/>
          <w:kern w:val="0"/>
          <w:sz w:val="24"/>
          <w:szCs w:val="24"/>
          <w:lang w:bidi="ar"/>
        </w:rPr>
        <w:t>上市公司监管指引第</w:t>
      </w:r>
      <w:r>
        <w:rPr>
          <w:color w:val="000000"/>
          <w:kern w:val="0"/>
          <w:sz w:val="24"/>
          <w:szCs w:val="24"/>
          <w:lang w:bidi="ar"/>
        </w:rPr>
        <w:t>2</w:t>
      </w:r>
      <w:r>
        <w:rPr>
          <w:color w:val="000000"/>
          <w:kern w:val="0"/>
          <w:sz w:val="24"/>
          <w:szCs w:val="24"/>
          <w:lang w:bidi="ar"/>
        </w:rPr>
        <w:t>号</w:t>
      </w:r>
      <w:r>
        <w:rPr>
          <w:color w:val="000000"/>
          <w:kern w:val="0"/>
          <w:sz w:val="24"/>
          <w:szCs w:val="24"/>
          <w:lang w:bidi="ar"/>
        </w:rPr>
        <w:t>——</w:t>
      </w:r>
      <w:r>
        <w:rPr>
          <w:color w:val="000000"/>
          <w:kern w:val="0"/>
          <w:sz w:val="24"/>
          <w:szCs w:val="24"/>
          <w:lang w:bidi="ar"/>
        </w:rPr>
        <w:t>上市公司募集资金管理和使用的监管要求</w:t>
      </w:r>
      <w:r>
        <w:rPr>
          <w:rFonts w:hint="eastAsia"/>
          <w:color w:val="000000"/>
          <w:kern w:val="0"/>
          <w:sz w:val="24"/>
          <w:szCs w:val="24"/>
          <w:lang w:bidi="ar"/>
        </w:rPr>
        <w:t>》《</w:t>
      </w:r>
      <w:r>
        <w:rPr>
          <w:color w:val="000000"/>
          <w:kern w:val="0"/>
          <w:sz w:val="24"/>
          <w:szCs w:val="24"/>
          <w:lang w:bidi="ar"/>
        </w:rPr>
        <w:t>深圳证券交易所创业板股票上市规则</w:t>
      </w:r>
      <w:r>
        <w:rPr>
          <w:rFonts w:hint="eastAsia"/>
          <w:color w:val="000000"/>
          <w:kern w:val="0"/>
          <w:sz w:val="24"/>
          <w:szCs w:val="24"/>
          <w:lang w:bidi="ar"/>
        </w:rPr>
        <w:t>》《</w:t>
      </w:r>
      <w:r>
        <w:rPr>
          <w:color w:val="000000"/>
          <w:kern w:val="0"/>
          <w:sz w:val="24"/>
          <w:szCs w:val="24"/>
          <w:lang w:bidi="ar"/>
        </w:rPr>
        <w:t>深圳证券交易所上市公司自律监管指引第</w:t>
      </w:r>
      <w:r>
        <w:rPr>
          <w:color w:val="000000"/>
          <w:kern w:val="0"/>
          <w:sz w:val="24"/>
          <w:szCs w:val="24"/>
          <w:lang w:bidi="ar"/>
        </w:rPr>
        <w:t>2</w:t>
      </w:r>
      <w:r>
        <w:rPr>
          <w:color w:val="000000"/>
          <w:kern w:val="0"/>
          <w:sz w:val="24"/>
          <w:szCs w:val="24"/>
          <w:lang w:bidi="ar"/>
        </w:rPr>
        <w:t>号</w:t>
      </w:r>
      <w:r>
        <w:rPr>
          <w:color w:val="000000"/>
          <w:kern w:val="0"/>
          <w:sz w:val="24"/>
          <w:szCs w:val="24"/>
          <w:lang w:bidi="ar"/>
        </w:rPr>
        <w:t>——</w:t>
      </w:r>
      <w:r>
        <w:rPr>
          <w:color w:val="000000"/>
          <w:kern w:val="0"/>
          <w:sz w:val="24"/>
          <w:szCs w:val="24"/>
          <w:lang w:bidi="ar"/>
        </w:rPr>
        <w:t>创业板上</w:t>
      </w:r>
      <w:r>
        <w:rPr>
          <w:rFonts w:ascii="宋体" w:hAnsi="宋体" w:cs="宋体" w:hint="eastAsia"/>
          <w:color w:val="000000"/>
          <w:kern w:val="0"/>
          <w:sz w:val="24"/>
          <w:szCs w:val="24"/>
          <w:lang w:bidi="ar"/>
        </w:rPr>
        <w:t>市公司规范运作》等相关规范性文件的规定，对天亿马关于变更部分募集资金用途</w:t>
      </w:r>
      <w:r>
        <w:rPr>
          <w:rFonts w:ascii="宋体" w:hAnsi="宋体" w:cs="宋体" w:hint="eastAsia"/>
          <w:color w:val="000000"/>
          <w:kern w:val="0"/>
          <w:sz w:val="24"/>
          <w:szCs w:val="24"/>
          <w:lang w:bidi="ar"/>
        </w:rPr>
        <w:t>的</w:t>
      </w:r>
      <w:r>
        <w:rPr>
          <w:rFonts w:ascii="宋体" w:hAnsi="宋体" w:cs="宋体" w:hint="eastAsia"/>
          <w:color w:val="000000"/>
          <w:kern w:val="0"/>
          <w:sz w:val="24"/>
          <w:szCs w:val="24"/>
          <w:lang w:bidi="ar"/>
        </w:rPr>
        <w:t>事项</w:t>
      </w:r>
      <w:r>
        <w:rPr>
          <w:rFonts w:ascii="宋体" w:hAnsi="宋体" w:cs="宋体" w:hint="eastAsia"/>
          <w:color w:val="000000"/>
          <w:kern w:val="0"/>
          <w:sz w:val="24"/>
          <w:szCs w:val="24"/>
          <w:lang w:bidi="ar"/>
        </w:rPr>
        <w:t>进行了核查，并出具核查意见如下：</w:t>
      </w:r>
    </w:p>
    <w:p w:rsidR="00FB0E28" w:rsidRDefault="002757FE">
      <w:pPr>
        <w:spacing w:beforeLines="50" w:before="156" w:afterLines="50" w:after="156" w:line="360" w:lineRule="auto"/>
        <w:rPr>
          <w:b/>
          <w:color w:val="000000"/>
          <w:sz w:val="28"/>
          <w:szCs w:val="28"/>
        </w:rPr>
      </w:pPr>
      <w:r>
        <w:rPr>
          <w:rFonts w:hint="eastAsia"/>
          <w:b/>
          <w:color w:val="000000"/>
          <w:sz w:val="28"/>
          <w:szCs w:val="28"/>
        </w:rPr>
        <w:t>一</w:t>
      </w:r>
      <w:r>
        <w:rPr>
          <w:b/>
          <w:color w:val="000000"/>
          <w:sz w:val="28"/>
          <w:szCs w:val="28"/>
        </w:rPr>
        <w:t>、变更募集资金投资项目的概述</w:t>
      </w:r>
    </w:p>
    <w:p w:rsidR="00FB0E28" w:rsidRDefault="002757FE">
      <w:pPr>
        <w:spacing w:beforeLines="50" w:before="156" w:afterLines="50" w:after="156" w:line="360" w:lineRule="auto"/>
        <w:ind w:firstLineChars="200" w:firstLine="480"/>
        <w:rPr>
          <w:bCs/>
          <w:color w:val="000000"/>
          <w:sz w:val="24"/>
          <w:szCs w:val="24"/>
        </w:rPr>
      </w:pPr>
      <w:r>
        <w:rPr>
          <w:bCs/>
          <w:color w:val="000000"/>
          <w:sz w:val="24"/>
          <w:szCs w:val="24"/>
        </w:rPr>
        <w:t>（一）募集资金基本情况</w:t>
      </w:r>
    </w:p>
    <w:p w:rsidR="00FB0E28" w:rsidRDefault="002757FE">
      <w:pPr>
        <w:spacing w:beforeLines="50" w:before="156" w:afterLines="50" w:after="156" w:line="360" w:lineRule="auto"/>
        <w:ind w:firstLineChars="200" w:firstLine="480"/>
        <w:rPr>
          <w:bCs/>
          <w:color w:val="000000"/>
          <w:sz w:val="24"/>
          <w:szCs w:val="24"/>
        </w:rPr>
      </w:pPr>
      <w:r>
        <w:rPr>
          <w:bCs/>
          <w:color w:val="000000"/>
          <w:sz w:val="24"/>
          <w:szCs w:val="24"/>
        </w:rPr>
        <w:t>经中国证券监督管理委员会《关于同意广东天亿马信息产业股份有限公司首次公开发行股票注册的批复》（证监许可</w:t>
      </w:r>
      <w:r>
        <w:rPr>
          <w:rFonts w:hint="eastAsia"/>
          <w:bCs/>
          <w:color w:val="000000"/>
          <w:sz w:val="24"/>
          <w:szCs w:val="24"/>
        </w:rPr>
        <w:t>〔</w:t>
      </w:r>
      <w:r>
        <w:rPr>
          <w:rFonts w:hint="eastAsia"/>
          <w:bCs/>
          <w:color w:val="000000"/>
          <w:sz w:val="24"/>
          <w:szCs w:val="24"/>
        </w:rPr>
        <w:t>2021</w:t>
      </w:r>
      <w:r>
        <w:rPr>
          <w:rFonts w:hint="eastAsia"/>
          <w:bCs/>
          <w:color w:val="000000"/>
          <w:sz w:val="24"/>
          <w:szCs w:val="24"/>
        </w:rPr>
        <w:t>〕</w:t>
      </w:r>
      <w:r>
        <w:rPr>
          <w:rFonts w:hint="eastAsia"/>
          <w:bCs/>
          <w:color w:val="000000"/>
          <w:sz w:val="24"/>
          <w:szCs w:val="24"/>
        </w:rPr>
        <w:t>2937</w:t>
      </w:r>
      <w:r>
        <w:rPr>
          <w:rFonts w:hint="eastAsia"/>
          <w:bCs/>
          <w:color w:val="000000"/>
          <w:sz w:val="24"/>
          <w:szCs w:val="24"/>
        </w:rPr>
        <w:t>号</w:t>
      </w:r>
      <w:r>
        <w:rPr>
          <w:bCs/>
          <w:color w:val="000000"/>
          <w:sz w:val="24"/>
          <w:szCs w:val="24"/>
        </w:rPr>
        <w:t>）同意，并经深圳证券交易所同意，广东天亿马信息产业股份有限公司首次向社会公众发行人民币普通股（</w:t>
      </w:r>
      <w:r>
        <w:rPr>
          <w:bCs/>
          <w:color w:val="000000"/>
          <w:sz w:val="24"/>
          <w:szCs w:val="24"/>
        </w:rPr>
        <w:t>A</w:t>
      </w:r>
      <w:r>
        <w:rPr>
          <w:bCs/>
          <w:color w:val="000000"/>
          <w:sz w:val="24"/>
          <w:szCs w:val="24"/>
        </w:rPr>
        <w:t>股）股票</w:t>
      </w:r>
      <w:r>
        <w:rPr>
          <w:bCs/>
          <w:color w:val="000000"/>
          <w:sz w:val="24"/>
          <w:szCs w:val="24"/>
        </w:rPr>
        <w:t>1,177.80</w:t>
      </w:r>
      <w:r>
        <w:rPr>
          <w:bCs/>
          <w:color w:val="000000"/>
          <w:sz w:val="24"/>
          <w:szCs w:val="24"/>
        </w:rPr>
        <w:t>万股，每股面值人民币</w:t>
      </w:r>
      <w:r>
        <w:rPr>
          <w:bCs/>
          <w:color w:val="000000"/>
          <w:sz w:val="24"/>
          <w:szCs w:val="24"/>
        </w:rPr>
        <w:t>1.00</w:t>
      </w:r>
      <w:r>
        <w:rPr>
          <w:bCs/>
          <w:color w:val="000000"/>
          <w:sz w:val="24"/>
          <w:szCs w:val="24"/>
        </w:rPr>
        <w:t>元，每股发行价格为</w:t>
      </w:r>
      <w:r>
        <w:rPr>
          <w:bCs/>
          <w:color w:val="000000"/>
          <w:sz w:val="24"/>
          <w:szCs w:val="24"/>
        </w:rPr>
        <w:t>48.66</w:t>
      </w:r>
      <w:r>
        <w:rPr>
          <w:bCs/>
          <w:color w:val="000000"/>
          <w:sz w:val="24"/>
          <w:szCs w:val="24"/>
        </w:rPr>
        <w:t>元。本次募集资金总额为人民币</w:t>
      </w:r>
      <w:r>
        <w:rPr>
          <w:bCs/>
          <w:color w:val="000000"/>
          <w:sz w:val="24"/>
          <w:szCs w:val="24"/>
        </w:rPr>
        <w:t>573,117,480.00</w:t>
      </w:r>
      <w:r>
        <w:rPr>
          <w:bCs/>
          <w:color w:val="000000"/>
          <w:sz w:val="24"/>
          <w:szCs w:val="24"/>
        </w:rPr>
        <w:t>元，扣除发行费用人民币</w:t>
      </w:r>
      <w:r>
        <w:rPr>
          <w:bCs/>
          <w:color w:val="000000"/>
          <w:sz w:val="24"/>
          <w:szCs w:val="24"/>
        </w:rPr>
        <w:t>62,856,828.00</w:t>
      </w:r>
      <w:r>
        <w:rPr>
          <w:bCs/>
          <w:color w:val="000000"/>
          <w:sz w:val="24"/>
          <w:szCs w:val="24"/>
        </w:rPr>
        <w:t>元（不含增值税），实际募集资金净额为人民币</w:t>
      </w:r>
      <w:r>
        <w:rPr>
          <w:bCs/>
          <w:color w:val="000000"/>
          <w:sz w:val="24"/>
          <w:szCs w:val="24"/>
        </w:rPr>
        <w:t>510,260,652.00</w:t>
      </w:r>
      <w:r>
        <w:rPr>
          <w:bCs/>
          <w:color w:val="000000"/>
          <w:sz w:val="24"/>
          <w:szCs w:val="24"/>
        </w:rPr>
        <w:t>元。该项募集资金已于</w:t>
      </w:r>
      <w:r>
        <w:rPr>
          <w:bCs/>
          <w:color w:val="000000"/>
          <w:sz w:val="24"/>
          <w:szCs w:val="24"/>
        </w:rPr>
        <w:t>2021</w:t>
      </w:r>
      <w:r>
        <w:rPr>
          <w:bCs/>
          <w:color w:val="000000"/>
          <w:sz w:val="24"/>
          <w:szCs w:val="24"/>
        </w:rPr>
        <w:t>年</w:t>
      </w:r>
      <w:r>
        <w:rPr>
          <w:bCs/>
          <w:color w:val="000000"/>
          <w:sz w:val="24"/>
          <w:szCs w:val="24"/>
        </w:rPr>
        <w:t>11</w:t>
      </w:r>
      <w:r>
        <w:rPr>
          <w:bCs/>
          <w:color w:val="000000"/>
          <w:sz w:val="24"/>
          <w:szCs w:val="24"/>
        </w:rPr>
        <w:t>月</w:t>
      </w:r>
      <w:r>
        <w:rPr>
          <w:bCs/>
          <w:color w:val="000000"/>
          <w:sz w:val="24"/>
          <w:szCs w:val="24"/>
        </w:rPr>
        <w:t>5</w:t>
      </w:r>
      <w:r>
        <w:rPr>
          <w:bCs/>
          <w:color w:val="000000"/>
          <w:sz w:val="24"/>
          <w:szCs w:val="24"/>
        </w:rPr>
        <w:t>日存入公司募集资金专用账户，并经中审众环会计师事务所（特殊普通合伙）以众环验字</w:t>
      </w:r>
      <w:r>
        <w:rPr>
          <w:rFonts w:hint="eastAsia"/>
          <w:bCs/>
          <w:color w:val="000000"/>
          <w:sz w:val="24"/>
          <w:szCs w:val="24"/>
        </w:rPr>
        <w:t>〔</w:t>
      </w:r>
      <w:r>
        <w:rPr>
          <w:bCs/>
          <w:color w:val="000000"/>
          <w:sz w:val="24"/>
          <w:szCs w:val="24"/>
        </w:rPr>
        <w:t>2021</w:t>
      </w:r>
      <w:r>
        <w:rPr>
          <w:rFonts w:hint="eastAsia"/>
          <w:bCs/>
          <w:color w:val="000000"/>
          <w:sz w:val="24"/>
          <w:szCs w:val="24"/>
        </w:rPr>
        <w:t>〕</w:t>
      </w:r>
      <w:r>
        <w:rPr>
          <w:bCs/>
          <w:color w:val="000000"/>
          <w:sz w:val="24"/>
          <w:szCs w:val="24"/>
        </w:rPr>
        <w:t>0600012</w:t>
      </w:r>
      <w:r>
        <w:rPr>
          <w:bCs/>
          <w:color w:val="000000"/>
          <w:sz w:val="24"/>
          <w:szCs w:val="24"/>
        </w:rPr>
        <w:t>号《验资报告》审验。</w:t>
      </w:r>
      <w:r>
        <w:rPr>
          <w:bCs/>
          <w:color w:val="000000"/>
          <w:sz w:val="24"/>
          <w:szCs w:val="24"/>
        </w:rPr>
        <w:t>根据公司《首次公开发行股票并在创业板上市招股说明书》公司拟募集资金</w:t>
      </w:r>
      <w:r>
        <w:rPr>
          <w:bCs/>
          <w:color w:val="000000"/>
          <w:sz w:val="24"/>
          <w:szCs w:val="24"/>
        </w:rPr>
        <w:t>279,361,500.00</w:t>
      </w:r>
      <w:r>
        <w:rPr>
          <w:bCs/>
          <w:color w:val="000000"/>
          <w:sz w:val="24"/>
          <w:szCs w:val="24"/>
        </w:rPr>
        <w:t>元，本次超募资金为</w:t>
      </w:r>
      <w:r>
        <w:rPr>
          <w:bCs/>
          <w:color w:val="000000"/>
          <w:sz w:val="24"/>
          <w:szCs w:val="24"/>
        </w:rPr>
        <w:t>230,899,152.00</w:t>
      </w:r>
      <w:r>
        <w:rPr>
          <w:bCs/>
          <w:color w:val="000000"/>
          <w:sz w:val="24"/>
          <w:szCs w:val="24"/>
        </w:rPr>
        <w:t>元。</w:t>
      </w:r>
    </w:p>
    <w:p w:rsidR="00FB0E28" w:rsidRDefault="002757FE">
      <w:pPr>
        <w:spacing w:beforeLines="50" w:before="156" w:afterLines="50" w:after="156" w:line="360" w:lineRule="auto"/>
        <w:ind w:firstLineChars="200" w:firstLine="480"/>
        <w:rPr>
          <w:bCs/>
          <w:color w:val="000000"/>
          <w:sz w:val="24"/>
          <w:szCs w:val="24"/>
        </w:rPr>
      </w:pPr>
      <w:r>
        <w:rPr>
          <w:bCs/>
          <w:color w:val="000000"/>
          <w:sz w:val="24"/>
          <w:szCs w:val="24"/>
        </w:rPr>
        <w:t>（二）募集资金计划使用情况</w:t>
      </w:r>
    </w:p>
    <w:p w:rsidR="00FB0E28" w:rsidRDefault="002757FE">
      <w:pPr>
        <w:spacing w:beforeLines="50" w:before="156" w:afterLines="50" w:after="156" w:line="360" w:lineRule="auto"/>
        <w:ind w:firstLineChars="200" w:firstLine="480"/>
        <w:rPr>
          <w:bCs/>
          <w:color w:val="000000"/>
          <w:sz w:val="24"/>
          <w:szCs w:val="24"/>
        </w:rPr>
      </w:pPr>
      <w:r>
        <w:rPr>
          <w:bCs/>
          <w:color w:val="000000"/>
          <w:sz w:val="24"/>
          <w:szCs w:val="24"/>
        </w:rPr>
        <w:t>根据《广东天亿马信息产业股份有限公司首次公开发行股票并在创业板上市招股说明书》以及公司实际募集资金情况，公司募集资金用途如下：</w:t>
      </w:r>
    </w:p>
    <w:tbl>
      <w:tblPr>
        <w:tblStyle w:val="a3"/>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369"/>
        <w:gridCol w:w="2453"/>
        <w:gridCol w:w="2700"/>
      </w:tblGrid>
      <w:tr w:rsidR="00FB0E28">
        <w:trPr>
          <w:trHeight w:val="340"/>
        </w:trPr>
        <w:tc>
          <w:tcPr>
            <w:tcW w:w="1976" w:type="pct"/>
            <w:tcBorders>
              <w:tl2br w:val="nil"/>
              <w:tr2bl w:val="nil"/>
            </w:tcBorders>
          </w:tcPr>
          <w:p w:rsidR="00FB0E28" w:rsidRDefault="002757FE">
            <w:pPr>
              <w:tabs>
                <w:tab w:val="center" w:pos="4153"/>
                <w:tab w:val="right" w:pos="8306"/>
              </w:tabs>
              <w:jc w:val="center"/>
              <w:rPr>
                <w:b/>
                <w:bCs/>
                <w:sz w:val="18"/>
                <w:szCs w:val="18"/>
              </w:rPr>
            </w:pPr>
            <w:r>
              <w:rPr>
                <w:b/>
                <w:bCs/>
                <w:sz w:val="18"/>
                <w:szCs w:val="18"/>
              </w:rPr>
              <w:lastRenderedPageBreak/>
              <w:t>项目名称</w:t>
            </w:r>
          </w:p>
        </w:tc>
        <w:tc>
          <w:tcPr>
            <w:tcW w:w="1439" w:type="pct"/>
            <w:tcBorders>
              <w:tl2br w:val="nil"/>
              <w:tr2bl w:val="nil"/>
            </w:tcBorders>
          </w:tcPr>
          <w:p w:rsidR="00FB0E28" w:rsidRDefault="002757FE">
            <w:pPr>
              <w:tabs>
                <w:tab w:val="center" w:pos="4153"/>
                <w:tab w:val="right" w:pos="8306"/>
              </w:tabs>
              <w:jc w:val="center"/>
              <w:rPr>
                <w:b/>
                <w:bCs/>
                <w:sz w:val="18"/>
                <w:szCs w:val="18"/>
              </w:rPr>
            </w:pPr>
            <w:r>
              <w:rPr>
                <w:b/>
                <w:bCs/>
                <w:sz w:val="18"/>
                <w:szCs w:val="18"/>
              </w:rPr>
              <w:t>项目总投资额（万元）</w:t>
            </w:r>
          </w:p>
        </w:tc>
        <w:tc>
          <w:tcPr>
            <w:tcW w:w="1583" w:type="pct"/>
            <w:tcBorders>
              <w:tl2br w:val="nil"/>
              <w:tr2bl w:val="nil"/>
            </w:tcBorders>
          </w:tcPr>
          <w:p w:rsidR="00FB0E28" w:rsidRDefault="002757FE">
            <w:pPr>
              <w:tabs>
                <w:tab w:val="center" w:pos="4153"/>
                <w:tab w:val="right" w:pos="8306"/>
              </w:tabs>
              <w:jc w:val="center"/>
              <w:rPr>
                <w:b/>
                <w:bCs/>
                <w:sz w:val="18"/>
                <w:szCs w:val="18"/>
              </w:rPr>
            </w:pPr>
            <w:r>
              <w:rPr>
                <w:b/>
                <w:bCs/>
                <w:sz w:val="18"/>
                <w:szCs w:val="18"/>
              </w:rPr>
              <w:t>运用募集资金投资（万元）</w:t>
            </w:r>
          </w:p>
        </w:tc>
      </w:tr>
      <w:tr w:rsidR="00FB0E28">
        <w:trPr>
          <w:trHeight w:val="340"/>
        </w:trPr>
        <w:tc>
          <w:tcPr>
            <w:tcW w:w="1976" w:type="pct"/>
            <w:tcBorders>
              <w:tl2br w:val="nil"/>
              <w:tr2bl w:val="nil"/>
            </w:tcBorders>
          </w:tcPr>
          <w:p w:rsidR="00FB0E28" w:rsidRDefault="002757FE">
            <w:pPr>
              <w:tabs>
                <w:tab w:val="center" w:pos="4153"/>
                <w:tab w:val="right" w:pos="8306"/>
              </w:tabs>
              <w:rPr>
                <w:bCs/>
                <w:sz w:val="18"/>
                <w:szCs w:val="18"/>
              </w:rPr>
            </w:pPr>
            <w:r>
              <w:rPr>
                <w:sz w:val="18"/>
                <w:szCs w:val="18"/>
              </w:rPr>
              <w:t>智慧城市综合解决方案升级项目</w:t>
            </w:r>
          </w:p>
        </w:tc>
        <w:tc>
          <w:tcPr>
            <w:tcW w:w="1439" w:type="pct"/>
            <w:tcBorders>
              <w:tl2br w:val="nil"/>
              <w:tr2bl w:val="nil"/>
            </w:tcBorders>
          </w:tcPr>
          <w:p w:rsidR="00FB0E28" w:rsidRDefault="002757FE">
            <w:pPr>
              <w:tabs>
                <w:tab w:val="center" w:pos="4153"/>
                <w:tab w:val="right" w:pos="8306"/>
              </w:tabs>
              <w:jc w:val="right"/>
              <w:rPr>
                <w:bCs/>
                <w:sz w:val="18"/>
                <w:szCs w:val="18"/>
              </w:rPr>
            </w:pPr>
            <w:r>
              <w:rPr>
                <w:sz w:val="18"/>
                <w:szCs w:val="18"/>
              </w:rPr>
              <w:t>12,572.70</w:t>
            </w:r>
          </w:p>
        </w:tc>
        <w:tc>
          <w:tcPr>
            <w:tcW w:w="1583" w:type="pct"/>
            <w:tcBorders>
              <w:tl2br w:val="nil"/>
              <w:tr2bl w:val="nil"/>
            </w:tcBorders>
          </w:tcPr>
          <w:p w:rsidR="00FB0E28" w:rsidRDefault="002757FE">
            <w:pPr>
              <w:tabs>
                <w:tab w:val="center" w:pos="4153"/>
                <w:tab w:val="right" w:pos="8306"/>
              </w:tabs>
              <w:jc w:val="right"/>
              <w:rPr>
                <w:bCs/>
                <w:sz w:val="18"/>
                <w:szCs w:val="18"/>
              </w:rPr>
            </w:pPr>
            <w:r>
              <w:rPr>
                <w:sz w:val="18"/>
                <w:szCs w:val="18"/>
              </w:rPr>
              <w:t>12,572.70</w:t>
            </w:r>
          </w:p>
        </w:tc>
      </w:tr>
      <w:tr w:rsidR="00FB0E28">
        <w:trPr>
          <w:trHeight w:val="340"/>
        </w:trPr>
        <w:tc>
          <w:tcPr>
            <w:tcW w:w="1976" w:type="pct"/>
            <w:tcBorders>
              <w:tl2br w:val="nil"/>
              <w:tr2bl w:val="nil"/>
            </w:tcBorders>
          </w:tcPr>
          <w:p w:rsidR="00FB0E28" w:rsidRDefault="002757FE">
            <w:pPr>
              <w:tabs>
                <w:tab w:val="center" w:pos="4153"/>
                <w:tab w:val="right" w:pos="8306"/>
              </w:tabs>
              <w:rPr>
                <w:bCs/>
                <w:sz w:val="18"/>
                <w:szCs w:val="18"/>
              </w:rPr>
            </w:pPr>
            <w:r>
              <w:rPr>
                <w:sz w:val="18"/>
                <w:szCs w:val="18"/>
              </w:rPr>
              <w:t>大数据应用技术中心建设项目</w:t>
            </w:r>
          </w:p>
        </w:tc>
        <w:tc>
          <w:tcPr>
            <w:tcW w:w="1439" w:type="pct"/>
            <w:tcBorders>
              <w:tl2br w:val="nil"/>
              <w:tr2bl w:val="nil"/>
            </w:tcBorders>
          </w:tcPr>
          <w:p w:rsidR="00FB0E28" w:rsidRDefault="002757FE">
            <w:pPr>
              <w:tabs>
                <w:tab w:val="center" w:pos="4153"/>
                <w:tab w:val="right" w:pos="8306"/>
              </w:tabs>
              <w:jc w:val="right"/>
              <w:rPr>
                <w:bCs/>
                <w:sz w:val="18"/>
                <w:szCs w:val="18"/>
              </w:rPr>
            </w:pPr>
            <w:r>
              <w:rPr>
                <w:sz w:val="18"/>
                <w:szCs w:val="18"/>
              </w:rPr>
              <w:t>3,763.60</w:t>
            </w:r>
          </w:p>
        </w:tc>
        <w:tc>
          <w:tcPr>
            <w:tcW w:w="1583" w:type="pct"/>
            <w:tcBorders>
              <w:tl2br w:val="nil"/>
              <w:tr2bl w:val="nil"/>
            </w:tcBorders>
          </w:tcPr>
          <w:p w:rsidR="00FB0E28" w:rsidRDefault="002757FE">
            <w:pPr>
              <w:tabs>
                <w:tab w:val="center" w:pos="4153"/>
                <w:tab w:val="right" w:pos="8306"/>
              </w:tabs>
              <w:jc w:val="right"/>
              <w:rPr>
                <w:bCs/>
                <w:sz w:val="18"/>
                <w:szCs w:val="18"/>
              </w:rPr>
            </w:pPr>
            <w:r>
              <w:rPr>
                <w:sz w:val="18"/>
                <w:szCs w:val="18"/>
              </w:rPr>
              <w:t>3,763.60</w:t>
            </w:r>
          </w:p>
        </w:tc>
      </w:tr>
      <w:tr w:rsidR="00FB0E28">
        <w:trPr>
          <w:trHeight w:val="340"/>
        </w:trPr>
        <w:tc>
          <w:tcPr>
            <w:tcW w:w="1976" w:type="pct"/>
            <w:tcBorders>
              <w:tl2br w:val="nil"/>
              <w:tr2bl w:val="nil"/>
            </w:tcBorders>
          </w:tcPr>
          <w:p w:rsidR="00FB0E28" w:rsidRDefault="002757FE">
            <w:pPr>
              <w:tabs>
                <w:tab w:val="center" w:pos="4153"/>
                <w:tab w:val="right" w:pos="8306"/>
              </w:tabs>
              <w:rPr>
                <w:bCs/>
                <w:sz w:val="18"/>
                <w:szCs w:val="18"/>
              </w:rPr>
            </w:pPr>
            <w:r>
              <w:rPr>
                <w:sz w:val="18"/>
                <w:szCs w:val="18"/>
              </w:rPr>
              <w:t>营销服务体系升级建设项目</w:t>
            </w:r>
          </w:p>
        </w:tc>
        <w:tc>
          <w:tcPr>
            <w:tcW w:w="1439" w:type="pct"/>
            <w:tcBorders>
              <w:tl2br w:val="nil"/>
              <w:tr2bl w:val="nil"/>
            </w:tcBorders>
          </w:tcPr>
          <w:p w:rsidR="00FB0E28" w:rsidRDefault="002757FE">
            <w:pPr>
              <w:tabs>
                <w:tab w:val="center" w:pos="4153"/>
                <w:tab w:val="right" w:pos="8306"/>
              </w:tabs>
              <w:jc w:val="right"/>
              <w:rPr>
                <w:bCs/>
                <w:sz w:val="18"/>
                <w:szCs w:val="18"/>
              </w:rPr>
            </w:pPr>
            <w:r>
              <w:rPr>
                <w:sz w:val="18"/>
                <w:szCs w:val="18"/>
              </w:rPr>
              <w:t>1,599.85</w:t>
            </w:r>
          </w:p>
        </w:tc>
        <w:tc>
          <w:tcPr>
            <w:tcW w:w="1583" w:type="pct"/>
            <w:tcBorders>
              <w:tl2br w:val="nil"/>
              <w:tr2bl w:val="nil"/>
            </w:tcBorders>
          </w:tcPr>
          <w:p w:rsidR="00FB0E28" w:rsidRDefault="002757FE">
            <w:pPr>
              <w:tabs>
                <w:tab w:val="center" w:pos="4153"/>
                <w:tab w:val="right" w:pos="8306"/>
              </w:tabs>
              <w:jc w:val="right"/>
              <w:rPr>
                <w:bCs/>
                <w:sz w:val="18"/>
                <w:szCs w:val="18"/>
              </w:rPr>
            </w:pPr>
            <w:r>
              <w:rPr>
                <w:sz w:val="18"/>
                <w:szCs w:val="18"/>
              </w:rPr>
              <w:t>1,599.85</w:t>
            </w:r>
          </w:p>
        </w:tc>
      </w:tr>
      <w:tr w:rsidR="00FB0E28">
        <w:trPr>
          <w:trHeight w:val="340"/>
        </w:trPr>
        <w:tc>
          <w:tcPr>
            <w:tcW w:w="1976" w:type="pct"/>
            <w:tcBorders>
              <w:tl2br w:val="nil"/>
              <w:tr2bl w:val="nil"/>
            </w:tcBorders>
          </w:tcPr>
          <w:p w:rsidR="00FB0E28" w:rsidRDefault="002757FE">
            <w:pPr>
              <w:tabs>
                <w:tab w:val="center" w:pos="4153"/>
                <w:tab w:val="right" w:pos="8306"/>
              </w:tabs>
              <w:rPr>
                <w:bCs/>
                <w:sz w:val="18"/>
                <w:szCs w:val="18"/>
              </w:rPr>
            </w:pPr>
            <w:r>
              <w:rPr>
                <w:sz w:val="18"/>
                <w:szCs w:val="18"/>
              </w:rPr>
              <w:t>补充流动资金</w:t>
            </w:r>
          </w:p>
        </w:tc>
        <w:tc>
          <w:tcPr>
            <w:tcW w:w="1439" w:type="pct"/>
            <w:tcBorders>
              <w:tl2br w:val="nil"/>
              <w:tr2bl w:val="nil"/>
            </w:tcBorders>
          </w:tcPr>
          <w:p w:rsidR="00FB0E28" w:rsidRDefault="002757FE">
            <w:pPr>
              <w:tabs>
                <w:tab w:val="center" w:pos="4153"/>
                <w:tab w:val="right" w:pos="8306"/>
              </w:tabs>
              <w:jc w:val="right"/>
              <w:rPr>
                <w:bCs/>
                <w:sz w:val="18"/>
                <w:szCs w:val="18"/>
              </w:rPr>
            </w:pPr>
            <w:r>
              <w:rPr>
                <w:sz w:val="18"/>
                <w:szCs w:val="18"/>
              </w:rPr>
              <w:t>10,000.00</w:t>
            </w:r>
          </w:p>
        </w:tc>
        <w:tc>
          <w:tcPr>
            <w:tcW w:w="1583" w:type="pct"/>
            <w:tcBorders>
              <w:tl2br w:val="nil"/>
              <w:tr2bl w:val="nil"/>
            </w:tcBorders>
          </w:tcPr>
          <w:p w:rsidR="00FB0E28" w:rsidRDefault="002757FE">
            <w:pPr>
              <w:tabs>
                <w:tab w:val="center" w:pos="4153"/>
                <w:tab w:val="right" w:pos="8306"/>
              </w:tabs>
              <w:jc w:val="right"/>
              <w:rPr>
                <w:bCs/>
                <w:sz w:val="18"/>
                <w:szCs w:val="18"/>
              </w:rPr>
            </w:pPr>
            <w:r>
              <w:rPr>
                <w:sz w:val="18"/>
                <w:szCs w:val="18"/>
              </w:rPr>
              <w:t>10,000.00</w:t>
            </w:r>
          </w:p>
        </w:tc>
      </w:tr>
      <w:tr w:rsidR="00FB0E28">
        <w:trPr>
          <w:trHeight w:val="340"/>
        </w:trPr>
        <w:tc>
          <w:tcPr>
            <w:tcW w:w="1976" w:type="pct"/>
            <w:tcBorders>
              <w:tl2br w:val="nil"/>
              <w:tr2bl w:val="nil"/>
            </w:tcBorders>
          </w:tcPr>
          <w:p w:rsidR="00FB0E28" w:rsidRDefault="002757FE">
            <w:pPr>
              <w:tabs>
                <w:tab w:val="center" w:pos="4153"/>
                <w:tab w:val="right" w:pos="8306"/>
              </w:tabs>
              <w:rPr>
                <w:b/>
                <w:bCs/>
                <w:sz w:val="18"/>
                <w:szCs w:val="18"/>
              </w:rPr>
            </w:pPr>
            <w:r>
              <w:rPr>
                <w:b/>
                <w:bCs/>
                <w:sz w:val="18"/>
                <w:szCs w:val="18"/>
              </w:rPr>
              <w:t>合计</w:t>
            </w:r>
          </w:p>
        </w:tc>
        <w:tc>
          <w:tcPr>
            <w:tcW w:w="1439" w:type="pct"/>
            <w:tcBorders>
              <w:tl2br w:val="nil"/>
              <w:tr2bl w:val="nil"/>
            </w:tcBorders>
          </w:tcPr>
          <w:p w:rsidR="00FB0E28" w:rsidRDefault="002757FE">
            <w:pPr>
              <w:tabs>
                <w:tab w:val="center" w:pos="4153"/>
                <w:tab w:val="right" w:pos="8306"/>
              </w:tabs>
              <w:jc w:val="right"/>
              <w:rPr>
                <w:b/>
                <w:bCs/>
                <w:sz w:val="18"/>
                <w:szCs w:val="18"/>
              </w:rPr>
            </w:pPr>
            <w:r>
              <w:rPr>
                <w:b/>
                <w:bCs/>
                <w:sz w:val="18"/>
                <w:szCs w:val="18"/>
              </w:rPr>
              <w:t>27,936.15</w:t>
            </w:r>
          </w:p>
        </w:tc>
        <w:tc>
          <w:tcPr>
            <w:tcW w:w="1583" w:type="pct"/>
            <w:tcBorders>
              <w:tl2br w:val="nil"/>
              <w:tr2bl w:val="nil"/>
            </w:tcBorders>
          </w:tcPr>
          <w:p w:rsidR="00FB0E28" w:rsidRDefault="002757FE">
            <w:pPr>
              <w:tabs>
                <w:tab w:val="center" w:pos="4153"/>
                <w:tab w:val="right" w:pos="8306"/>
              </w:tabs>
              <w:jc w:val="right"/>
              <w:rPr>
                <w:b/>
                <w:bCs/>
                <w:sz w:val="18"/>
                <w:szCs w:val="18"/>
              </w:rPr>
            </w:pPr>
            <w:r>
              <w:rPr>
                <w:b/>
                <w:bCs/>
                <w:sz w:val="18"/>
                <w:szCs w:val="18"/>
              </w:rPr>
              <w:t>27,936.15</w:t>
            </w:r>
          </w:p>
        </w:tc>
      </w:tr>
    </w:tbl>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根据经营规划及发展实际需求，公司于</w:t>
      </w:r>
      <w:r>
        <w:rPr>
          <w:color w:val="000000"/>
          <w:kern w:val="0"/>
          <w:sz w:val="24"/>
          <w:szCs w:val="24"/>
          <w:lang w:bidi="ar"/>
        </w:rPr>
        <w:t>2023</w:t>
      </w:r>
      <w:r>
        <w:rPr>
          <w:color w:val="000000"/>
          <w:kern w:val="0"/>
          <w:sz w:val="24"/>
          <w:szCs w:val="24"/>
          <w:lang w:bidi="ar"/>
        </w:rPr>
        <w:t>年</w:t>
      </w:r>
      <w:r>
        <w:rPr>
          <w:color w:val="000000"/>
          <w:kern w:val="0"/>
          <w:sz w:val="24"/>
          <w:szCs w:val="24"/>
          <w:lang w:bidi="ar"/>
        </w:rPr>
        <w:t>8</w:t>
      </w:r>
      <w:r>
        <w:rPr>
          <w:color w:val="000000"/>
          <w:kern w:val="0"/>
          <w:sz w:val="24"/>
          <w:szCs w:val="24"/>
          <w:lang w:bidi="ar"/>
        </w:rPr>
        <w:t>月</w:t>
      </w:r>
      <w:r>
        <w:rPr>
          <w:color w:val="000000"/>
          <w:kern w:val="0"/>
          <w:sz w:val="24"/>
          <w:szCs w:val="24"/>
          <w:lang w:bidi="ar"/>
        </w:rPr>
        <w:t>2</w:t>
      </w:r>
      <w:r>
        <w:rPr>
          <w:color w:val="000000"/>
          <w:kern w:val="0"/>
          <w:sz w:val="24"/>
          <w:szCs w:val="24"/>
          <w:lang w:bidi="ar"/>
        </w:rPr>
        <w:t>日召开第三届董事会第十四次会议和第三届监事会第十二次会议，并于</w:t>
      </w:r>
      <w:r>
        <w:rPr>
          <w:color w:val="000000"/>
          <w:kern w:val="0"/>
          <w:sz w:val="24"/>
          <w:szCs w:val="24"/>
          <w:lang w:bidi="ar"/>
        </w:rPr>
        <w:t>2023</w:t>
      </w:r>
      <w:r>
        <w:rPr>
          <w:color w:val="000000"/>
          <w:kern w:val="0"/>
          <w:sz w:val="24"/>
          <w:szCs w:val="24"/>
          <w:lang w:bidi="ar"/>
        </w:rPr>
        <w:t>年</w:t>
      </w:r>
      <w:r>
        <w:rPr>
          <w:color w:val="000000"/>
          <w:kern w:val="0"/>
          <w:sz w:val="24"/>
          <w:szCs w:val="24"/>
          <w:lang w:bidi="ar"/>
        </w:rPr>
        <w:t>8</w:t>
      </w:r>
      <w:r>
        <w:rPr>
          <w:color w:val="000000"/>
          <w:kern w:val="0"/>
          <w:sz w:val="24"/>
          <w:szCs w:val="24"/>
          <w:lang w:bidi="ar"/>
        </w:rPr>
        <w:t>月</w:t>
      </w:r>
      <w:r>
        <w:rPr>
          <w:color w:val="000000"/>
          <w:kern w:val="0"/>
          <w:sz w:val="24"/>
          <w:szCs w:val="24"/>
          <w:lang w:bidi="ar"/>
        </w:rPr>
        <w:t>21</w:t>
      </w:r>
      <w:r>
        <w:rPr>
          <w:color w:val="000000"/>
          <w:kern w:val="0"/>
          <w:sz w:val="24"/>
          <w:szCs w:val="24"/>
          <w:lang w:bidi="ar"/>
        </w:rPr>
        <w:t>日召开</w:t>
      </w:r>
      <w:r>
        <w:rPr>
          <w:color w:val="000000"/>
          <w:kern w:val="0"/>
          <w:sz w:val="24"/>
          <w:szCs w:val="24"/>
          <w:lang w:bidi="ar"/>
        </w:rPr>
        <w:t>2023</w:t>
      </w:r>
      <w:r>
        <w:rPr>
          <w:color w:val="000000"/>
          <w:kern w:val="0"/>
          <w:sz w:val="24"/>
          <w:szCs w:val="24"/>
          <w:lang w:bidi="ar"/>
        </w:rPr>
        <w:t>年第三次临时股东大会，审议通过了《关于变更募投项目实施主体、实施地点及部分募集资金用途的议案》，将原募投</w:t>
      </w:r>
      <w:r>
        <w:rPr>
          <w:rFonts w:hint="eastAsia"/>
          <w:color w:val="000000"/>
          <w:kern w:val="0"/>
          <w:sz w:val="24"/>
          <w:szCs w:val="24"/>
          <w:lang w:bidi="ar"/>
        </w:rPr>
        <w:t>项目</w:t>
      </w:r>
      <w:r>
        <w:rPr>
          <w:color w:val="000000"/>
          <w:kern w:val="0"/>
          <w:sz w:val="24"/>
          <w:szCs w:val="24"/>
          <w:lang w:bidi="ar"/>
        </w:rPr>
        <w:t>“</w:t>
      </w:r>
      <w:r>
        <w:rPr>
          <w:color w:val="000000"/>
          <w:kern w:val="0"/>
          <w:sz w:val="24"/>
          <w:szCs w:val="24"/>
          <w:lang w:bidi="ar"/>
        </w:rPr>
        <w:t>大数据应用技术中心建设项目</w:t>
      </w:r>
      <w:r>
        <w:rPr>
          <w:color w:val="000000"/>
          <w:kern w:val="0"/>
          <w:sz w:val="24"/>
          <w:szCs w:val="24"/>
          <w:lang w:bidi="ar"/>
        </w:rPr>
        <w:t>”</w:t>
      </w:r>
      <w:r>
        <w:rPr>
          <w:color w:val="000000"/>
          <w:kern w:val="0"/>
          <w:sz w:val="24"/>
          <w:szCs w:val="24"/>
          <w:lang w:bidi="ar"/>
        </w:rPr>
        <w:t>扩展升级为</w:t>
      </w:r>
      <w:r>
        <w:rPr>
          <w:color w:val="000000"/>
          <w:kern w:val="0"/>
          <w:sz w:val="24"/>
          <w:szCs w:val="24"/>
          <w:lang w:bidi="ar"/>
        </w:rPr>
        <w:t>“</w:t>
      </w:r>
      <w:r>
        <w:rPr>
          <w:color w:val="000000"/>
          <w:kern w:val="0"/>
          <w:sz w:val="24"/>
          <w:szCs w:val="24"/>
          <w:lang w:bidi="ar"/>
        </w:rPr>
        <w:t>深圳综合运营中心项目</w:t>
      </w:r>
      <w:r>
        <w:rPr>
          <w:color w:val="000000"/>
          <w:kern w:val="0"/>
          <w:sz w:val="24"/>
          <w:szCs w:val="24"/>
          <w:lang w:bidi="ar"/>
        </w:rPr>
        <w:t>”</w:t>
      </w:r>
      <w:r>
        <w:rPr>
          <w:color w:val="000000"/>
          <w:kern w:val="0"/>
          <w:sz w:val="24"/>
          <w:szCs w:val="24"/>
          <w:lang w:bidi="ar"/>
        </w:rPr>
        <w:t>，将实施地点变更为深圳市南山区。同时取消原</w:t>
      </w:r>
      <w:r>
        <w:rPr>
          <w:color w:val="000000"/>
          <w:kern w:val="0"/>
          <w:sz w:val="24"/>
          <w:szCs w:val="24"/>
          <w:lang w:bidi="ar"/>
        </w:rPr>
        <w:t>“</w:t>
      </w:r>
      <w:r>
        <w:rPr>
          <w:color w:val="000000"/>
          <w:kern w:val="0"/>
          <w:sz w:val="24"/>
          <w:szCs w:val="24"/>
          <w:lang w:bidi="ar"/>
        </w:rPr>
        <w:t>营销服务体系升级建设项目</w:t>
      </w:r>
      <w:r>
        <w:rPr>
          <w:color w:val="000000"/>
          <w:kern w:val="0"/>
          <w:sz w:val="24"/>
          <w:szCs w:val="24"/>
          <w:lang w:bidi="ar"/>
        </w:rPr>
        <w:t>”</w:t>
      </w:r>
      <w:r>
        <w:rPr>
          <w:color w:val="000000"/>
          <w:kern w:val="0"/>
          <w:sz w:val="24"/>
          <w:szCs w:val="24"/>
          <w:lang w:bidi="ar"/>
        </w:rPr>
        <w:t>并将其募集资金合并用于</w:t>
      </w:r>
      <w:r>
        <w:rPr>
          <w:color w:val="000000"/>
          <w:kern w:val="0"/>
          <w:sz w:val="24"/>
          <w:szCs w:val="24"/>
          <w:lang w:bidi="ar"/>
        </w:rPr>
        <w:t>“</w:t>
      </w:r>
      <w:r>
        <w:rPr>
          <w:color w:val="000000"/>
          <w:kern w:val="0"/>
          <w:sz w:val="24"/>
          <w:szCs w:val="24"/>
          <w:lang w:bidi="ar"/>
        </w:rPr>
        <w:t>深圳综合运营中心项目</w:t>
      </w:r>
      <w:r>
        <w:rPr>
          <w:color w:val="000000"/>
          <w:kern w:val="0"/>
          <w:sz w:val="24"/>
          <w:szCs w:val="24"/>
          <w:lang w:bidi="ar"/>
        </w:rPr>
        <w:t>”</w:t>
      </w:r>
      <w:r>
        <w:rPr>
          <w:color w:val="000000"/>
          <w:kern w:val="0"/>
          <w:sz w:val="24"/>
          <w:szCs w:val="24"/>
          <w:lang w:bidi="ar"/>
        </w:rPr>
        <w:t>的建设；项目由公司全资子公司深圳市互联精英信息技术有限公司建设实施。变更后公司募集资金投资用途如下：</w:t>
      </w:r>
    </w:p>
    <w:tbl>
      <w:tblPr>
        <w:tblStyle w:val="a3"/>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413"/>
        <w:gridCol w:w="2049"/>
        <w:gridCol w:w="2354"/>
        <w:gridCol w:w="1706"/>
      </w:tblGrid>
      <w:tr w:rsidR="00FB0E28">
        <w:trPr>
          <w:trHeight w:val="340"/>
        </w:trPr>
        <w:tc>
          <w:tcPr>
            <w:tcW w:w="1416" w:type="pct"/>
            <w:tcBorders>
              <w:tl2br w:val="nil"/>
              <w:tr2bl w:val="nil"/>
            </w:tcBorders>
            <w:vAlign w:val="center"/>
          </w:tcPr>
          <w:p w:rsidR="00FB0E28" w:rsidRDefault="002757FE">
            <w:pPr>
              <w:tabs>
                <w:tab w:val="center" w:pos="4153"/>
                <w:tab w:val="right" w:pos="8306"/>
              </w:tabs>
              <w:jc w:val="center"/>
              <w:rPr>
                <w:b/>
                <w:bCs/>
                <w:sz w:val="18"/>
                <w:szCs w:val="18"/>
              </w:rPr>
            </w:pPr>
            <w:r>
              <w:rPr>
                <w:b/>
                <w:bCs/>
                <w:sz w:val="18"/>
                <w:szCs w:val="18"/>
              </w:rPr>
              <w:t>项目名称</w:t>
            </w:r>
          </w:p>
        </w:tc>
        <w:tc>
          <w:tcPr>
            <w:tcW w:w="1202" w:type="pct"/>
            <w:tcBorders>
              <w:tl2br w:val="nil"/>
              <w:tr2bl w:val="nil"/>
            </w:tcBorders>
            <w:vAlign w:val="center"/>
          </w:tcPr>
          <w:p w:rsidR="00FB0E28" w:rsidRDefault="002757FE">
            <w:pPr>
              <w:tabs>
                <w:tab w:val="center" w:pos="4153"/>
                <w:tab w:val="right" w:pos="8306"/>
              </w:tabs>
              <w:jc w:val="center"/>
              <w:rPr>
                <w:b/>
                <w:bCs/>
                <w:sz w:val="18"/>
                <w:szCs w:val="18"/>
              </w:rPr>
            </w:pPr>
            <w:r>
              <w:rPr>
                <w:b/>
                <w:bCs/>
                <w:sz w:val="18"/>
                <w:szCs w:val="18"/>
              </w:rPr>
              <w:t>项目总投资额（万元）</w:t>
            </w:r>
          </w:p>
        </w:tc>
        <w:tc>
          <w:tcPr>
            <w:tcW w:w="1381" w:type="pct"/>
            <w:tcBorders>
              <w:tl2br w:val="nil"/>
              <w:tr2bl w:val="nil"/>
            </w:tcBorders>
            <w:vAlign w:val="center"/>
          </w:tcPr>
          <w:p w:rsidR="00FB0E28" w:rsidRDefault="002757FE">
            <w:pPr>
              <w:tabs>
                <w:tab w:val="center" w:pos="4153"/>
                <w:tab w:val="right" w:pos="8306"/>
              </w:tabs>
              <w:jc w:val="center"/>
              <w:rPr>
                <w:b/>
                <w:bCs/>
                <w:sz w:val="18"/>
                <w:szCs w:val="18"/>
              </w:rPr>
            </w:pPr>
            <w:r>
              <w:rPr>
                <w:b/>
                <w:bCs/>
                <w:sz w:val="18"/>
                <w:szCs w:val="18"/>
              </w:rPr>
              <w:t>运用募集资金投资（万元）</w:t>
            </w:r>
          </w:p>
        </w:tc>
        <w:tc>
          <w:tcPr>
            <w:tcW w:w="1001" w:type="pct"/>
            <w:tcBorders>
              <w:tl2br w:val="nil"/>
              <w:tr2bl w:val="nil"/>
            </w:tcBorders>
            <w:vAlign w:val="center"/>
          </w:tcPr>
          <w:p w:rsidR="00FB0E28" w:rsidRDefault="002757FE">
            <w:pPr>
              <w:tabs>
                <w:tab w:val="center" w:pos="4153"/>
                <w:tab w:val="right" w:pos="8306"/>
              </w:tabs>
              <w:jc w:val="center"/>
              <w:rPr>
                <w:b/>
                <w:bCs/>
                <w:sz w:val="18"/>
                <w:szCs w:val="18"/>
              </w:rPr>
            </w:pPr>
            <w:r>
              <w:rPr>
                <w:b/>
                <w:bCs/>
                <w:sz w:val="18"/>
                <w:szCs w:val="18"/>
              </w:rPr>
              <w:t>运用超募资金投资（万元）</w:t>
            </w:r>
          </w:p>
        </w:tc>
      </w:tr>
      <w:tr w:rsidR="00FB0E28">
        <w:trPr>
          <w:trHeight w:val="340"/>
        </w:trPr>
        <w:tc>
          <w:tcPr>
            <w:tcW w:w="1416" w:type="pct"/>
            <w:tcBorders>
              <w:tl2br w:val="nil"/>
              <w:tr2bl w:val="nil"/>
            </w:tcBorders>
            <w:vAlign w:val="center"/>
          </w:tcPr>
          <w:p w:rsidR="00FB0E28" w:rsidRDefault="002757FE">
            <w:pPr>
              <w:tabs>
                <w:tab w:val="center" w:pos="4153"/>
                <w:tab w:val="right" w:pos="8306"/>
              </w:tabs>
              <w:rPr>
                <w:bCs/>
                <w:sz w:val="18"/>
                <w:szCs w:val="18"/>
              </w:rPr>
            </w:pPr>
            <w:r>
              <w:rPr>
                <w:sz w:val="18"/>
                <w:szCs w:val="18"/>
              </w:rPr>
              <w:t>智慧城市综合解决方案升级项目</w:t>
            </w:r>
          </w:p>
        </w:tc>
        <w:tc>
          <w:tcPr>
            <w:tcW w:w="1202" w:type="pct"/>
            <w:tcBorders>
              <w:tl2br w:val="nil"/>
              <w:tr2bl w:val="nil"/>
            </w:tcBorders>
            <w:vAlign w:val="center"/>
          </w:tcPr>
          <w:p w:rsidR="00FB0E28" w:rsidRDefault="002757FE">
            <w:pPr>
              <w:tabs>
                <w:tab w:val="center" w:pos="4153"/>
                <w:tab w:val="right" w:pos="8306"/>
              </w:tabs>
              <w:jc w:val="right"/>
              <w:rPr>
                <w:bCs/>
                <w:sz w:val="18"/>
                <w:szCs w:val="18"/>
              </w:rPr>
            </w:pPr>
            <w:r>
              <w:rPr>
                <w:sz w:val="18"/>
                <w:szCs w:val="18"/>
              </w:rPr>
              <w:t>12,572.70</w:t>
            </w:r>
          </w:p>
        </w:tc>
        <w:tc>
          <w:tcPr>
            <w:tcW w:w="1381" w:type="pct"/>
            <w:tcBorders>
              <w:tl2br w:val="nil"/>
              <w:tr2bl w:val="nil"/>
            </w:tcBorders>
            <w:vAlign w:val="center"/>
          </w:tcPr>
          <w:p w:rsidR="00FB0E28" w:rsidRDefault="002757FE">
            <w:pPr>
              <w:tabs>
                <w:tab w:val="center" w:pos="4153"/>
                <w:tab w:val="right" w:pos="8306"/>
              </w:tabs>
              <w:jc w:val="right"/>
              <w:rPr>
                <w:bCs/>
                <w:sz w:val="18"/>
                <w:szCs w:val="18"/>
              </w:rPr>
            </w:pPr>
            <w:r>
              <w:rPr>
                <w:sz w:val="18"/>
                <w:szCs w:val="18"/>
              </w:rPr>
              <w:t>12,572.70</w:t>
            </w:r>
          </w:p>
        </w:tc>
        <w:tc>
          <w:tcPr>
            <w:tcW w:w="1001" w:type="pct"/>
            <w:tcBorders>
              <w:tl2br w:val="nil"/>
              <w:tr2bl w:val="nil"/>
            </w:tcBorders>
            <w:vAlign w:val="center"/>
          </w:tcPr>
          <w:p w:rsidR="00FB0E28" w:rsidRDefault="002757FE">
            <w:pPr>
              <w:tabs>
                <w:tab w:val="center" w:pos="4153"/>
                <w:tab w:val="right" w:pos="8306"/>
              </w:tabs>
              <w:jc w:val="right"/>
              <w:rPr>
                <w:sz w:val="18"/>
                <w:szCs w:val="18"/>
              </w:rPr>
            </w:pPr>
            <w:r>
              <w:rPr>
                <w:sz w:val="18"/>
                <w:szCs w:val="18"/>
              </w:rPr>
              <w:t>-</w:t>
            </w:r>
          </w:p>
        </w:tc>
      </w:tr>
      <w:tr w:rsidR="00FB0E28">
        <w:trPr>
          <w:trHeight w:val="340"/>
        </w:trPr>
        <w:tc>
          <w:tcPr>
            <w:tcW w:w="1416" w:type="pct"/>
            <w:tcBorders>
              <w:tl2br w:val="nil"/>
              <w:tr2bl w:val="nil"/>
            </w:tcBorders>
            <w:vAlign w:val="center"/>
          </w:tcPr>
          <w:p w:rsidR="00FB0E28" w:rsidRDefault="002757FE">
            <w:pPr>
              <w:tabs>
                <w:tab w:val="center" w:pos="4153"/>
                <w:tab w:val="right" w:pos="8306"/>
              </w:tabs>
              <w:rPr>
                <w:bCs/>
                <w:sz w:val="18"/>
                <w:szCs w:val="18"/>
              </w:rPr>
            </w:pPr>
            <w:r>
              <w:rPr>
                <w:color w:val="000000"/>
                <w:kern w:val="0"/>
                <w:sz w:val="18"/>
                <w:szCs w:val="18"/>
              </w:rPr>
              <w:t>深圳综合运营中心项目</w:t>
            </w:r>
          </w:p>
        </w:tc>
        <w:tc>
          <w:tcPr>
            <w:tcW w:w="1202" w:type="pct"/>
            <w:tcBorders>
              <w:tl2br w:val="nil"/>
              <w:tr2bl w:val="nil"/>
            </w:tcBorders>
            <w:vAlign w:val="center"/>
          </w:tcPr>
          <w:p w:rsidR="00FB0E28" w:rsidRDefault="002757FE">
            <w:pPr>
              <w:tabs>
                <w:tab w:val="center" w:pos="4153"/>
                <w:tab w:val="right" w:pos="8306"/>
              </w:tabs>
              <w:jc w:val="right"/>
              <w:rPr>
                <w:bCs/>
                <w:sz w:val="18"/>
                <w:szCs w:val="18"/>
              </w:rPr>
            </w:pPr>
            <w:r>
              <w:rPr>
                <w:bCs/>
                <w:sz w:val="18"/>
                <w:szCs w:val="18"/>
              </w:rPr>
              <w:t>9,956.36</w:t>
            </w:r>
          </w:p>
        </w:tc>
        <w:tc>
          <w:tcPr>
            <w:tcW w:w="1381" w:type="pct"/>
            <w:tcBorders>
              <w:tl2br w:val="nil"/>
              <w:tr2bl w:val="nil"/>
            </w:tcBorders>
            <w:vAlign w:val="center"/>
          </w:tcPr>
          <w:p w:rsidR="00FB0E28" w:rsidRDefault="002757FE">
            <w:pPr>
              <w:tabs>
                <w:tab w:val="center" w:pos="4153"/>
                <w:tab w:val="right" w:pos="8306"/>
              </w:tabs>
              <w:jc w:val="right"/>
              <w:rPr>
                <w:bCs/>
                <w:sz w:val="18"/>
                <w:szCs w:val="18"/>
              </w:rPr>
            </w:pPr>
            <w:r>
              <w:rPr>
                <w:sz w:val="18"/>
                <w:szCs w:val="18"/>
              </w:rPr>
              <w:t>5,569.67</w:t>
            </w:r>
          </w:p>
        </w:tc>
        <w:tc>
          <w:tcPr>
            <w:tcW w:w="1001" w:type="pct"/>
            <w:tcBorders>
              <w:tl2br w:val="nil"/>
              <w:tr2bl w:val="nil"/>
            </w:tcBorders>
            <w:vAlign w:val="center"/>
          </w:tcPr>
          <w:p w:rsidR="00FB0E28" w:rsidRDefault="002757FE">
            <w:pPr>
              <w:tabs>
                <w:tab w:val="center" w:pos="4153"/>
                <w:tab w:val="right" w:pos="8306"/>
              </w:tabs>
              <w:jc w:val="right"/>
              <w:rPr>
                <w:sz w:val="18"/>
                <w:szCs w:val="18"/>
              </w:rPr>
            </w:pPr>
            <w:r>
              <w:rPr>
                <w:sz w:val="18"/>
                <w:szCs w:val="18"/>
              </w:rPr>
              <w:t>4,186.69</w:t>
            </w:r>
          </w:p>
        </w:tc>
      </w:tr>
      <w:tr w:rsidR="00FB0E28">
        <w:trPr>
          <w:trHeight w:val="340"/>
        </w:trPr>
        <w:tc>
          <w:tcPr>
            <w:tcW w:w="1416" w:type="pct"/>
            <w:tcBorders>
              <w:tl2br w:val="nil"/>
              <w:tr2bl w:val="nil"/>
            </w:tcBorders>
            <w:vAlign w:val="center"/>
          </w:tcPr>
          <w:p w:rsidR="00FB0E28" w:rsidRDefault="002757FE">
            <w:pPr>
              <w:tabs>
                <w:tab w:val="center" w:pos="4153"/>
                <w:tab w:val="right" w:pos="8306"/>
              </w:tabs>
              <w:rPr>
                <w:bCs/>
                <w:sz w:val="18"/>
                <w:szCs w:val="18"/>
              </w:rPr>
            </w:pPr>
            <w:r>
              <w:rPr>
                <w:sz w:val="18"/>
                <w:szCs w:val="18"/>
              </w:rPr>
              <w:t>募集资金补充流动资金</w:t>
            </w:r>
          </w:p>
        </w:tc>
        <w:tc>
          <w:tcPr>
            <w:tcW w:w="1202" w:type="pct"/>
            <w:tcBorders>
              <w:tl2br w:val="nil"/>
              <w:tr2bl w:val="nil"/>
            </w:tcBorders>
            <w:vAlign w:val="center"/>
          </w:tcPr>
          <w:p w:rsidR="00FB0E28" w:rsidRDefault="002757FE">
            <w:pPr>
              <w:tabs>
                <w:tab w:val="center" w:pos="4153"/>
                <w:tab w:val="right" w:pos="8306"/>
              </w:tabs>
              <w:jc w:val="right"/>
              <w:rPr>
                <w:bCs/>
                <w:sz w:val="18"/>
                <w:szCs w:val="18"/>
              </w:rPr>
            </w:pPr>
            <w:r>
              <w:rPr>
                <w:sz w:val="18"/>
                <w:szCs w:val="18"/>
              </w:rPr>
              <w:t>10,000.00</w:t>
            </w:r>
          </w:p>
        </w:tc>
        <w:tc>
          <w:tcPr>
            <w:tcW w:w="1381" w:type="pct"/>
            <w:tcBorders>
              <w:tl2br w:val="nil"/>
              <w:tr2bl w:val="nil"/>
            </w:tcBorders>
            <w:vAlign w:val="center"/>
          </w:tcPr>
          <w:p w:rsidR="00FB0E28" w:rsidRDefault="002757FE">
            <w:pPr>
              <w:tabs>
                <w:tab w:val="center" w:pos="4153"/>
                <w:tab w:val="right" w:pos="8306"/>
              </w:tabs>
              <w:jc w:val="right"/>
              <w:rPr>
                <w:bCs/>
                <w:sz w:val="18"/>
                <w:szCs w:val="18"/>
              </w:rPr>
            </w:pPr>
            <w:r>
              <w:rPr>
                <w:sz w:val="18"/>
                <w:szCs w:val="18"/>
              </w:rPr>
              <w:t>10,000.00</w:t>
            </w:r>
          </w:p>
        </w:tc>
        <w:tc>
          <w:tcPr>
            <w:tcW w:w="1001" w:type="pct"/>
            <w:tcBorders>
              <w:tl2br w:val="nil"/>
              <w:tr2bl w:val="nil"/>
            </w:tcBorders>
            <w:vAlign w:val="center"/>
          </w:tcPr>
          <w:p w:rsidR="00FB0E28" w:rsidRDefault="00FB0E28">
            <w:pPr>
              <w:tabs>
                <w:tab w:val="center" w:pos="4153"/>
                <w:tab w:val="right" w:pos="8306"/>
              </w:tabs>
              <w:jc w:val="right"/>
              <w:rPr>
                <w:sz w:val="18"/>
                <w:szCs w:val="18"/>
              </w:rPr>
            </w:pPr>
          </w:p>
        </w:tc>
      </w:tr>
      <w:tr w:rsidR="00FB0E28">
        <w:trPr>
          <w:trHeight w:val="340"/>
        </w:trPr>
        <w:tc>
          <w:tcPr>
            <w:tcW w:w="1416" w:type="pct"/>
            <w:tcBorders>
              <w:tl2br w:val="nil"/>
              <w:tr2bl w:val="nil"/>
            </w:tcBorders>
            <w:vAlign w:val="center"/>
          </w:tcPr>
          <w:p w:rsidR="00FB0E28" w:rsidRDefault="002757FE">
            <w:pPr>
              <w:tabs>
                <w:tab w:val="center" w:pos="4153"/>
                <w:tab w:val="right" w:pos="8306"/>
              </w:tabs>
              <w:rPr>
                <w:b/>
                <w:bCs/>
                <w:sz w:val="18"/>
                <w:szCs w:val="18"/>
              </w:rPr>
            </w:pPr>
            <w:r>
              <w:rPr>
                <w:b/>
                <w:bCs/>
                <w:sz w:val="18"/>
                <w:szCs w:val="18"/>
              </w:rPr>
              <w:t>合计</w:t>
            </w:r>
          </w:p>
        </w:tc>
        <w:tc>
          <w:tcPr>
            <w:tcW w:w="1202" w:type="pct"/>
            <w:tcBorders>
              <w:tl2br w:val="nil"/>
              <w:tr2bl w:val="nil"/>
            </w:tcBorders>
            <w:vAlign w:val="center"/>
          </w:tcPr>
          <w:p w:rsidR="00FB0E28" w:rsidRDefault="002757FE">
            <w:pPr>
              <w:tabs>
                <w:tab w:val="center" w:pos="4153"/>
                <w:tab w:val="right" w:pos="8306"/>
              </w:tabs>
              <w:jc w:val="right"/>
              <w:rPr>
                <w:b/>
                <w:bCs/>
                <w:sz w:val="18"/>
                <w:szCs w:val="18"/>
              </w:rPr>
            </w:pPr>
            <w:r>
              <w:rPr>
                <w:b/>
                <w:bCs/>
                <w:sz w:val="18"/>
                <w:szCs w:val="18"/>
              </w:rPr>
              <w:t>32,</w:t>
            </w:r>
            <w:r>
              <w:rPr>
                <w:rFonts w:hint="eastAsia"/>
                <w:b/>
                <w:bCs/>
                <w:sz w:val="18"/>
                <w:szCs w:val="18"/>
              </w:rPr>
              <w:t>5</w:t>
            </w:r>
            <w:r>
              <w:rPr>
                <w:b/>
                <w:bCs/>
                <w:sz w:val="18"/>
                <w:szCs w:val="18"/>
              </w:rPr>
              <w:t>29.06</w:t>
            </w:r>
          </w:p>
        </w:tc>
        <w:tc>
          <w:tcPr>
            <w:tcW w:w="1381" w:type="pct"/>
            <w:tcBorders>
              <w:tl2br w:val="nil"/>
              <w:tr2bl w:val="nil"/>
            </w:tcBorders>
            <w:vAlign w:val="center"/>
          </w:tcPr>
          <w:p w:rsidR="00FB0E28" w:rsidRDefault="002757FE">
            <w:pPr>
              <w:tabs>
                <w:tab w:val="center" w:pos="4153"/>
                <w:tab w:val="right" w:pos="8306"/>
              </w:tabs>
              <w:jc w:val="right"/>
              <w:rPr>
                <w:b/>
                <w:bCs/>
                <w:sz w:val="18"/>
                <w:szCs w:val="18"/>
              </w:rPr>
            </w:pPr>
            <w:r>
              <w:rPr>
                <w:b/>
                <w:bCs/>
                <w:sz w:val="18"/>
                <w:szCs w:val="18"/>
              </w:rPr>
              <w:t>28,142.37</w:t>
            </w:r>
          </w:p>
        </w:tc>
        <w:tc>
          <w:tcPr>
            <w:tcW w:w="1001" w:type="pct"/>
            <w:tcBorders>
              <w:tl2br w:val="nil"/>
              <w:tr2bl w:val="nil"/>
            </w:tcBorders>
            <w:vAlign w:val="center"/>
          </w:tcPr>
          <w:p w:rsidR="00FB0E28" w:rsidRDefault="002757FE">
            <w:pPr>
              <w:tabs>
                <w:tab w:val="center" w:pos="4153"/>
                <w:tab w:val="right" w:pos="8306"/>
              </w:tabs>
              <w:jc w:val="right"/>
              <w:rPr>
                <w:b/>
                <w:bCs/>
                <w:sz w:val="18"/>
                <w:szCs w:val="18"/>
              </w:rPr>
            </w:pPr>
            <w:r>
              <w:rPr>
                <w:b/>
                <w:sz w:val="18"/>
                <w:szCs w:val="18"/>
              </w:rPr>
              <w:t>4,186.69</w:t>
            </w:r>
          </w:p>
        </w:tc>
      </w:tr>
    </w:tbl>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rFonts w:ascii="宋体" w:hAnsi="宋体" w:cs="宋体" w:hint="eastAsia"/>
          <w:color w:val="000000"/>
          <w:kern w:val="0"/>
          <w:sz w:val="24"/>
          <w:szCs w:val="24"/>
          <w:lang w:bidi="ar"/>
        </w:rPr>
        <w:t>公</w:t>
      </w:r>
      <w:r>
        <w:rPr>
          <w:color w:val="000000"/>
          <w:kern w:val="0"/>
          <w:sz w:val="24"/>
          <w:szCs w:val="24"/>
          <w:lang w:bidi="ar"/>
        </w:rPr>
        <w:t>司及子公司已开立募集资金专用账户对募集资金进行了专户存储，并与专户开户银行、保荐机构签订了募集资金三方（四方）监管协议。</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（三）本次拟变更部分募集资金用途的情况</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为满足公司数字经济战略拓展的需求，优化产业布局，提升综合竞争力，提高募集资金的使用效率和投资回报，公司拟终止原募投项目</w:t>
      </w:r>
      <w:r>
        <w:rPr>
          <w:color w:val="000000"/>
          <w:kern w:val="0"/>
          <w:sz w:val="24"/>
          <w:szCs w:val="24"/>
          <w:lang w:bidi="ar"/>
        </w:rPr>
        <w:t>“</w:t>
      </w:r>
      <w:r>
        <w:rPr>
          <w:color w:val="000000"/>
          <w:kern w:val="0"/>
          <w:sz w:val="24"/>
          <w:szCs w:val="24"/>
          <w:lang w:bidi="ar"/>
        </w:rPr>
        <w:t>智慧城市综合解决方案升级项目</w:t>
      </w:r>
      <w:r>
        <w:rPr>
          <w:color w:val="000000"/>
          <w:kern w:val="0"/>
          <w:sz w:val="24"/>
          <w:szCs w:val="24"/>
          <w:lang w:bidi="ar"/>
        </w:rPr>
        <w:t>”</w:t>
      </w:r>
      <w:r>
        <w:rPr>
          <w:color w:val="000000"/>
          <w:kern w:val="0"/>
          <w:sz w:val="24"/>
          <w:szCs w:val="24"/>
          <w:lang w:bidi="ar"/>
        </w:rPr>
        <w:t>，将其部分募集资金</w:t>
      </w:r>
      <w:r>
        <w:rPr>
          <w:color w:val="000000"/>
          <w:kern w:val="0"/>
          <w:sz w:val="24"/>
          <w:szCs w:val="24"/>
          <w:lang w:bidi="ar"/>
        </w:rPr>
        <w:t>11,716.00</w:t>
      </w:r>
      <w:r>
        <w:rPr>
          <w:color w:val="000000"/>
          <w:kern w:val="0"/>
          <w:sz w:val="24"/>
          <w:szCs w:val="24"/>
          <w:lang w:bidi="ar"/>
        </w:rPr>
        <w:t>万元变更用于实施</w:t>
      </w:r>
      <w:r>
        <w:rPr>
          <w:color w:val="000000"/>
          <w:kern w:val="0"/>
          <w:sz w:val="24"/>
          <w:szCs w:val="24"/>
          <w:lang w:bidi="ar"/>
        </w:rPr>
        <w:t>“</w:t>
      </w:r>
      <w:r>
        <w:rPr>
          <w:color w:val="000000"/>
          <w:kern w:val="0"/>
          <w:sz w:val="24"/>
          <w:szCs w:val="24"/>
          <w:lang w:bidi="ar"/>
        </w:rPr>
        <w:t>算力集群服务项目</w:t>
      </w:r>
      <w:r>
        <w:rPr>
          <w:color w:val="000000"/>
          <w:kern w:val="0"/>
          <w:sz w:val="24"/>
          <w:szCs w:val="24"/>
          <w:lang w:bidi="ar"/>
        </w:rPr>
        <w:t>”</w:t>
      </w:r>
      <w:r>
        <w:rPr>
          <w:color w:val="000000"/>
          <w:kern w:val="0"/>
          <w:sz w:val="24"/>
          <w:szCs w:val="24"/>
          <w:lang w:bidi="ar"/>
        </w:rPr>
        <w:t>，剩余募集资金及其孳息将根据公司未来经营需要适时投入其他项目建设或其他用途。</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w:t>
      </w:r>
      <w:r>
        <w:rPr>
          <w:color w:val="000000"/>
          <w:kern w:val="0"/>
          <w:sz w:val="24"/>
          <w:szCs w:val="24"/>
          <w:lang w:bidi="ar"/>
        </w:rPr>
        <w:t>智慧城市综合解决方案升级项目</w:t>
      </w:r>
      <w:r>
        <w:rPr>
          <w:color w:val="000000"/>
          <w:kern w:val="0"/>
          <w:sz w:val="24"/>
          <w:szCs w:val="24"/>
          <w:lang w:bidi="ar"/>
        </w:rPr>
        <w:t>”</w:t>
      </w:r>
      <w:r>
        <w:rPr>
          <w:color w:val="000000"/>
          <w:kern w:val="0"/>
          <w:sz w:val="24"/>
          <w:szCs w:val="24"/>
          <w:lang w:bidi="ar"/>
        </w:rPr>
        <w:t>计划总投资</w:t>
      </w:r>
      <w:r>
        <w:rPr>
          <w:color w:val="000000"/>
          <w:kern w:val="0"/>
          <w:sz w:val="24"/>
          <w:szCs w:val="24"/>
          <w:lang w:bidi="ar"/>
        </w:rPr>
        <w:t>12,572.70</w:t>
      </w:r>
      <w:r>
        <w:rPr>
          <w:color w:val="000000"/>
          <w:kern w:val="0"/>
          <w:sz w:val="24"/>
          <w:szCs w:val="24"/>
          <w:lang w:bidi="ar"/>
        </w:rPr>
        <w:t>万元，占募集资金总额的</w:t>
      </w:r>
      <w:r>
        <w:rPr>
          <w:color w:val="000000"/>
          <w:kern w:val="0"/>
          <w:sz w:val="24"/>
          <w:szCs w:val="24"/>
          <w:lang w:bidi="ar"/>
        </w:rPr>
        <w:t>45.01%</w:t>
      </w:r>
      <w:r>
        <w:rPr>
          <w:color w:val="000000"/>
          <w:kern w:val="0"/>
          <w:sz w:val="24"/>
          <w:szCs w:val="24"/>
          <w:lang w:bidi="ar"/>
        </w:rPr>
        <w:t>；截至本</w:t>
      </w:r>
      <w:r>
        <w:rPr>
          <w:rFonts w:hint="eastAsia"/>
          <w:color w:val="000000"/>
          <w:kern w:val="0"/>
          <w:sz w:val="24"/>
          <w:szCs w:val="24"/>
          <w:lang w:bidi="ar"/>
        </w:rPr>
        <w:t>核查意见出具</w:t>
      </w:r>
      <w:r>
        <w:rPr>
          <w:color w:val="000000"/>
          <w:kern w:val="0"/>
          <w:sz w:val="24"/>
          <w:szCs w:val="24"/>
          <w:lang w:bidi="ar"/>
        </w:rPr>
        <w:t>日尚未投入建设。</w:t>
      </w:r>
      <w:r>
        <w:rPr>
          <w:color w:val="000000"/>
          <w:kern w:val="0"/>
          <w:sz w:val="24"/>
          <w:szCs w:val="24"/>
          <w:lang w:bidi="ar"/>
        </w:rPr>
        <w:t>“</w:t>
      </w:r>
      <w:r>
        <w:rPr>
          <w:color w:val="000000"/>
          <w:kern w:val="0"/>
          <w:sz w:val="24"/>
          <w:szCs w:val="24"/>
          <w:lang w:bidi="ar"/>
        </w:rPr>
        <w:t>算力集群服务项目</w:t>
      </w:r>
      <w:r>
        <w:rPr>
          <w:color w:val="000000"/>
          <w:kern w:val="0"/>
          <w:sz w:val="24"/>
          <w:szCs w:val="24"/>
          <w:lang w:bidi="ar"/>
        </w:rPr>
        <w:t>”</w:t>
      </w:r>
      <w:r>
        <w:rPr>
          <w:color w:val="000000"/>
          <w:kern w:val="0"/>
          <w:sz w:val="24"/>
          <w:szCs w:val="24"/>
          <w:lang w:bidi="ar"/>
        </w:rPr>
        <w:t>计</w:t>
      </w:r>
      <w:r>
        <w:rPr>
          <w:color w:val="000000"/>
          <w:kern w:val="0"/>
          <w:sz w:val="24"/>
          <w:szCs w:val="24"/>
          <w:lang w:bidi="ar"/>
        </w:rPr>
        <w:lastRenderedPageBreak/>
        <w:t>划总投资额</w:t>
      </w:r>
      <w:r>
        <w:rPr>
          <w:color w:val="000000"/>
          <w:kern w:val="0"/>
          <w:sz w:val="24"/>
          <w:szCs w:val="24"/>
          <w:lang w:bidi="ar"/>
        </w:rPr>
        <w:t>36,229.00</w:t>
      </w:r>
      <w:r>
        <w:rPr>
          <w:color w:val="000000"/>
          <w:kern w:val="0"/>
          <w:sz w:val="24"/>
          <w:szCs w:val="24"/>
          <w:lang w:bidi="ar"/>
        </w:rPr>
        <w:t>万元，其中使用原募投项目募集资金</w:t>
      </w:r>
      <w:r>
        <w:rPr>
          <w:color w:val="000000"/>
          <w:kern w:val="0"/>
          <w:sz w:val="24"/>
          <w:szCs w:val="24"/>
          <w:lang w:bidi="ar"/>
        </w:rPr>
        <w:t>11,716.00</w:t>
      </w:r>
      <w:r>
        <w:rPr>
          <w:color w:val="000000"/>
          <w:kern w:val="0"/>
          <w:sz w:val="24"/>
          <w:szCs w:val="24"/>
          <w:lang w:bidi="ar"/>
        </w:rPr>
        <w:t>万元。该项目由公司在深圳市实施建设，项目周期为</w:t>
      </w:r>
      <w:r>
        <w:rPr>
          <w:color w:val="000000"/>
          <w:kern w:val="0"/>
          <w:sz w:val="24"/>
          <w:szCs w:val="24"/>
          <w:lang w:bidi="ar"/>
        </w:rPr>
        <w:t>5</w:t>
      </w:r>
      <w:r>
        <w:rPr>
          <w:color w:val="000000"/>
          <w:kern w:val="0"/>
          <w:sz w:val="24"/>
          <w:szCs w:val="24"/>
          <w:lang w:bidi="ar"/>
        </w:rPr>
        <w:t>年。具体如下：</w:t>
      </w:r>
    </w:p>
    <w:tbl>
      <w:tblPr>
        <w:tblStyle w:val="a3"/>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618"/>
        <w:gridCol w:w="3452"/>
        <w:gridCol w:w="3452"/>
      </w:tblGrid>
      <w:tr w:rsidR="00FB0E28">
        <w:trPr>
          <w:trHeight w:val="340"/>
          <w:tblHeader/>
        </w:trPr>
        <w:tc>
          <w:tcPr>
            <w:tcW w:w="949" w:type="pct"/>
            <w:tcBorders>
              <w:tl2br w:val="nil"/>
              <w:tr2bl w:val="nil"/>
            </w:tcBorders>
          </w:tcPr>
          <w:p w:rsidR="00FB0E28" w:rsidRDefault="002757FE">
            <w:pPr>
              <w:tabs>
                <w:tab w:val="center" w:pos="4153"/>
                <w:tab w:val="right" w:pos="8306"/>
              </w:tabs>
              <w:jc w:val="center"/>
              <w:rPr>
                <w:b/>
                <w:bCs/>
                <w:sz w:val="18"/>
                <w:szCs w:val="18"/>
              </w:rPr>
            </w:pPr>
            <w:r>
              <w:rPr>
                <w:b/>
                <w:bCs/>
                <w:sz w:val="18"/>
                <w:szCs w:val="18"/>
              </w:rPr>
              <w:t>项目</w:t>
            </w:r>
          </w:p>
        </w:tc>
        <w:tc>
          <w:tcPr>
            <w:tcW w:w="2025" w:type="pct"/>
            <w:tcBorders>
              <w:tl2br w:val="nil"/>
              <w:tr2bl w:val="nil"/>
            </w:tcBorders>
          </w:tcPr>
          <w:p w:rsidR="00FB0E28" w:rsidRDefault="002757FE">
            <w:pPr>
              <w:tabs>
                <w:tab w:val="center" w:pos="4153"/>
                <w:tab w:val="right" w:pos="8306"/>
              </w:tabs>
              <w:jc w:val="center"/>
              <w:rPr>
                <w:b/>
                <w:bCs/>
                <w:sz w:val="18"/>
                <w:szCs w:val="18"/>
              </w:rPr>
            </w:pPr>
            <w:r>
              <w:rPr>
                <w:b/>
                <w:bCs/>
                <w:sz w:val="18"/>
                <w:szCs w:val="18"/>
              </w:rPr>
              <w:t>变更前</w:t>
            </w:r>
          </w:p>
        </w:tc>
        <w:tc>
          <w:tcPr>
            <w:tcW w:w="2025" w:type="pct"/>
            <w:tcBorders>
              <w:tl2br w:val="nil"/>
              <w:tr2bl w:val="nil"/>
            </w:tcBorders>
          </w:tcPr>
          <w:p w:rsidR="00FB0E28" w:rsidRDefault="002757FE">
            <w:pPr>
              <w:tabs>
                <w:tab w:val="center" w:pos="4153"/>
                <w:tab w:val="right" w:pos="8306"/>
              </w:tabs>
              <w:jc w:val="center"/>
              <w:rPr>
                <w:b/>
                <w:bCs/>
                <w:sz w:val="18"/>
                <w:szCs w:val="18"/>
              </w:rPr>
            </w:pPr>
            <w:r>
              <w:rPr>
                <w:b/>
                <w:bCs/>
                <w:sz w:val="18"/>
                <w:szCs w:val="18"/>
              </w:rPr>
              <w:t>变更后</w:t>
            </w:r>
          </w:p>
        </w:tc>
      </w:tr>
      <w:tr w:rsidR="00FB0E28">
        <w:trPr>
          <w:trHeight w:val="340"/>
        </w:trPr>
        <w:tc>
          <w:tcPr>
            <w:tcW w:w="949" w:type="pct"/>
            <w:tcBorders>
              <w:tl2br w:val="nil"/>
              <w:tr2bl w:val="nil"/>
            </w:tcBorders>
            <w:vAlign w:val="center"/>
          </w:tcPr>
          <w:p w:rsidR="00FB0E28" w:rsidRDefault="002757FE">
            <w:pPr>
              <w:tabs>
                <w:tab w:val="center" w:pos="4153"/>
                <w:tab w:val="right" w:pos="8306"/>
              </w:tabs>
              <w:jc w:val="center"/>
              <w:rPr>
                <w:sz w:val="18"/>
                <w:szCs w:val="18"/>
              </w:rPr>
            </w:pPr>
            <w:r>
              <w:rPr>
                <w:sz w:val="18"/>
                <w:szCs w:val="18"/>
              </w:rPr>
              <w:t>项目名称</w:t>
            </w:r>
          </w:p>
        </w:tc>
        <w:tc>
          <w:tcPr>
            <w:tcW w:w="2025" w:type="pct"/>
            <w:tcBorders>
              <w:tl2br w:val="nil"/>
              <w:tr2bl w:val="nil"/>
            </w:tcBorders>
            <w:vAlign w:val="center"/>
          </w:tcPr>
          <w:p w:rsidR="00FB0E28" w:rsidRDefault="002757FE">
            <w:pPr>
              <w:tabs>
                <w:tab w:val="center" w:pos="4153"/>
                <w:tab w:val="right" w:pos="8306"/>
              </w:tabs>
              <w:jc w:val="center"/>
              <w:rPr>
                <w:bCs/>
                <w:sz w:val="18"/>
                <w:szCs w:val="18"/>
              </w:rPr>
            </w:pPr>
            <w:r>
              <w:rPr>
                <w:sz w:val="18"/>
                <w:szCs w:val="18"/>
              </w:rPr>
              <w:t>智慧城市综合解决方案升级项目</w:t>
            </w:r>
          </w:p>
        </w:tc>
        <w:tc>
          <w:tcPr>
            <w:tcW w:w="2025" w:type="pct"/>
            <w:tcBorders>
              <w:tl2br w:val="nil"/>
              <w:tr2bl w:val="nil"/>
            </w:tcBorders>
            <w:vAlign w:val="center"/>
          </w:tcPr>
          <w:p w:rsidR="00FB0E28" w:rsidRDefault="002757FE">
            <w:pPr>
              <w:tabs>
                <w:tab w:val="center" w:pos="4153"/>
                <w:tab w:val="right" w:pos="8306"/>
              </w:tabs>
              <w:jc w:val="center"/>
              <w:rPr>
                <w:sz w:val="18"/>
                <w:szCs w:val="18"/>
              </w:rPr>
            </w:pPr>
            <w:r>
              <w:rPr>
                <w:sz w:val="18"/>
                <w:szCs w:val="18"/>
              </w:rPr>
              <w:t>算力集群服务项目</w:t>
            </w:r>
          </w:p>
        </w:tc>
      </w:tr>
      <w:tr w:rsidR="00FB0E28">
        <w:trPr>
          <w:trHeight w:val="340"/>
        </w:trPr>
        <w:tc>
          <w:tcPr>
            <w:tcW w:w="949" w:type="pct"/>
            <w:tcBorders>
              <w:tl2br w:val="nil"/>
              <w:tr2bl w:val="nil"/>
            </w:tcBorders>
            <w:vAlign w:val="center"/>
          </w:tcPr>
          <w:p w:rsidR="00FB0E28" w:rsidRDefault="002757FE">
            <w:pPr>
              <w:tabs>
                <w:tab w:val="center" w:pos="4153"/>
                <w:tab w:val="right" w:pos="8306"/>
              </w:tabs>
              <w:jc w:val="center"/>
              <w:rPr>
                <w:sz w:val="18"/>
                <w:szCs w:val="18"/>
              </w:rPr>
            </w:pPr>
            <w:r>
              <w:rPr>
                <w:sz w:val="18"/>
                <w:szCs w:val="18"/>
              </w:rPr>
              <w:t>建设地点</w:t>
            </w:r>
          </w:p>
        </w:tc>
        <w:tc>
          <w:tcPr>
            <w:tcW w:w="2025" w:type="pct"/>
            <w:tcBorders>
              <w:tl2br w:val="nil"/>
              <w:tr2bl w:val="nil"/>
            </w:tcBorders>
            <w:vAlign w:val="center"/>
          </w:tcPr>
          <w:p w:rsidR="00FB0E28" w:rsidRDefault="002757FE">
            <w:pPr>
              <w:tabs>
                <w:tab w:val="center" w:pos="4153"/>
                <w:tab w:val="right" w:pos="8306"/>
              </w:tabs>
              <w:jc w:val="center"/>
              <w:rPr>
                <w:bCs/>
                <w:sz w:val="18"/>
                <w:szCs w:val="18"/>
              </w:rPr>
            </w:pPr>
            <w:r>
              <w:rPr>
                <w:bCs/>
                <w:sz w:val="18"/>
                <w:szCs w:val="18"/>
              </w:rPr>
              <w:t>汕头市</w:t>
            </w:r>
          </w:p>
        </w:tc>
        <w:tc>
          <w:tcPr>
            <w:tcW w:w="2025" w:type="pct"/>
            <w:tcBorders>
              <w:tl2br w:val="nil"/>
              <w:tr2bl w:val="nil"/>
            </w:tcBorders>
            <w:vAlign w:val="center"/>
          </w:tcPr>
          <w:p w:rsidR="00FB0E28" w:rsidRDefault="002757FE">
            <w:pPr>
              <w:tabs>
                <w:tab w:val="center" w:pos="4153"/>
                <w:tab w:val="right" w:pos="8306"/>
              </w:tabs>
              <w:jc w:val="center"/>
              <w:rPr>
                <w:sz w:val="18"/>
                <w:szCs w:val="18"/>
              </w:rPr>
            </w:pPr>
            <w:r>
              <w:rPr>
                <w:sz w:val="18"/>
                <w:szCs w:val="18"/>
              </w:rPr>
              <w:t>深圳市</w:t>
            </w:r>
          </w:p>
        </w:tc>
      </w:tr>
      <w:tr w:rsidR="00FB0E28">
        <w:trPr>
          <w:trHeight w:val="340"/>
        </w:trPr>
        <w:tc>
          <w:tcPr>
            <w:tcW w:w="949" w:type="pct"/>
            <w:tcBorders>
              <w:tl2br w:val="nil"/>
              <w:tr2bl w:val="nil"/>
            </w:tcBorders>
            <w:vAlign w:val="center"/>
          </w:tcPr>
          <w:p w:rsidR="00FB0E28" w:rsidRDefault="002757FE">
            <w:pPr>
              <w:tabs>
                <w:tab w:val="center" w:pos="4153"/>
                <w:tab w:val="right" w:pos="8306"/>
              </w:tabs>
              <w:jc w:val="center"/>
              <w:rPr>
                <w:sz w:val="18"/>
                <w:szCs w:val="18"/>
              </w:rPr>
            </w:pPr>
            <w:r>
              <w:rPr>
                <w:sz w:val="18"/>
                <w:szCs w:val="18"/>
              </w:rPr>
              <w:t>项目实施主体</w:t>
            </w:r>
          </w:p>
        </w:tc>
        <w:tc>
          <w:tcPr>
            <w:tcW w:w="2025" w:type="pct"/>
            <w:tcBorders>
              <w:tl2br w:val="nil"/>
              <w:tr2bl w:val="nil"/>
            </w:tcBorders>
            <w:vAlign w:val="center"/>
          </w:tcPr>
          <w:p w:rsidR="00FB0E28" w:rsidRDefault="002757FE">
            <w:pPr>
              <w:tabs>
                <w:tab w:val="center" w:pos="4153"/>
                <w:tab w:val="right" w:pos="8306"/>
              </w:tabs>
              <w:jc w:val="center"/>
              <w:rPr>
                <w:sz w:val="18"/>
                <w:szCs w:val="18"/>
              </w:rPr>
            </w:pPr>
            <w:r>
              <w:rPr>
                <w:sz w:val="18"/>
                <w:szCs w:val="18"/>
              </w:rPr>
              <w:t>天亿马</w:t>
            </w:r>
          </w:p>
        </w:tc>
        <w:tc>
          <w:tcPr>
            <w:tcW w:w="2025" w:type="pct"/>
            <w:tcBorders>
              <w:tl2br w:val="nil"/>
              <w:tr2bl w:val="nil"/>
            </w:tcBorders>
            <w:vAlign w:val="center"/>
          </w:tcPr>
          <w:p w:rsidR="00FB0E28" w:rsidRDefault="002757FE">
            <w:pPr>
              <w:tabs>
                <w:tab w:val="center" w:pos="4153"/>
                <w:tab w:val="right" w:pos="8306"/>
              </w:tabs>
              <w:jc w:val="center"/>
              <w:rPr>
                <w:sz w:val="18"/>
                <w:szCs w:val="18"/>
              </w:rPr>
            </w:pPr>
            <w:r>
              <w:rPr>
                <w:sz w:val="18"/>
                <w:szCs w:val="18"/>
              </w:rPr>
              <w:t>天亿马</w:t>
            </w:r>
          </w:p>
        </w:tc>
      </w:tr>
      <w:tr w:rsidR="00FB0E28">
        <w:trPr>
          <w:trHeight w:val="340"/>
        </w:trPr>
        <w:tc>
          <w:tcPr>
            <w:tcW w:w="949" w:type="pct"/>
            <w:tcBorders>
              <w:tl2br w:val="nil"/>
              <w:tr2bl w:val="nil"/>
            </w:tcBorders>
            <w:vAlign w:val="center"/>
          </w:tcPr>
          <w:p w:rsidR="00FB0E28" w:rsidRDefault="002757FE">
            <w:pPr>
              <w:tabs>
                <w:tab w:val="center" w:pos="4153"/>
                <w:tab w:val="right" w:pos="8306"/>
              </w:tabs>
              <w:jc w:val="center"/>
              <w:rPr>
                <w:sz w:val="18"/>
                <w:szCs w:val="18"/>
              </w:rPr>
            </w:pPr>
            <w:r>
              <w:rPr>
                <w:sz w:val="18"/>
                <w:szCs w:val="18"/>
              </w:rPr>
              <w:t>项目总投资</w:t>
            </w:r>
          </w:p>
        </w:tc>
        <w:tc>
          <w:tcPr>
            <w:tcW w:w="2025" w:type="pct"/>
            <w:tcBorders>
              <w:tl2br w:val="nil"/>
              <w:tr2bl w:val="nil"/>
            </w:tcBorders>
            <w:vAlign w:val="center"/>
          </w:tcPr>
          <w:p w:rsidR="00FB0E28" w:rsidRDefault="002757FE">
            <w:pPr>
              <w:tabs>
                <w:tab w:val="center" w:pos="4153"/>
                <w:tab w:val="right" w:pos="8306"/>
              </w:tabs>
              <w:jc w:val="center"/>
              <w:rPr>
                <w:bCs/>
                <w:sz w:val="18"/>
                <w:szCs w:val="18"/>
              </w:rPr>
            </w:pPr>
            <w:r>
              <w:rPr>
                <w:bCs/>
                <w:sz w:val="18"/>
                <w:szCs w:val="18"/>
              </w:rPr>
              <w:t>12,572.70</w:t>
            </w:r>
            <w:r>
              <w:rPr>
                <w:bCs/>
                <w:sz w:val="18"/>
                <w:szCs w:val="18"/>
              </w:rPr>
              <w:t>万元</w:t>
            </w:r>
          </w:p>
        </w:tc>
        <w:tc>
          <w:tcPr>
            <w:tcW w:w="2025" w:type="pct"/>
            <w:tcBorders>
              <w:tl2br w:val="nil"/>
              <w:tr2bl w:val="nil"/>
            </w:tcBorders>
            <w:vAlign w:val="center"/>
          </w:tcPr>
          <w:p w:rsidR="00FB0E28" w:rsidRDefault="002757FE">
            <w:pPr>
              <w:tabs>
                <w:tab w:val="center" w:pos="4153"/>
                <w:tab w:val="right" w:pos="8306"/>
              </w:tabs>
              <w:jc w:val="center"/>
              <w:rPr>
                <w:sz w:val="18"/>
                <w:szCs w:val="18"/>
              </w:rPr>
            </w:pPr>
            <w:r>
              <w:rPr>
                <w:sz w:val="18"/>
                <w:szCs w:val="18"/>
              </w:rPr>
              <w:t>36,229.00</w:t>
            </w:r>
            <w:r>
              <w:rPr>
                <w:sz w:val="18"/>
                <w:szCs w:val="18"/>
              </w:rPr>
              <w:t>万元</w:t>
            </w:r>
          </w:p>
        </w:tc>
      </w:tr>
      <w:tr w:rsidR="00FB0E28">
        <w:trPr>
          <w:trHeight w:val="340"/>
        </w:trPr>
        <w:tc>
          <w:tcPr>
            <w:tcW w:w="949" w:type="pct"/>
            <w:tcBorders>
              <w:tl2br w:val="nil"/>
              <w:tr2bl w:val="nil"/>
            </w:tcBorders>
            <w:vAlign w:val="center"/>
          </w:tcPr>
          <w:p w:rsidR="00FB0E28" w:rsidRDefault="002757FE">
            <w:pPr>
              <w:tabs>
                <w:tab w:val="center" w:pos="4153"/>
                <w:tab w:val="right" w:pos="8306"/>
              </w:tabs>
              <w:jc w:val="center"/>
              <w:rPr>
                <w:sz w:val="18"/>
                <w:szCs w:val="18"/>
              </w:rPr>
            </w:pPr>
            <w:r>
              <w:rPr>
                <w:rFonts w:hint="eastAsia"/>
                <w:sz w:val="18"/>
                <w:szCs w:val="18"/>
              </w:rPr>
              <w:t>拟使</w:t>
            </w:r>
            <w:r>
              <w:rPr>
                <w:sz w:val="18"/>
                <w:szCs w:val="18"/>
              </w:rPr>
              <w:t>用募集资金金额</w:t>
            </w:r>
          </w:p>
        </w:tc>
        <w:tc>
          <w:tcPr>
            <w:tcW w:w="2025" w:type="pct"/>
            <w:tcBorders>
              <w:tl2br w:val="nil"/>
              <w:tr2bl w:val="nil"/>
            </w:tcBorders>
            <w:vAlign w:val="center"/>
          </w:tcPr>
          <w:p w:rsidR="00FB0E28" w:rsidRDefault="002757FE">
            <w:pPr>
              <w:tabs>
                <w:tab w:val="center" w:pos="4153"/>
                <w:tab w:val="right" w:pos="8306"/>
              </w:tabs>
              <w:jc w:val="center"/>
              <w:rPr>
                <w:b/>
                <w:bCs/>
                <w:sz w:val="18"/>
                <w:szCs w:val="18"/>
              </w:rPr>
            </w:pPr>
            <w:r>
              <w:rPr>
                <w:bCs/>
                <w:sz w:val="18"/>
                <w:szCs w:val="18"/>
              </w:rPr>
              <w:t>12,572.70</w:t>
            </w:r>
            <w:r>
              <w:rPr>
                <w:bCs/>
                <w:sz w:val="18"/>
                <w:szCs w:val="18"/>
              </w:rPr>
              <w:t>万元</w:t>
            </w:r>
          </w:p>
        </w:tc>
        <w:tc>
          <w:tcPr>
            <w:tcW w:w="2025" w:type="pct"/>
            <w:tcBorders>
              <w:tl2br w:val="nil"/>
              <w:tr2bl w:val="nil"/>
            </w:tcBorders>
            <w:vAlign w:val="center"/>
          </w:tcPr>
          <w:p w:rsidR="00FB0E28" w:rsidRDefault="002757FE">
            <w:pPr>
              <w:tabs>
                <w:tab w:val="center" w:pos="4153"/>
                <w:tab w:val="right" w:pos="8306"/>
              </w:tabs>
              <w:jc w:val="center"/>
              <w:rPr>
                <w:sz w:val="18"/>
                <w:szCs w:val="18"/>
              </w:rPr>
            </w:pPr>
            <w:r>
              <w:rPr>
                <w:sz w:val="18"/>
                <w:szCs w:val="18"/>
              </w:rPr>
              <w:t>11,716.00</w:t>
            </w:r>
            <w:r>
              <w:rPr>
                <w:sz w:val="18"/>
                <w:szCs w:val="18"/>
              </w:rPr>
              <w:t>万元</w:t>
            </w:r>
          </w:p>
        </w:tc>
      </w:tr>
    </w:tbl>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新募投项目实施所需其余资金由公司自有资金或自筹资金补足。</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（四）本次变更募集资金投资项目已履行的审议程序</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公司于</w:t>
      </w:r>
      <w:r>
        <w:rPr>
          <w:color w:val="000000"/>
          <w:kern w:val="0"/>
          <w:sz w:val="24"/>
          <w:szCs w:val="24"/>
          <w:lang w:bidi="ar"/>
        </w:rPr>
        <w:t>2024</w:t>
      </w:r>
      <w:r>
        <w:rPr>
          <w:color w:val="000000"/>
          <w:kern w:val="0"/>
          <w:sz w:val="24"/>
          <w:szCs w:val="24"/>
          <w:lang w:bidi="ar"/>
        </w:rPr>
        <w:t>年</w:t>
      </w:r>
      <w:r>
        <w:rPr>
          <w:color w:val="000000"/>
          <w:kern w:val="0"/>
          <w:sz w:val="24"/>
          <w:szCs w:val="24"/>
          <w:lang w:bidi="ar"/>
        </w:rPr>
        <w:t>12</w:t>
      </w:r>
      <w:r>
        <w:rPr>
          <w:color w:val="000000"/>
          <w:kern w:val="0"/>
          <w:sz w:val="24"/>
          <w:szCs w:val="24"/>
          <w:lang w:bidi="ar"/>
        </w:rPr>
        <w:t>月</w:t>
      </w:r>
      <w:r>
        <w:rPr>
          <w:color w:val="000000"/>
          <w:kern w:val="0"/>
          <w:sz w:val="24"/>
          <w:szCs w:val="24"/>
          <w:lang w:bidi="ar"/>
        </w:rPr>
        <w:t>11</w:t>
      </w:r>
      <w:r>
        <w:rPr>
          <w:color w:val="000000"/>
          <w:kern w:val="0"/>
          <w:sz w:val="24"/>
          <w:szCs w:val="24"/>
          <w:lang w:bidi="ar"/>
        </w:rPr>
        <w:t>日召开第三届董事会第二十六次会议、第三届监事会第二十四次会议</w:t>
      </w:r>
      <w:r>
        <w:rPr>
          <w:rFonts w:hint="eastAsia"/>
          <w:color w:val="000000"/>
          <w:kern w:val="0"/>
          <w:sz w:val="24"/>
          <w:szCs w:val="24"/>
          <w:lang w:bidi="ar"/>
        </w:rPr>
        <w:t>，</w:t>
      </w:r>
      <w:r>
        <w:rPr>
          <w:color w:val="000000"/>
          <w:kern w:val="0"/>
          <w:sz w:val="24"/>
          <w:szCs w:val="24"/>
          <w:lang w:bidi="ar"/>
        </w:rPr>
        <w:t>审议通过《关于变更募集资金用途的议案》，该事项尚需提交公司股东会审议通过后方可实施。</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本次变更的募集资金投资项目不构成关联交易，不构成《上市公司重大资产重组管理办法》规定的重大资产重组。根据《上市公司监管指引第</w:t>
      </w:r>
      <w:r>
        <w:rPr>
          <w:color w:val="000000"/>
          <w:kern w:val="0"/>
          <w:sz w:val="24"/>
          <w:szCs w:val="24"/>
          <w:lang w:bidi="ar"/>
        </w:rPr>
        <w:t>2</w:t>
      </w:r>
      <w:r>
        <w:rPr>
          <w:color w:val="000000"/>
          <w:kern w:val="0"/>
          <w:sz w:val="24"/>
          <w:szCs w:val="24"/>
          <w:lang w:bidi="ar"/>
        </w:rPr>
        <w:t>号</w:t>
      </w:r>
      <w:r>
        <w:rPr>
          <w:color w:val="000000"/>
          <w:kern w:val="0"/>
          <w:sz w:val="24"/>
          <w:szCs w:val="24"/>
          <w:lang w:bidi="ar"/>
        </w:rPr>
        <w:t>——</w:t>
      </w:r>
      <w:r>
        <w:rPr>
          <w:color w:val="000000"/>
          <w:kern w:val="0"/>
          <w:sz w:val="24"/>
          <w:szCs w:val="24"/>
          <w:lang w:bidi="ar"/>
        </w:rPr>
        <w:t>上市公司募集资金管理和使用的监管要求》《深圳证券交易所创业板股票上市规则》《深圳证券交易所上市公司自律监管指引第</w:t>
      </w:r>
      <w:r>
        <w:rPr>
          <w:color w:val="000000"/>
          <w:kern w:val="0"/>
          <w:sz w:val="24"/>
          <w:szCs w:val="24"/>
          <w:lang w:bidi="ar"/>
        </w:rPr>
        <w:t>2</w:t>
      </w:r>
      <w:r>
        <w:rPr>
          <w:color w:val="000000"/>
          <w:kern w:val="0"/>
          <w:sz w:val="24"/>
          <w:szCs w:val="24"/>
          <w:lang w:bidi="ar"/>
        </w:rPr>
        <w:t>号</w:t>
      </w:r>
      <w:r>
        <w:rPr>
          <w:color w:val="000000"/>
          <w:kern w:val="0"/>
          <w:sz w:val="24"/>
          <w:szCs w:val="24"/>
          <w:lang w:bidi="ar"/>
        </w:rPr>
        <w:t>——</w:t>
      </w:r>
      <w:r>
        <w:rPr>
          <w:color w:val="000000"/>
          <w:kern w:val="0"/>
          <w:sz w:val="24"/>
          <w:szCs w:val="24"/>
          <w:lang w:bidi="ar"/>
        </w:rPr>
        <w:t>创业板上市公司规范运作》等法律、行政</w:t>
      </w:r>
      <w:r>
        <w:rPr>
          <w:color w:val="000000"/>
          <w:kern w:val="0"/>
          <w:sz w:val="24"/>
          <w:szCs w:val="24"/>
          <w:lang w:bidi="ar"/>
        </w:rPr>
        <w:t>法规、规范性文件，本次变更后新募投项目无需经行政审批。</w:t>
      </w:r>
    </w:p>
    <w:p w:rsidR="00FB0E28" w:rsidRDefault="002757FE">
      <w:pPr>
        <w:widowControl/>
        <w:spacing w:beforeLines="50" w:before="156" w:afterLines="50" w:after="156" w:line="360" w:lineRule="auto"/>
        <w:ind w:firstLineChars="200" w:firstLine="562"/>
        <w:jc w:val="left"/>
        <w:rPr>
          <w:b/>
          <w:bCs/>
          <w:color w:val="000000"/>
          <w:kern w:val="0"/>
          <w:sz w:val="28"/>
          <w:szCs w:val="28"/>
          <w:lang w:bidi="ar"/>
        </w:rPr>
      </w:pPr>
      <w:r>
        <w:rPr>
          <w:b/>
          <w:bCs/>
          <w:color w:val="000000"/>
          <w:kern w:val="0"/>
          <w:sz w:val="28"/>
          <w:szCs w:val="28"/>
          <w:lang w:bidi="ar"/>
        </w:rPr>
        <w:t>二、变更募集资金投资项目的原因</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（一）原募投项目计划和实际投资情况</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w:t>
      </w:r>
      <w:r>
        <w:rPr>
          <w:color w:val="000000"/>
          <w:kern w:val="0"/>
          <w:sz w:val="24"/>
          <w:szCs w:val="24"/>
          <w:lang w:bidi="ar"/>
        </w:rPr>
        <w:t>智慧城市综合解决方案升级项目</w:t>
      </w:r>
      <w:r>
        <w:rPr>
          <w:color w:val="000000"/>
          <w:kern w:val="0"/>
          <w:sz w:val="24"/>
          <w:szCs w:val="24"/>
          <w:lang w:bidi="ar"/>
        </w:rPr>
        <w:t>”</w:t>
      </w:r>
      <w:r>
        <w:rPr>
          <w:color w:val="000000"/>
          <w:kern w:val="0"/>
          <w:sz w:val="24"/>
          <w:szCs w:val="24"/>
          <w:lang w:bidi="ar"/>
        </w:rPr>
        <w:t>于</w:t>
      </w:r>
      <w:r>
        <w:rPr>
          <w:color w:val="000000"/>
          <w:kern w:val="0"/>
          <w:sz w:val="24"/>
          <w:szCs w:val="24"/>
          <w:lang w:bidi="ar"/>
        </w:rPr>
        <w:t>2020</w:t>
      </w:r>
      <w:r>
        <w:rPr>
          <w:color w:val="000000"/>
          <w:kern w:val="0"/>
          <w:sz w:val="24"/>
          <w:szCs w:val="24"/>
          <w:lang w:bidi="ar"/>
        </w:rPr>
        <w:t>年立项，由天亿马在汕头市实施建设，投资总额为</w:t>
      </w:r>
      <w:r>
        <w:rPr>
          <w:color w:val="000000"/>
          <w:kern w:val="0"/>
          <w:sz w:val="24"/>
          <w:szCs w:val="24"/>
          <w:lang w:bidi="ar"/>
        </w:rPr>
        <w:t>12,572.70</w:t>
      </w:r>
      <w:r>
        <w:rPr>
          <w:color w:val="000000"/>
          <w:kern w:val="0"/>
          <w:sz w:val="24"/>
          <w:szCs w:val="24"/>
          <w:lang w:bidi="ar"/>
        </w:rPr>
        <w:t>万元，拟使用募集资金</w:t>
      </w:r>
      <w:r>
        <w:rPr>
          <w:color w:val="000000"/>
          <w:kern w:val="0"/>
          <w:sz w:val="24"/>
          <w:szCs w:val="24"/>
          <w:lang w:bidi="ar"/>
        </w:rPr>
        <w:t>12,572.70</w:t>
      </w:r>
      <w:r>
        <w:rPr>
          <w:color w:val="000000"/>
          <w:kern w:val="0"/>
          <w:sz w:val="24"/>
          <w:szCs w:val="24"/>
          <w:lang w:bidi="ar"/>
        </w:rPr>
        <w:t>万元，计划建设期为</w:t>
      </w:r>
      <w:r>
        <w:rPr>
          <w:color w:val="000000"/>
          <w:kern w:val="0"/>
          <w:sz w:val="24"/>
          <w:szCs w:val="24"/>
          <w:lang w:bidi="ar"/>
        </w:rPr>
        <w:t>2</w:t>
      </w:r>
      <w:r>
        <w:rPr>
          <w:color w:val="000000"/>
          <w:kern w:val="0"/>
          <w:sz w:val="24"/>
          <w:szCs w:val="24"/>
          <w:lang w:bidi="ar"/>
        </w:rPr>
        <w:t>年。该项目建设内容主要是购置集中办公场地，对原智慧城市综合解决方案产品内容及技术进行研发升级，开发智慧城市领域新产品。经过公司</w:t>
      </w:r>
      <w:r>
        <w:rPr>
          <w:color w:val="000000"/>
          <w:kern w:val="0"/>
          <w:sz w:val="24"/>
          <w:szCs w:val="24"/>
          <w:lang w:bidi="ar"/>
        </w:rPr>
        <w:t>2022</w:t>
      </w:r>
      <w:r>
        <w:rPr>
          <w:color w:val="000000"/>
          <w:kern w:val="0"/>
          <w:sz w:val="24"/>
          <w:szCs w:val="24"/>
          <w:lang w:bidi="ar"/>
        </w:rPr>
        <w:t>年</w:t>
      </w:r>
      <w:r>
        <w:rPr>
          <w:color w:val="000000"/>
          <w:kern w:val="0"/>
          <w:sz w:val="24"/>
          <w:szCs w:val="24"/>
          <w:lang w:bidi="ar"/>
        </w:rPr>
        <w:t>10</w:t>
      </w:r>
      <w:r>
        <w:rPr>
          <w:color w:val="000000"/>
          <w:kern w:val="0"/>
          <w:sz w:val="24"/>
          <w:szCs w:val="24"/>
          <w:lang w:bidi="ar"/>
        </w:rPr>
        <w:t>月</w:t>
      </w:r>
      <w:r>
        <w:rPr>
          <w:color w:val="000000"/>
          <w:kern w:val="0"/>
          <w:sz w:val="24"/>
          <w:szCs w:val="24"/>
          <w:lang w:bidi="ar"/>
        </w:rPr>
        <w:t>27</w:t>
      </w:r>
      <w:r>
        <w:rPr>
          <w:color w:val="000000"/>
          <w:kern w:val="0"/>
          <w:sz w:val="24"/>
          <w:szCs w:val="24"/>
          <w:lang w:bidi="ar"/>
        </w:rPr>
        <w:t>日召开的第三届董事会第七次会议和第三届监事会第六次会议审议通过，公司对项目进度规</w:t>
      </w:r>
      <w:r>
        <w:rPr>
          <w:color w:val="000000"/>
          <w:kern w:val="0"/>
          <w:sz w:val="24"/>
          <w:szCs w:val="24"/>
          <w:lang w:bidi="ar"/>
        </w:rPr>
        <w:t>划进行调整，将该项目达到预定可使用状态时间由</w:t>
      </w:r>
      <w:r>
        <w:rPr>
          <w:color w:val="000000"/>
          <w:kern w:val="0"/>
          <w:sz w:val="24"/>
          <w:szCs w:val="24"/>
          <w:lang w:bidi="ar"/>
        </w:rPr>
        <w:t>2023</w:t>
      </w:r>
      <w:r>
        <w:rPr>
          <w:color w:val="000000"/>
          <w:kern w:val="0"/>
          <w:sz w:val="24"/>
          <w:szCs w:val="24"/>
          <w:lang w:bidi="ar"/>
        </w:rPr>
        <w:t>年</w:t>
      </w:r>
      <w:r>
        <w:rPr>
          <w:color w:val="000000"/>
          <w:kern w:val="0"/>
          <w:sz w:val="24"/>
          <w:szCs w:val="24"/>
          <w:lang w:bidi="ar"/>
        </w:rPr>
        <w:t>11</w:t>
      </w:r>
      <w:r>
        <w:rPr>
          <w:color w:val="000000"/>
          <w:kern w:val="0"/>
          <w:sz w:val="24"/>
          <w:szCs w:val="24"/>
          <w:lang w:bidi="ar"/>
        </w:rPr>
        <w:t>月</w:t>
      </w:r>
      <w:r>
        <w:rPr>
          <w:color w:val="000000"/>
          <w:kern w:val="0"/>
          <w:sz w:val="24"/>
          <w:szCs w:val="24"/>
          <w:lang w:bidi="ar"/>
        </w:rPr>
        <w:t>5</w:t>
      </w:r>
      <w:r>
        <w:rPr>
          <w:color w:val="000000"/>
          <w:kern w:val="0"/>
          <w:sz w:val="24"/>
          <w:szCs w:val="24"/>
          <w:lang w:bidi="ar"/>
        </w:rPr>
        <w:t>日延长至</w:t>
      </w:r>
      <w:r>
        <w:rPr>
          <w:color w:val="000000"/>
          <w:kern w:val="0"/>
          <w:sz w:val="24"/>
          <w:szCs w:val="24"/>
          <w:lang w:bidi="ar"/>
        </w:rPr>
        <w:t>2024</w:t>
      </w:r>
      <w:r>
        <w:rPr>
          <w:color w:val="000000"/>
          <w:kern w:val="0"/>
          <w:sz w:val="24"/>
          <w:szCs w:val="24"/>
          <w:lang w:bidi="ar"/>
        </w:rPr>
        <w:t>年</w:t>
      </w:r>
      <w:r>
        <w:rPr>
          <w:color w:val="000000"/>
          <w:kern w:val="0"/>
          <w:sz w:val="24"/>
          <w:szCs w:val="24"/>
          <w:lang w:bidi="ar"/>
        </w:rPr>
        <w:t>11</w:t>
      </w:r>
      <w:r>
        <w:rPr>
          <w:color w:val="000000"/>
          <w:kern w:val="0"/>
          <w:sz w:val="24"/>
          <w:szCs w:val="24"/>
          <w:lang w:bidi="ar"/>
        </w:rPr>
        <w:t>月</w:t>
      </w:r>
      <w:r>
        <w:rPr>
          <w:color w:val="000000"/>
          <w:kern w:val="0"/>
          <w:sz w:val="24"/>
          <w:szCs w:val="24"/>
          <w:lang w:bidi="ar"/>
        </w:rPr>
        <w:t>5</w:t>
      </w:r>
      <w:r>
        <w:rPr>
          <w:color w:val="000000"/>
          <w:kern w:val="0"/>
          <w:sz w:val="24"/>
          <w:szCs w:val="24"/>
          <w:lang w:bidi="ar"/>
        </w:rPr>
        <w:t>日。</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lastRenderedPageBreak/>
        <w:t>经长时间寻源，项目实施当地存量的商用办公场地位置、面积等与公司业务不能匹配；基于谨慎原则，为降低资金风险，公司未考虑购置期房，进而导致项目搁置。截至本核查意见出具日，该募投项目尚未投入建设。</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（二）变更募集资金投资项目的原因</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w:t>
      </w:r>
      <w:r>
        <w:rPr>
          <w:color w:val="000000"/>
          <w:kern w:val="0"/>
          <w:sz w:val="24"/>
          <w:szCs w:val="24"/>
          <w:lang w:bidi="ar"/>
        </w:rPr>
        <w:t>智慧城市综合解决方案升级项目</w:t>
      </w:r>
      <w:r>
        <w:rPr>
          <w:color w:val="000000"/>
          <w:kern w:val="0"/>
          <w:sz w:val="24"/>
          <w:szCs w:val="24"/>
          <w:lang w:bidi="ar"/>
        </w:rPr>
        <w:t>”</w:t>
      </w:r>
      <w:r>
        <w:rPr>
          <w:color w:val="000000"/>
          <w:kern w:val="0"/>
          <w:sz w:val="24"/>
          <w:szCs w:val="24"/>
          <w:lang w:bidi="ar"/>
        </w:rPr>
        <w:t>立项较早，主要为满足公司智慧城市领域产品和技术升级，以及改善公司总部人员办公场地的需求。</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近年来，数字经济正逐渐成为国家经济发展、构筑国家竞争新优势的重要驱动力</w:t>
      </w:r>
      <w:r>
        <w:rPr>
          <w:color w:val="000000"/>
          <w:kern w:val="0"/>
          <w:sz w:val="24"/>
          <w:szCs w:val="24"/>
          <w:lang w:bidi="ar"/>
        </w:rPr>
        <w:t>。从技术上，人工智能、边缘计算、大数据、自然语言编程等技术接连取得突破，为技术升级、产品创新提供源源动力。《</w:t>
      </w:r>
      <w:r>
        <w:rPr>
          <w:color w:val="000000"/>
          <w:kern w:val="0"/>
          <w:sz w:val="24"/>
          <w:szCs w:val="24"/>
          <w:lang w:bidi="ar"/>
        </w:rPr>
        <w:t>“</w:t>
      </w:r>
      <w:r>
        <w:rPr>
          <w:color w:val="000000"/>
          <w:kern w:val="0"/>
          <w:sz w:val="24"/>
          <w:szCs w:val="24"/>
          <w:lang w:bidi="ar"/>
        </w:rPr>
        <w:t>十四五</w:t>
      </w:r>
      <w:r>
        <w:rPr>
          <w:color w:val="000000"/>
          <w:kern w:val="0"/>
          <w:sz w:val="24"/>
          <w:szCs w:val="24"/>
          <w:lang w:bidi="ar"/>
        </w:rPr>
        <w:t>”</w:t>
      </w:r>
      <w:r>
        <w:rPr>
          <w:color w:val="000000"/>
          <w:kern w:val="0"/>
          <w:sz w:val="24"/>
          <w:szCs w:val="24"/>
          <w:lang w:bidi="ar"/>
        </w:rPr>
        <w:t>数字经济发展规划》《数字中国建设整体布局规划》《关于加快场景创新以人工智能高水平应用促进经济高质量发展的指导意见》等重要文件陆续出台，完善数字经济治理体系，指明数字中国建设基础和基础设施布局，支持我国人工智能、大数据等相关技术的创新研发与应用拓展，促进我国软件开发、信息技术等多个行业蓬勃发展。</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在我国数字经济高速发展的背景下，公司全面深化数据经济的战略拓展目标，由智慧城市领域向上游延伸产业链</w:t>
      </w:r>
      <w:r>
        <w:rPr>
          <w:color w:val="000000"/>
          <w:kern w:val="0"/>
          <w:sz w:val="24"/>
          <w:szCs w:val="24"/>
          <w:lang w:bidi="ar"/>
        </w:rPr>
        <w:t>，打开全新发展空间。同时，</w:t>
      </w:r>
      <w:r>
        <w:rPr>
          <w:rFonts w:hint="eastAsia"/>
          <w:color w:val="000000"/>
          <w:kern w:val="0"/>
          <w:sz w:val="24"/>
          <w:szCs w:val="24"/>
          <w:lang w:bidi="ar"/>
        </w:rPr>
        <w:t>随着</w:t>
      </w:r>
      <w:r>
        <w:rPr>
          <w:color w:val="000000"/>
          <w:kern w:val="0"/>
          <w:sz w:val="24"/>
          <w:szCs w:val="24"/>
          <w:lang w:bidi="ar"/>
        </w:rPr>
        <w:t>深圳综合运营中心项目的落地，深圳办公室研发中心、展示中心、运营中心的投入使用，一定程度缓解了总部办公用地压力。</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综上所述，公司拟终止</w:t>
      </w:r>
      <w:r>
        <w:rPr>
          <w:color w:val="000000"/>
          <w:kern w:val="0"/>
          <w:sz w:val="24"/>
          <w:szCs w:val="24"/>
          <w:lang w:bidi="ar"/>
        </w:rPr>
        <w:t>“</w:t>
      </w:r>
      <w:r>
        <w:rPr>
          <w:color w:val="000000"/>
          <w:kern w:val="0"/>
          <w:sz w:val="24"/>
          <w:szCs w:val="24"/>
          <w:lang w:bidi="ar"/>
        </w:rPr>
        <w:t>智慧城市综合解决方案升级项目</w:t>
      </w:r>
      <w:r>
        <w:rPr>
          <w:color w:val="000000"/>
          <w:kern w:val="0"/>
          <w:sz w:val="24"/>
          <w:szCs w:val="24"/>
          <w:lang w:bidi="ar"/>
        </w:rPr>
        <w:t>”</w:t>
      </w:r>
      <w:r>
        <w:rPr>
          <w:color w:val="000000"/>
          <w:kern w:val="0"/>
          <w:sz w:val="24"/>
          <w:szCs w:val="24"/>
          <w:lang w:bidi="ar"/>
        </w:rPr>
        <w:t>，变更其部分募集资金用途用于实施</w:t>
      </w:r>
      <w:r>
        <w:rPr>
          <w:color w:val="000000"/>
          <w:kern w:val="0"/>
          <w:sz w:val="24"/>
          <w:szCs w:val="24"/>
          <w:lang w:bidi="ar"/>
        </w:rPr>
        <w:t>“</w:t>
      </w:r>
      <w:r>
        <w:rPr>
          <w:color w:val="000000"/>
          <w:kern w:val="0"/>
          <w:sz w:val="24"/>
          <w:szCs w:val="24"/>
          <w:lang w:bidi="ar"/>
        </w:rPr>
        <w:t>算力集群服务项目</w:t>
      </w:r>
      <w:r>
        <w:rPr>
          <w:color w:val="000000"/>
          <w:kern w:val="0"/>
          <w:sz w:val="24"/>
          <w:szCs w:val="24"/>
          <w:lang w:bidi="ar"/>
        </w:rPr>
        <w:t>”</w:t>
      </w:r>
      <w:r>
        <w:rPr>
          <w:color w:val="000000"/>
          <w:kern w:val="0"/>
          <w:sz w:val="24"/>
          <w:szCs w:val="24"/>
          <w:lang w:bidi="ar"/>
        </w:rPr>
        <w:t>。</w:t>
      </w:r>
    </w:p>
    <w:p w:rsidR="00FB0E28" w:rsidRDefault="002757FE">
      <w:pPr>
        <w:widowControl/>
        <w:spacing w:beforeLines="50" w:before="156" w:afterLines="50" w:after="156" w:line="360" w:lineRule="auto"/>
        <w:ind w:firstLineChars="200" w:firstLine="562"/>
        <w:jc w:val="left"/>
        <w:rPr>
          <w:b/>
          <w:bCs/>
          <w:color w:val="000000"/>
          <w:kern w:val="0"/>
          <w:sz w:val="28"/>
          <w:szCs w:val="28"/>
          <w:lang w:bidi="ar"/>
        </w:rPr>
      </w:pPr>
      <w:r>
        <w:rPr>
          <w:b/>
          <w:bCs/>
          <w:color w:val="000000"/>
          <w:kern w:val="0"/>
          <w:sz w:val="28"/>
          <w:szCs w:val="28"/>
          <w:lang w:bidi="ar"/>
        </w:rPr>
        <w:t>三、新募投项目情况说明</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（一）项目基本情况及投资计划</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1.</w:t>
      </w:r>
      <w:r>
        <w:rPr>
          <w:color w:val="000000"/>
          <w:kern w:val="0"/>
          <w:sz w:val="24"/>
          <w:szCs w:val="24"/>
          <w:lang w:bidi="ar"/>
        </w:rPr>
        <w:t>项目名称：广东天亿马信息产业股份有限公司算力集群服务项目</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2.</w:t>
      </w:r>
      <w:r>
        <w:rPr>
          <w:color w:val="000000"/>
          <w:kern w:val="0"/>
          <w:sz w:val="24"/>
          <w:szCs w:val="24"/>
          <w:lang w:bidi="ar"/>
        </w:rPr>
        <w:t>项目实施主体：广东天亿马信息产业股份有限公司</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3.</w:t>
      </w:r>
      <w:r>
        <w:rPr>
          <w:color w:val="000000"/>
          <w:kern w:val="0"/>
          <w:sz w:val="24"/>
          <w:szCs w:val="24"/>
          <w:lang w:bidi="ar"/>
        </w:rPr>
        <w:t>项目投资额：</w:t>
      </w:r>
      <w:r>
        <w:rPr>
          <w:color w:val="000000"/>
          <w:kern w:val="0"/>
          <w:sz w:val="24"/>
          <w:szCs w:val="24"/>
          <w:lang w:bidi="ar"/>
        </w:rPr>
        <w:t>36,229.00</w:t>
      </w:r>
      <w:r>
        <w:rPr>
          <w:color w:val="000000"/>
          <w:kern w:val="0"/>
          <w:sz w:val="24"/>
          <w:szCs w:val="24"/>
          <w:lang w:bidi="ar"/>
        </w:rPr>
        <w:t>万元</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4.</w:t>
      </w:r>
      <w:r>
        <w:rPr>
          <w:color w:val="000000"/>
          <w:kern w:val="0"/>
          <w:sz w:val="24"/>
          <w:szCs w:val="24"/>
          <w:lang w:bidi="ar"/>
        </w:rPr>
        <w:t>项目实施地：深圳市</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lastRenderedPageBreak/>
        <w:t>5.</w:t>
      </w:r>
      <w:r>
        <w:rPr>
          <w:color w:val="000000"/>
          <w:kern w:val="0"/>
          <w:sz w:val="24"/>
          <w:szCs w:val="24"/>
          <w:lang w:bidi="ar"/>
        </w:rPr>
        <w:t>建设内容：本项目为智能算力中心建设及日常运维，建成后主要提供</w:t>
      </w:r>
      <w:r>
        <w:rPr>
          <w:color w:val="000000"/>
          <w:kern w:val="0"/>
          <w:sz w:val="24"/>
          <w:szCs w:val="24"/>
          <w:lang w:bidi="ar"/>
        </w:rPr>
        <w:t>AI</w:t>
      </w:r>
      <w:r>
        <w:rPr>
          <w:color w:val="000000"/>
          <w:kern w:val="0"/>
          <w:sz w:val="24"/>
          <w:szCs w:val="24"/>
          <w:lang w:bidi="ar"/>
        </w:rPr>
        <w:t>大模型训练、推理算力、图形渲染算力服务，服务于人工智能大模型、行业模型等。公司将按客户需求进行调整具体建设资源和人力资源投入，调整智能算力中心的日常运维、设备管理和客户服务等工作。</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6.</w:t>
      </w:r>
      <w:r>
        <w:rPr>
          <w:color w:val="000000"/>
          <w:kern w:val="0"/>
          <w:sz w:val="24"/>
          <w:szCs w:val="24"/>
          <w:lang w:bidi="ar"/>
        </w:rPr>
        <w:t>项目资金的具体用途：</w:t>
      </w:r>
    </w:p>
    <w:tbl>
      <w:tblPr>
        <w:tblStyle w:val="a3"/>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90"/>
        <w:gridCol w:w="1150"/>
        <w:gridCol w:w="1624"/>
        <w:gridCol w:w="2529"/>
        <w:gridCol w:w="2529"/>
      </w:tblGrid>
      <w:tr w:rsidR="00FB0E28">
        <w:trPr>
          <w:trHeight w:val="340"/>
        </w:trPr>
        <w:tc>
          <w:tcPr>
            <w:tcW w:w="404" w:type="pct"/>
            <w:tcBorders>
              <w:tl2br w:val="nil"/>
              <w:tr2bl w:val="nil"/>
            </w:tcBorders>
            <w:vAlign w:val="center"/>
          </w:tcPr>
          <w:p w:rsidR="00FB0E28" w:rsidRDefault="002757FE">
            <w:pPr>
              <w:widowControl/>
              <w:jc w:val="center"/>
              <w:rPr>
                <w:b/>
                <w:bCs/>
                <w:kern w:val="0"/>
                <w:sz w:val="18"/>
                <w:szCs w:val="18"/>
              </w:rPr>
            </w:pPr>
            <w:r>
              <w:rPr>
                <w:b/>
                <w:bCs/>
                <w:kern w:val="0"/>
                <w:sz w:val="18"/>
                <w:szCs w:val="18"/>
              </w:rPr>
              <w:t>序号</w:t>
            </w:r>
          </w:p>
        </w:tc>
        <w:tc>
          <w:tcPr>
            <w:tcW w:w="675" w:type="pct"/>
            <w:tcBorders>
              <w:tl2br w:val="nil"/>
              <w:tr2bl w:val="nil"/>
            </w:tcBorders>
            <w:vAlign w:val="center"/>
          </w:tcPr>
          <w:p w:rsidR="00FB0E28" w:rsidRDefault="002757FE">
            <w:pPr>
              <w:widowControl/>
              <w:jc w:val="center"/>
              <w:rPr>
                <w:b/>
                <w:bCs/>
                <w:kern w:val="0"/>
                <w:sz w:val="18"/>
                <w:szCs w:val="18"/>
              </w:rPr>
            </w:pPr>
            <w:r>
              <w:rPr>
                <w:b/>
                <w:bCs/>
                <w:kern w:val="0"/>
                <w:sz w:val="18"/>
                <w:szCs w:val="18"/>
              </w:rPr>
              <w:t>费用名称</w:t>
            </w:r>
          </w:p>
        </w:tc>
        <w:tc>
          <w:tcPr>
            <w:tcW w:w="952" w:type="pct"/>
            <w:tcBorders>
              <w:tl2br w:val="nil"/>
              <w:tr2bl w:val="nil"/>
            </w:tcBorders>
            <w:vAlign w:val="center"/>
          </w:tcPr>
          <w:p w:rsidR="00FB0E28" w:rsidRDefault="002757FE">
            <w:pPr>
              <w:widowControl/>
              <w:jc w:val="center"/>
              <w:rPr>
                <w:b/>
                <w:bCs/>
                <w:kern w:val="0"/>
                <w:sz w:val="18"/>
                <w:szCs w:val="18"/>
              </w:rPr>
            </w:pPr>
            <w:r>
              <w:rPr>
                <w:b/>
                <w:bCs/>
                <w:kern w:val="0"/>
                <w:sz w:val="18"/>
                <w:szCs w:val="18"/>
              </w:rPr>
              <w:t>项目金额（万元）</w:t>
            </w:r>
          </w:p>
        </w:tc>
        <w:tc>
          <w:tcPr>
            <w:tcW w:w="1483" w:type="pct"/>
            <w:tcBorders>
              <w:tl2br w:val="nil"/>
              <w:tr2bl w:val="nil"/>
            </w:tcBorders>
            <w:vAlign w:val="center"/>
          </w:tcPr>
          <w:p w:rsidR="00FB0E28" w:rsidRDefault="002757FE">
            <w:pPr>
              <w:widowControl/>
              <w:jc w:val="center"/>
              <w:rPr>
                <w:b/>
                <w:bCs/>
                <w:kern w:val="0"/>
                <w:sz w:val="18"/>
                <w:szCs w:val="18"/>
              </w:rPr>
            </w:pPr>
            <w:r>
              <w:rPr>
                <w:b/>
                <w:bCs/>
                <w:kern w:val="0"/>
                <w:sz w:val="18"/>
                <w:szCs w:val="18"/>
              </w:rPr>
              <w:t>拟使用募集资金金额（万元）</w:t>
            </w:r>
          </w:p>
        </w:tc>
        <w:tc>
          <w:tcPr>
            <w:tcW w:w="1483" w:type="pct"/>
            <w:tcBorders>
              <w:tl2br w:val="nil"/>
              <w:tr2bl w:val="nil"/>
            </w:tcBorders>
            <w:vAlign w:val="center"/>
          </w:tcPr>
          <w:p w:rsidR="00FB0E28" w:rsidRDefault="002757FE">
            <w:pPr>
              <w:widowControl/>
              <w:jc w:val="center"/>
              <w:rPr>
                <w:b/>
                <w:bCs/>
                <w:kern w:val="0"/>
                <w:sz w:val="18"/>
                <w:szCs w:val="18"/>
              </w:rPr>
            </w:pPr>
            <w:r>
              <w:rPr>
                <w:b/>
                <w:bCs/>
                <w:kern w:val="0"/>
                <w:sz w:val="18"/>
                <w:szCs w:val="18"/>
              </w:rPr>
              <w:t>主要用途</w:t>
            </w:r>
          </w:p>
        </w:tc>
      </w:tr>
      <w:tr w:rsidR="00FB0E28">
        <w:trPr>
          <w:trHeight w:val="340"/>
        </w:trPr>
        <w:tc>
          <w:tcPr>
            <w:tcW w:w="404" w:type="pct"/>
            <w:tcBorders>
              <w:tl2br w:val="nil"/>
              <w:tr2bl w:val="nil"/>
            </w:tcBorders>
            <w:vAlign w:val="center"/>
          </w:tcPr>
          <w:p w:rsidR="00FB0E28" w:rsidRDefault="002757FE">
            <w:pPr>
              <w:widowControl/>
              <w:jc w:val="center"/>
              <w:rPr>
                <w:kern w:val="0"/>
                <w:sz w:val="18"/>
                <w:szCs w:val="18"/>
              </w:rPr>
            </w:pPr>
            <w:r>
              <w:rPr>
                <w:kern w:val="0"/>
                <w:sz w:val="18"/>
                <w:szCs w:val="18"/>
              </w:rPr>
              <w:t>1</w:t>
            </w:r>
          </w:p>
        </w:tc>
        <w:tc>
          <w:tcPr>
            <w:tcW w:w="675" w:type="pct"/>
            <w:tcBorders>
              <w:tl2br w:val="nil"/>
              <w:tr2bl w:val="nil"/>
            </w:tcBorders>
            <w:vAlign w:val="center"/>
          </w:tcPr>
          <w:p w:rsidR="00FB0E28" w:rsidRDefault="002757FE">
            <w:pPr>
              <w:widowControl/>
              <w:jc w:val="center"/>
              <w:rPr>
                <w:kern w:val="0"/>
                <w:sz w:val="18"/>
                <w:szCs w:val="18"/>
              </w:rPr>
            </w:pPr>
            <w:r>
              <w:rPr>
                <w:kern w:val="0"/>
                <w:sz w:val="18"/>
                <w:szCs w:val="18"/>
              </w:rPr>
              <w:t>设备购置</w:t>
            </w:r>
          </w:p>
        </w:tc>
        <w:tc>
          <w:tcPr>
            <w:tcW w:w="952" w:type="pct"/>
            <w:tcBorders>
              <w:tl2br w:val="nil"/>
              <w:tr2bl w:val="nil"/>
            </w:tcBorders>
            <w:vAlign w:val="center"/>
          </w:tcPr>
          <w:p w:rsidR="00FB0E28" w:rsidRDefault="002757FE">
            <w:pPr>
              <w:widowControl/>
              <w:jc w:val="center"/>
              <w:rPr>
                <w:kern w:val="0"/>
                <w:sz w:val="18"/>
                <w:szCs w:val="18"/>
              </w:rPr>
            </w:pPr>
            <w:r>
              <w:rPr>
                <w:kern w:val="0"/>
                <w:sz w:val="18"/>
                <w:szCs w:val="18"/>
              </w:rPr>
              <w:t>33,250</w:t>
            </w:r>
            <w:r>
              <w:rPr>
                <w:rFonts w:hint="eastAsia"/>
                <w:kern w:val="0"/>
                <w:sz w:val="18"/>
                <w:szCs w:val="18"/>
              </w:rPr>
              <w:t>.00</w:t>
            </w:r>
          </w:p>
        </w:tc>
        <w:tc>
          <w:tcPr>
            <w:tcW w:w="1483" w:type="pct"/>
            <w:tcBorders>
              <w:tl2br w:val="nil"/>
              <w:tr2bl w:val="nil"/>
            </w:tcBorders>
            <w:vAlign w:val="center"/>
          </w:tcPr>
          <w:p w:rsidR="00FB0E28" w:rsidRDefault="002757FE">
            <w:pPr>
              <w:widowControl/>
              <w:jc w:val="center"/>
              <w:rPr>
                <w:kern w:val="0"/>
                <w:sz w:val="18"/>
                <w:szCs w:val="18"/>
              </w:rPr>
            </w:pPr>
            <w:r>
              <w:rPr>
                <w:kern w:val="0"/>
                <w:sz w:val="18"/>
                <w:szCs w:val="18"/>
              </w:rPr>
              <w:t>9,975.00</w:t>
            </w:r>
          </w:p>
        </w:tc>
        <w:tc>
          <w:tcPr>
            <w:tcW w:w="1483" w:type="pct"/>
            <w:tcBorders>
              <w:tl2br w:val="nil"/>
              <w:tr2bl w:val="nil"/>
            </w:tcBorders>
            <w:vAlign w:val="center"/>
          </w:tcPr>
          <w:p w:rsidR="00FB0E28" w:rsidRDefault="002757FE">
            <w:pPr>
              <w:widowControl/>
              <w:jc w:val="center"/>
              <w:rPr>
                <w:kern w:val="0"/>
                <w:sz w:val="18"/>
                <w:szCs w:val="18"/>
              </w:rPr>
            </w:pPr>
            <w:r>
              <w:rPr>
                <w:kern w:val="0"/>
                <w:sz w:val="18"/>
                <w:szCs w:val="18"/>
              </w:rPr>
              <w:t>用于购置算力设备等相关费用。</w:t>
            </w:r>
          </w:p>
        </w:tc>
      </w:tr>
      <w:tr w:rsidR="00FB0E28">
        <w:trPr>
          <w:trHeight w:val="340"/>
        </w:trPr>
        <w:tc>
          <w:tcPr>
            <w:tcW w:w="404" w:type="pct"/>
            <w:tcBorders>
              <w:tl2br w:val="nil"/>
              <w:tr2bl w:val="nil"/>
            </w:tcBorders>
            <w:vAlign w:val="center"/>
          </w:tcPr>
          <w:p w:rsidR="00FB0E28" w:rsidRDefault="002757FE">
            <w:pPr>
              <w:widowControl/>
              <w:jc w:val="center"/>
              <w:rPr>
                <w:kern w:val="0"/>
                <w:sz w:val="18"/>
                <w:szCs w:val="18"/>
              </w:rPr>
            </w:pPr>
            <w:r>
              <w:rPr>
                <w:kern w:val="0"/>
                <w:sz w:val="18"/>
                <w:szCs w:val="18"/>
              </w:rPr>
              <w:t>2</w:t>
            </w:r>
          </w:p>
        </w:tc>
        <w:tc>
          <w:tcPr>
            <w:tcW w:w="675" w:type="pct"/>
            <w:tcBorders>
              <w:tl2br w:val="nil"/>
              <w:tr2bl w:val="nil"/>
            </w:tcBorders>
            <w:vAlign w:val="center"/>
          </w:tcPr>
          <w:p w:rsidR="00FB0E28" w:rsidRDefault="002757FE">
            <w:pPr>
              <w:widowControl/>
              <w:jc w:val="center"/>
              <w:rPr>
                <w:kern w:val="0"/>
                <w:sz w:val="18"/>
                <w:szCs w:val="18"/>
              </w:rPr>
            </w:pPr>
            <w:r>
              <w:rPr>
                <w:kern w:val="0"/>
                <w:sz w:val="18"/>
                <w:szCs w:val="18"/>
              </w:rPr>
              <w:t>运维成本</w:t>
            </w:r>
          </w:p>
        </w:tc>
        <w:tc>
          <w:tcPr>
            <w:tcW w:w="952" w:type="pct"/>
            <w:tcBorders>
              <w:tl2br w:val="nil"/>
              <w:tr2bl w:val="nil"/>
            </w:tcBorders>
            <w:vAlign w:val="center"/>
          </w:tcPr>
          <w:p w:rsidR="00FB0E28" w:rsidRDefault="002757FE">
            <w:pPr>
              <w:widowControl/>
              <w:jc w:val="center"/>
              <w:rPr>
                <w:kern w:val="0"/>
                <w:sz w:val="18"/>
                <w:szCs w:val="18"/>
              </w:rPr>
            </w:pPr>
            <w:r>
              <w:rPr>
                <w:kern w:val="0"/>
                <w:sz w:val="18"/>
                <w:szCs w:val="18"/>
              </w:rPr>
              <w:t>756.00</w:t>
            </w:r>
          </w:p>
        </w:tc>
        <w:tc>
          <w:tcPr>
            <w:tcW w:w="1483" w:type="pct"/>
            <w:tcBorders>
              <w:tl2br w:val="nil"/>
              <w:tr2bl w:val="nil"/>
            </w:tcBorders>
            <w:vAlign w:val="center"/>
          </w:tcPr>
          <w:p w:rsidR="00FB0E28" w:rsidRDefault="002757FE">
            <w:pPr>
              <w:widowControl/>
              <w:jc w:val="center"/>
              <w:rPr>
                <w:kern w:val="0"/>
                <w:sz w:val="18"/>
                <w:szCs w:val="18"/>
              </w:rPr>
            </w:pPr>
            <w:r>
              <w:rPr>
                <w:kern w:val="0"/>
                <w:sz w:val="18"/>
                <w:szCs w:val="18"/>
              </w:rPr>
              <w:t>756.00</w:t>
            </w:r>
          </w:p>
        </w:tc>
        <w:tc>
          <w:tcPr>
            <w:tcW w:w="1483" w:type="pct"/>
            <w:tcBorders>
              <w:tl2br w:val="nil"/>
              <w:tr2bl w:val="nil"/>
            </w:tcBorders>
            <w:vAlign w:val="center"/>
          </w:tcPr>
          <w:p w:rsidR="00FB0E28" w:rsidRDefault="002757FE">
            <w:pPr>
              <w:widowControl/>
              <w:jc w:val="center"/>
              <w:rPr>
                <w:kern w:val="0"/>
                <w:sz w:val="18"/>
                <w:szCs w:val="18"/>
              </w:rPr>
            </w:pPr>
            <w:r>
              <w:rPr>
                <w:kern w:val="0"/>
                <w:sz w:val="18"/>
                <w:szCs w:val="18"/>
              </w:rPr>
              <w:t>用于项目经营期间日常运维、设备管理、客户服务等相关运营维护投入。</w:t>
            </w:r>
          </w:p>
        </w:tc>
      </w:tr>
      <w:tr w:rsidR="00FB0E28">
        <w:trPr>
          <w:trHeight w:val="340"/>
        </w:trPr>
        <w:tc>
          <w:tcPr>
            <w:tcW w:w="404" w:type="pct"/>
            <w:tcBorders>
              <w:tl2br w:val="nil"/>
              <w:tr2bl w:val="nil"/>
            </w:tcBorders>
            <w:vAlign w:val="center"/>
          </w:tcPr>
          <w:p w:rsidR="00FB0E28" w:rsidRDefault="002757FE">
            <w:pPr>
              <w:widowControl/>
              <w:jc w:val="center"/>
              <w:rPr>
                <w:kern w:val="0"/>
                <w:sz w:val="18"/>
                <w:szCs w:val="18"/>
              </w:rPr>
            </w:pPr>
            <w:r>
              <w:rPr>
                <w:kern w:val="0"/>
                <w:sz w:val="18"/>
                <w:szCs w:val="18"/>
              </w:rPr>
              <w:t>3</w:t>
            </w:r>
          </w:p>
        </w:tc>
        <w:tc>
          <w:tcPr>
            <w:tcW w:w="675" w:type="pct"/>
            <w:tcBorders>
              <w:tl2br w:val="nil"/>
              <w:tr2bl w:val="nil"/>
            </w:tcBorders>
            <w:vAlign w:val="center"/>
          </w:tcPr>
          <w:p w:rsidR="00FB0E28" w:rsidRDefault="002757FE">
            <w:pPr>
              <w:widowControl/>
              <w:jc w:val="center"/>
              <w:rPr>
                <w:bCs/>
                <w:kern w:val="0"/>
                <w:sz w:val="18"/>
                <w:szCs w:val="18"/>
              </w:rPr>
            </w:pPr>
            <w:r>
              <w:rPr>
                <w:bCs/>
                <w:kern w:val="0"/>
                <w:sz w:val="18"/>
                <w:szCs w:val="18"/>
              </w:rPr>
              <w:t>铺底流动资金</w:t>
            </w:r>
          </w:p>
        </w:tc>
        <w:tc>
          <w:tcPr>
            <w:tcW w:w="952" w:type="pct"/>
            <w:tcBorders>
              <w:tl2br w:val="nil"/>
              <w:tr2bl w:val="nil"/>
            </w:tcBorders>
            <w:vAlign w:val="center"/>
          </w:tcPr>
          <w:p w:rsidR="00FB0E28" w:rsidRDefault="002757FE">
            <w:pPr>
              <w:widowControl/>
              <w:jc w:val="center"/>
              <w:rPr>
                <w:kern w:val="0"/>
                <w:sz w:val="18"/>
                <w:szCs w:val="18"/>
              </w:rPr>
            </w:pPr>
            <w:r>
              <w:rPr>
                <w:kern w:val="0"/>
                <w:sz w:val="18"/>
                <w:szCs w:val="18"/>
              </w:rPr>
              <w:t>2,223.00</w:t>
            </w:r>
          </w:p>
        </w:tc>
        <w:tc>
          <w:tcPr>
            <w:tcW w:w="1483" w:type="pct"/>
            <w:tcBorders>
              <w:tl2br w:val="nil"/>
              <w:tr2bl w:val="nil"/>
            </w:tcBorders>
            <w:vAlign w:val="center"/>
          </w:tcPr>
          <w:p w:rsidR="00FB0E28" w:rsidRDefault="002757FE">
            <w:pPr>
              <w:widowControl/>
              <w:jc w:val="center"/>
              <w:rPr>
                <w:kern w:val="0"/>
                <w:sz w:val="18"/>
                <w:szCs w:val="18"/>
              </w:rPr>
            </w:pPr>
            <w:r>
              <w:rPr>
                <w:rFonts w:hint="eastAsia"/>
                <w:kern w:val="0"/>
                <w:sz w:val="18"/>
                <w:szCs w:val="18"/>
              </w:rPr>
              <w:t>985.</w:t>
            </w:r>
            <w:r>
              <w:rPr>
                <w:kern w:val="0"/>
                <w:sz w:val="18"/>
                <w:szCs w:val="18"/>
              </w:rPr>
              <w:t>00</w:t>
            </w:r>
          </w:p>
        </w:tc>
        <w:tc>
          <w:tcPr>
            <w:tcW w:w="1483" w:type="pct"/>
            <w:tcBorders>
              <w:tl2br w:val="nil"/>
              <w:tr2bl w:val="nil"/>
            </w:tcBorders>
            <w:vAlign w:val="center"/>
          </w:tcPr>
          <w:p w:rsidR="00FB0E28" w:rsidRDefault="002757FE">
            <w:pPr>
              <w:widowControl/>
              <w:jc w:val="center"/>
              <w:rPr>
                <w:kern w:val="0"/>
                <w:sz w:val="18"/>
                <w:szCs w:val="18"/>
              </w:rPr>
            </w:pPr>
            <w:r>
              <w:rPr>
                <w:kern w:val="0"/>
                <w:sz w:val="18"/>
                <w:szCs w:val="18"/>
              </w:rPr>
              <w:t>用于项目进行正常生产经营活动与周转。</w:t>
            </w:r>
          </w:p>
        </w:tc>
      </w:tr>
      <w:tr w:rsidR="00FB0E28">
        <w:trPr>
          <w:trHeight w:val="340"/>
        </w:trPr>
        <w:tc>
          <w:tcPr>
            <w:tcW w:w="404" w:type="pct"/>
            <w:tcBorders>
              <w:tl2br w:val="nil"/>
              <w:tr2bl w:val="nil"/>
            </w:tcBorders>
            <w:vAlign w:val="center"/>
          </w:tcPr>
          <w:p w:rsidR="00FB0E28" w:rsidRDefault="002757FE">
            <w:pPr>
              <w:widowControl/>
              <w:jc w:val="center"/>
              <w:rPr>
                <w:kern w:val="0"/>
                <w:sz w:val="18"/>
                <w:szCs w:val="18"/>
              </w:rPr>
            </w:pPr>
            <w:r>
              <w:rPr>
                <w:kern w:val="0"/>
                <w:sz w:val="18"/>
                <w:szCs w:val="18"/>
              </w:rPr>
              <w:t>4</w:t>
            </w:r>
          </w:p>
        </w:tc>
        <w:tc>
          <w:tcPr>
            <w:tcW w:w="675" w:type="pct"/>
            <w:tcBorders>
              <w:tl2br w:val="nil"/>
              <w:tr2bl w:val="nil"/>
            </w:tcBorders>
            <w:vAlign w:val="center"/>
          </w:tcPr>
          <w:p w:rsidR="00FB0E28" w:rsidRDefault="002757FE">
            <w:pPr>
              <w:widowControl/>
              <w:jc w:val="center"/>
              <w:rPr>
                <w:kern w:val="0"/>
                <w:sz w:val="18"/>
                <w:szCs w:val="18"/>
              </w:rPr>
            </w:pPr>
            <w:r>
              <w:rPr>
                <w:kern w:val="0"/>
                <w:sz w:val="18"/>
                <w:szCs w:val="18"/>
              </w:rPr>
              <w:t>总投资额</w:t>
            </w:r>
          </w:p>
        </w:tc>
        <w:tc>
          <w:tcPr>
            <w:tcW w:w="952" w:type="pct"/>
            <w:tcBorders>
              <w:tl2br w:val="nil"/>
              <w:tr2bl w:val="nil"/>
            </w:tcBorders>
            <w:vAlign w:val="center"/>
          </w:tcPr>
          <w:p w:rsidR="00FB0E28" w:rsidRDefault="002757FE">
            <w:pPr>
              <w:widowControl/>
              <w:jc w:val="center"/>
              <w:rPr>
                <w:kern w:val="0"/>
                <w:sz w:val="18"/>
                <w:szCs w:val="18"/>
              </w:rPr>
            </w:pPr>
            <w:r>
              <w:rPr>
                <w:kern w:val="0"/>
                <w:sz w:val="18"/>
                <w:szCs w:val="18"/>
              </w:rPr>
              <w:t>36,229.00</w:t>
            </w:r>
          </w:p>
        </w:tc>
        <w:tc>
          <w:tcPr>
            <w:tcW w:w="1483" w:type="pct"/>
            <w:tcBorders>
              <w:tl2br w:val="nil"/>
              <w:tr2bl w:val="nil"/>
            </w:tcBorders>
            <w:vAlign w:val="center"/>
          </w:tcPr>
          <w:p w:rsidR="00FB0E28" w:rsidRDefault="002757FE">
            <w:pPr>
              <w:widowControl/>
              <w:jc w:val="center"/>
              <w:rPr>
                <w:kern w:val="0"/>
                <w:sz w:val="18"/>
                <w:szCs w:val="18"/>
              </w:rPr>
            </w:pPr>
            <w:r>
              <w:rPr>
                <w:kern w:val="0"/>
                <w:sz w:val="18"/>
                <w:szCs w:val="18"/>
              </w:rPr>
              <w:t>1</w:t>
            </w:r>
            <w:r>
              <w:rPr>
                <w:rFonts w:hint="eastAsia"/>
                <w:kern w:val="0"/>
                <w:sz w:val="18"/>
                <w:szCs w:val="18"/>
              </w:rPr>
              <w:t>1</w:t>
            </w:r>
            <w:r>
              <w:rPr>
                <w:kern w:val="0"/>
                <w:sz w:val="18"/>
                <w:szCs w:val="18"/>
              </w:rPr>
              <w:t>,</w:t>
            </w:r>
            <w:r>
              <w:rPr>
                <w:rFonts w:hint="eastAsia"/>
                <w:kern w:val="0"/>
                <w:sz w:val="18"/>
                <w:szCs w:val="18"/>
              </w:rPr>
              <w:t>716</w:t>
            </w:r>
            <w:r>
              <w:rPr>
                <w:kern w:val="0"/>
                <w:sz w:val="18"/>
                <w:szCs w:val="18"/>
              </w:rPr>
              <w:t>.00</w:t>
            </w:r>
          </w:p>
        </w:tc>
        <w:tc>
          <w:tcPr>
            <w:tcW w:w="1483" w:type="pct"/>
            <w:tcBorders>
              <w:tl2br w:val="nil"/>
              <w:tr2bl w:val="nil"/>
            </w:tcBorders>
            <w:vAlign w:val="center"/>
          </w:tcPr>
          <w:p w:rsidR="00FB0E28" w:rsidRDefault="002757FE">
            <w:pPr>
              <w:widowControl/>
              <w:jc w:val="center"/>
              <w:rPr>
                <w:kern w:val="0"/>
                <w:sz w:val="18"/>
                <w:szCs w:val="18"/>
              </w:rPr>
            </w:pPr>
            <w:r>
              <w:rPr>
                <w:kern w:val="0"/>
                <w:sz w:val="18"/>
                <w:szCs w:val="18"/>
              </w:rPr>
              <w:t>-</w:t>
            </w:r>
          </w:p>
        </w:tc>
      </w:tr>
    </w:tbl>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新募投项目实施所需其余资金由公司自有资金或自筹资金补足。</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7.</w:t>
      </w:r>
      <w:r>
        <w:rPr>
          <w:color w:val="000000"/>
          <w:kern w:val="0"/>
          <w:sz w:val="24"/>
          <w:szCs w:val="24"/>
          <w:lang w:bidi="ar"/>
        </w:rPr>
        <w:t>实施期限及进度安排</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本项目计划实施周期为</w:t>
      </w:r>
      <w:r>
        <w:rPr>
          <w:color w:val="000000"/>
          <w:kern w:val="0"/>
          <w:sz w:val="24"/>
          <w:szCs w:val="24"/>
          <w:lang w:bidi="ar"/>
        </w:rPr>
        <w:t>5</w:t>
      </w:r>
      <w:r>
        <w:rPr>
          <w:color w:val="000000"/>
          <w:kern w:val="0"/>
          <w:sz w:val="24"/>
          <w:szCs w:val="24"/>
          <w:lang w:bidi="ar"/>
        </w:rPr>
        <w:t>年，计划分</w:t>
      </w:r>
      <w:r>
        <w:rPr>
          <w:color w:val="000000"/>
          <w:kern w:val="0"/>
          <w:sz w:val="24"/>
          <w:szCs w:val="24"/>
          <w:lang w:bidi="ar"/>
        </w:rPr>
        <w:t>3</w:t>
      </w:r>
      <w:r>
        <w:rPr>
          <w:color w:val="000000"/>
          <w:kern w:val="0"/>
          <w:sz w:val="24"/>
          <w:szCs w:val="24"/>
          <w:lang w:bidi="ar"/>
        </w:rPr>
        <w:t>个阶段实施完成。</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662"/>
        <w:gridCol w:w="1133"/>
        <w:gridCol w:w="1133"/>
        <w:gridCol w:w="1132"/>
        <w:gridCol w:w="1133"/>
        <w:gridCol w:w="1329"/>
      </w:tblGrid>
      <w:tr w:rsidR="00FB0E28">
        <w:trPr>
          <w:trHeight w:val="340"/>
        </w:trPr>
        <w:tc>
          <w:tcPr>
            <w:tcW w:w="1561" w:type="pct"/>
            <w:vMerge w:val="restart"/>
            <w:tcBorders>
              <w:tl2br w:val="nil"/>
              <w:tr2bl w:val="nil"/>
            </w:tcBorders>
            <w:shd w:val="clear" w:color="auto" w:fill="auto"/>
            <w:vAlign w:val="center"/>
          </w:tcPr>
          <w:p w:rsidR="00FB0E28" w:rsidRDefault="002757FE">
            <w:pPr>
              <w:widowControl/>
              <w:jc w:val="center"/>
              <w:rPr>
                <w:b/>
                <w:bCs/>
                <w:color w:val="000000"/>
                <w:kern w:val="0"/>
                <w:sz w:val="18"/>
                <w:szCs w:val="18"/>
              </w:rPr>
            </w:pPr>
            <w:r>
              <w:rPr>
                <w:b/>
                <w:bCs/>
                <w:color w:val="000000"/>
                <w:kern w:val="0"/>
                <w:sz w:val="18"/>
                <w:szCs w:val="18"/>
              </w:rPr>
              <w:t>项目</w:t>
            </w:r>
          </w:p>
        </w:tc>
        <w:tc>
          <w:tcPr>
            <w:tcW w:w="3438" w:type="pct"/>
            <w:gridSpan w:val="5"/>
            <w:tcBorders>
              <w:tl2br w:val="nil"/>
              <w:tr2bl w:val="nil"/>
            </w:tcBorders>
            <w:shd w:val="clear" w:color="auto" w:fill="auto"/>
            <w:vAlign w:val="center"/>
          </w:tcPr>
          <w:p w:rsidR="00FB0E28" w:rsidRDefault="002757FE">
            <w:pPr>
              <w:widowControl/>
              <w:jc w:val="center"/>
              <w:rPr>
                <w:b/>
                <w:bCs/>
                <w:color w:val="000000"/>
                <w:kern w:val="0"/>
                <w:sz w:val="18"/>
                <w:szCs w:val="18"/>
              </w:rPr>
            </w:pPr>
            <w:r>
              <w:rPr>
                <w:b/>
                <w:bCs/>
                <w:color w:val="000000"/>
                <w:kern w:val="0"/>
                <w:sz w:val="18"/>
                <w:szCs w:val="18"/>
              </w:rPr>
              <w:t>进度（年）</w:t>
            </w:r>
          </w:p>
        </w:tc>
      </w:tr>
      <w:tr w:rsidR="00FB0E28">
        <w:trPr>
          <w:trHeight w:val="340"/>
        </w:trPr>
        <w:tc>
          <w:tcPr>
            <w:tcW w:w="1561" w:type="pct"/>
            <w:vMerge/>
            <w:tcBorders>
              <w:tl2br w:val="nil"/>
              <w:tr2bl w:val="nil"/>
            </w:tcBorders>
            <w:vAlign w:val="center"/>
          </w:tcPr>
          <w:p w:rsidR="00FB0E28" w:rsidRDefault="00FB0E28">
            <w:pPr>
              <w:widowControl/>
              <w:jc w:val="center"/>
              <w:rPr>
                <w:b/>
                <w:bCs/>
                <w:color w:val="000000"/>
                <w:kern w:val="0"/>
                <w:sz w:val="18"/>
                <w:szCs w:val="18"/>
              </w:rPr>
            </w:pPr>
          </w:p>
        </w:tc>
        <w:tc>
          <w:tcPr>
            <w:tcW w:w="664" w:type="pct"/>
            <w:tcBorders>
              <w:tl2br w:val="nil"/>
              <w:tr2bl w:val="nil"/>
            </w:tcBorders>
            <w:shd w:val="clear" w:color="auto" w:fill="auto"/>
            <w:vAlign w:val="center"/>
          </w:tcPr>
          <w:p w:rsidR="00FB0E28" w:rsidRDefault="002757FE">
            <w:pPr>
              <w:widowControl/>
              <w:jc w:val="center"/>
              <w:rPr>
                <w:b/>
                <w:bCs/>
                <w:color w:val="000000"/>
                <w:kern w:val="0"/>
                <w:sz w:val="18"/>
                <w:szCs w:val="18"/>
              </w:rPr>
            </w:pPr>
            <w:r>
              <w:rPr>
                <w:b/>
                <w:bCs/>
                <w:color w:val="000000"/>
                <w:kern w:val="0"/>
                <w:sz w:val="18"/>
                <w:szCs w:val="18"/>
              </w:rPr>
              <w:t>1</w:t>
            </w:r>
          </w:p>
        </w:tc>
        <w:tc>
          <w:tcPr>
            <w:tcW w:w="665" w:type="pct"/>
            <w:tcBorders>
              <w:tl2br w:val="nil"/>
              <w:tr2bl w:val="nil"/>
            </w:tcBorders>
            <w:shd w:val="clear" w:color="auto" w:fill="auto"/>
            <w:vAlign w:val="center"/>
          </w:tcPr>
          <w:p w:rsidR="00FB0E28" w:rsidRDefault="002757FE">
            <w:pPr>
              <w:widowControl/>
              <w:jc w:val="center"/>
              <w:rPr>
                <w:b/>
                <w:bCs/>
                <w:color w:val="000000"/>
                <w:kern w:val="0"/>
                <w:sz w:val="18"/>
                <w:szCs w:val="18"/>
              </w:rPr>
            </w:pPr>
            <w:r>
              <w:rPr>
                <w:b/>
                <w:bCs/>
                <w:color w:val="000000"/>
                <w:kern w:val="0"/>
                <w:sz w:val="18"/>
                <w:szCs w:val="18"/>
              </w:rPr>
              <w:t>2</w:t>
            </w:r>
          </w:p>
        </w:tc>
        <w:tc>
          <w:tcPr>
            <w:tcW w:w="664" w:type="pct"/>
            <w:tcBorders>
              <w:tl2br w:val="nil"/>
              <w:tr2bl w:val="nil"/>
            </w:tcBorders>
            <w:shd w:val="clear" w:color="auto" w:fill="auto"/>
            <w:vAlign w:val="center"/>
          </w:tcPr>
          <w:p w:rsidR="00FB0E28" w:rsidRDefault="002757FE">
            <w:pPr>
              <w:widowControl/>
              <w:jc w:val="center"/>
              <w:rPr>
                <w:b/>
                <w:bCs/>
                <w:color w:val="000000"/>
                <w:kern w:val="0"/>
                <w:sz w:val="18"/>
                <w:szCs w:val="18"/>
              </w:rPr>
            </w:pPr>
            <w:r>
              <w:rPr>
                <w:b/>
                <w:bCs/>
                <w:color w:val="000000"/>
                <w:kern w:val="0"/>
                <w:sz w:val="18"/>
                <w:szCs w:val="18"/>
              </w:rPr>
              <w:t>3</w:t>
            </w:r>
          </w:p>
        </w:tc>
        <w:tc>
          <w:tcPr>
            <w:tcW w:w="665" w:type="pct"/>
            <w:tcBorders>
              <w:tl2br w:val="nil"/>
              <w:tr2bl w:val="nil"/>
            </w:tcBorders>
            <w:shd w:val="clear" w:color="auto" w:fill="auto"/>
            <w:vAlign w:val="center"/>
          </w:tcPr>
          <w:p w:rsidR="00FB0E28" w:rsidRDefault="002757FE">
            <w:pPr>
              <w:widowControl/>
              <w:jc w:val="center"/>
              <w:rPr>
                <w:b/>
                <w:bCs/>
                <w:color w:val="000000"/>
                <w:kern w:val="0"/>
                <w:sz w:val="18"/>
                <w:szCs w:val="18"/>
              </w:rPr>
            </w:pPr>
            <w:r>
              <w:rPr>
                <w:b/>
                <w:bCs/>
                <w:color w:val="000000"/>
                <w:kern w:val="0"/>
                <w:sz w:val="18"/>
                <w:szCs w:val="18"/>
              </w:rPr>
              <w:t>4</w:t>
            </w:r>
          </w:p>
        </w:tc>
        <w:tc>
          <w:tcPr>
            <w:tcW w:w="777" w:type="pct"/>
            <w:tcBorders>
              <w:tl2br w:val="nil"/>
              <w:tr2bl w:val="nil"/>
            </w:tcBorders>
            <w:shd w:val="clear" w:color="auto" w:fill="auto"/>
            <w:vAlign w:val="center"/>
          </w:tcPr>
          <w:p w:rsidR="00FB0E28" w:rsidRDefault="002757FE">
            <w:pPr>
              <w:widowControl/>
              <w:jc w:val="center"/>
              <w:rPr>
                <w:b/>
                <w:bCs/>
                <w:color w:val="000000"/>
                <w:kern w:val="0"/>
                <w:sz w:val="18"/>
                <w:szCs w:val="18"/>
              </w:rPr>
            </w:pPr>
            <w:r>
              <w:rPr>
                <w:b/>
                <w:bCs/>
                <w:color w:val="000000"/>
                <w:kern w:val="0"/>
                <w:sz w:val="18"/>
                <w:szCs w:val="18"/>
              </w:rPr>
              <w:t>5</w:t>
            </w:r>
          </w:p>
        </w:tc>
      </w:tr>
      <w:tr w:rsidR="00FB0E28">
        <w:trPr>
          <w:trHeight w:val="340"/>
        </w:trPr>
        <w:tc>
          <w:tcPr>
            <w:tcW w:w="1561" w:type="pct"/>
            <w:tcBorders>
              <w:tl2br w:val="nil"/>
              <w:tr2bl w:val="nil"/>
            </w:tcBorders>
            <w:shd w:val="clear" w:color="auto" w:fill="auto"/>
            <w:vAlign w:val="center"/>
          </w:tcPr>
          <w:p w:rsidR="00FB0E28" w:rsidRDefault="002757FE">
            <w:pPr>
              <w:widowControl/>
              <w:jc w:val="center"/>
              <w:rPr>
                <w:color w:val="000000"/>
                <w:kern w:val="0"/>
                <w:sz w:val="18"/>
                <w:szCs w:val="18"/>
              </w:rPr>
            </w:pPr>
            <w:r>
              <w:rPr>
                <w:color w:val="000000"/>
                <w:kern w:val="0"/>
                <w:sz w:val="18"/>
                <w:szCs w:val="18"/>
              </w:rPr>
              <w:t>硬件设备采购</w:t>
            </w:r>
          </w:p>
        </w:tc>
        <w:tc>
          <w:tcPr>
            <w:tcW w:w="664" w:type="pct"/>
            <w:tcBorders>
              <w:tl2br w:val="nil"/>
              <w:tr2bl w:val="nil"/>
            </w:tcBorders>
            <w:shd w:val="clear" w:color="auto" w:fill="4874CB" w:themeFill="accent1"/>
            <w:vAlign w:val="center"/>
          </w:tcPr>
          <w:p w:rsidR="00FB0E28" w:rsidRDefault="00FB0E28">
            <w:pPr>
              <w:widowControl/>
              <w:jc w:val="center"/>
              <w:rPr>
                <w:color w:val="4F6228"/>
                <w:kern w:val="0"/>
                <w:sz w:val="18"/>
                <w:szCs w:val="18"/>
              </w:rPr>
            </w:pPr>
          </w:p>
        </w:tc>
        <w:tc>
          <w:tcPr>
            <w:tcW w:w="665" w:type="pct"/>
            <w:tcBorders>
              <w:tl2br w:val="nil"/>
              <w:tr2bl w:val="nil"/>
            </w:tcBorders>
            <w:shd w:val="clear" w:color="auto" w:fill="auto"/>
            <w:vAlign w:val="center"/>
          </w:tcPr>
          <w:p w:rsidR="00FB0E28" w:rsidRDefault="00FB0E28">
            <w:pPr>
              <w:widowControl/>
              <w:jc w:val="center"/>
              <w:rPr>
                <w:color w:val="000000"/>
                <w:kern w:val="0"/>
                <w:sz w:val="18"/>
                <w:szCs w:val="18"/>
              </w:rPr>
            </w:pPr>
          </w:p>
        </w:tc>
        <w:tc>
          <w:tcPr>
            <w:tcW w:w="664" w:type="pct"/>
            <w:tcBorders>
              <w:tl2br w:val="nil"/>
              <w:tr2bl w:val="nil"/>
            </w:tcBorders>
            <w:shd w:val="clear" w:color="auto" w:fill="auto"/>
            <w:vAlign w:val="center"/>
          </w:tcPr>
          <w:p w:rsidR="00FB0E28" w:rsidRDefault="00FB0E28">
            <w:pPr>
              <w:widowControl/>
              <w:jc w:val="center"/>
              <w:rPr>
                <w:color w:val="000000"/>
                <w:kern w:val="0"/>
                <w:sz w:val="18"/>
                <w:szCs w:val="18"/>
              </w:rPr>
            </w:pPr>
          </w:p>
        </w:tc>
        <w:tc>
          <w:tcPr>
            <w:tcW w:w="665" w:type="pct"/>
            <w:tcBorders>
              <w:tl2br w:val="nil"/>
              <w:tr2bl w:val="nil"/>
            </w:tcBorders>
            <w:shd w:val="clear" w:color="auto" w:fill="auto"/>
            <w:vAlign w:val="center"/>
          </w:tcPr>
          <w:p w:rsidR="00FB0E28" w:rsidRDefault="00FB0E28">
            <w:pPr>
              <w:widowControl/>
              <w:jc w:val="center"/>
              <w:rPr>
                <w:color w:val="000000"/>
                <w:kern w:val="0"/>
                <w:sz w:val="18"/>
                <w:szCs w:val="18"/>
              </w:rPr>
            </w:pPr>
          </w:p>
        </w:tc>
        <w:tc>
          <w:tcPr>
            <w:tcW w:w="777" w:type="pct"/>
            <w:tcBorders>
              <w:tl2br w:val="nil"/>
              <w:tr2bl w:val="nil"/>
            </w:tcBorders>
            <w:shd w:val="clear" w:color="auto" w:fill="auto"/>
            <w:vAlign w:val="center"/>
          </w:tcPr>
          <w:p w:rsidR="00FB0E28" w:rsidRDefault="00FB0E28">
            <w:pPr>
              <w:widowControl/>
              <w:jc w:val="center"/>
              <w:rPr>
                <w:color w:val="000000"/>
                <w:kern w:val="0"/>
                <w:sz w:val="18"/>
                <w:szCs w:val="18"/>
              </w:rPr>
            </w:pPr>
          </w:p>
        </w:tc>
      </w:tr>
      <w:tr w:rsidR="00FB0E28">
        <w:trPr>
          <w:trHeight w:val="340"/>
        </w:trPr>
        <w:tc>
          <w:tcPr>
            <w:tcW w:w="1561" w:type="pct"/>
            <w:tcBorders>
              <w:tl2br w:val="nil"/>
              <w:tr2bl w:val="nil"/>
            </w:tcBorders>
            <w:shd w:val="clear" w:color="auto" w:fill="auto"/>
            <w:vAlign w:val="center"/>
          </w:tcPr>
          <w:p w:rsidR="00FB0E28" w:rsidRDefault="002757FE">
            <w:pPr>
              <w:widowControl/>
              <w:jc w:val="center"/>
              <w:rPr>
                <w:color w:val="000000"/>
                <w:kern w:val="0"/>
                <w:sz w:val="18"/>
                <w:szCs w:val="18"/>
              </w:rPr>
            </w:pPr>
            <w:r>
              <w:rPr>
                <w:color w:val="000000"/>
                <w:kern w:val="0"/>
                <w:sz w:val="18"/>
                <w:szCs w:val="18"/>
              </w:rPr>
              <w:t>设备安装调试</w:t>
            </w:r>
          </w:p>
        </w:tc>
        <w:tc>
          <w:tcPr>
            <w:tcW w:w="664" w:type="pct"/>
            <w:tcBorders>
              <w:tl2br w:val="nil"/>
              <w:tr2bl w:val="nil"/>
            </w:tcBorders>
            <w:shd w:val="clear" w:color="auto" w:fill="4874CB" w:themeFill="accent1"/>
            <w:vAlign w:val="center"/>
          </w:tcPr>
          <w:p w:rsidR="00FB0E28" w:rsidRDefault="00FB0E28">
            <w:pPr>
              <w:widowControl/>
              <w:jc w:val="center"/>
              <w:rPr>
                <w:color w:val="000000"/>
                <w:kern w:val="0"/>
                <w:sz w:val="18"/>
                <w:szCs w:val="18"/>
              </w:rPr>
            </w:pPr>
          </w:p>
        </w:tc>
        <w:tc>
          <w:tcPr>
            <w:tcW w:w="665" w:type="pct"/>
            <w:tcBorders>
              <w:tl2br w:val="nil"/>
              <w:tr2bl w:val="nil"/>
            </w:tcBorders>
            <w:shd w:val="clear" w:color="auto" w:fill="auto"/>
            <w:vAlign w:val="center"/>
          </w:tcPr>
          <w:p w:rsidR="00FB0E28" w:rsidRDefault="00FB0E28">
            <w:pPr>
              <w:widowControl/>
              <w:jc w:val="center"/>
              <w:rPr>
                <w:color w:val="000000"/>
                <w:kern w:val="0"/>
                <w:sz w:val="18"/>
                <w:szCs w:val="18"/>
              </w:rPr>
            </w:pPr>
          </w:p>
        </w:tc>
        <w:tc>
          <w:tcPr>
            <w:tcW w:w="664" w:type="pct"/>
            <w:tcBorders>
              <w:tl2br w:val="nil"/>
              <w:tr2bl w:val="nil"/>
            </w:tcBorders>
            <w:shd w:val="clear" w:color="auto" w:fill="auto"/>
            <w:vAlign w:val="center"/>
          </w:tcPr>
          <w:p w:rsidR="00FB0E28" w:rsidRDefault="00FB0E28">
            <w:pPr>
              <w:widowControl/>
              <w:jc w:val="center"/>
              <w:rPr>
                <w:color w:val="000000"/>
                <w:kern w:val="0"/>
                <w:sz w:val="18"/>
                <w:szCs w:val="18"/>
              </w:rPr>
            </w:pPr>
          </w:p>
        </w:tc>
        <w:tc>
          <w:tcPr>
            <w:tcW w:w="665" w:type="pct"/>
            <w:tcBorders>
              <w:tl2br w:val="nil"/>
              <w:tr2bl w:val="nil"/>
            </w:tcBorders>
            <w:shd w:val="clear" w:color="auto" w:fill="auto"/>
            <w:vAlign w:val="center"/>
          </w:tcPr>
          <w:p w:rsidR="00FB0E28" w:rsidRDefault="00FB0E28">
            <w:pPr>
              <w:widowControl/>
              <w:jc w:val="center"/>
              <w:rPr>
                <w:color w:val="000000"/>
                <w:kern w:val="0"/>
                <w:sz w:val="18"/>
                <w:szCs w:val="18"/>
              </w:rPr>
            </w:pPr>
          </w:p>
        </w:tc>
        <w:tc>
          <w:tcPr>
            <w:tcW w:w="777" w:type="pct"/>
            <w:tcBorders>
              <w:tl2br w:val="nil"/>
              <w:tr2bl w:val="nil"/>
            </w:tcBorders>
            <w:shd w:val="clear" w:color="auto" w:fill="auto"/>
            <w:vAlign w:val="center"/>
          </w:tcPr>
          <w:p w:rsidR="00FB0E28" w:rsidRDefault="00FB0E28">
            <w:pPr>
              <w:widowControl/>
              <w:jc w:val="center"/>
              <w:rPr>
                <w:color w:val="000000"/>
                <w:kern w:val="0"/>
                <w:sz w:val="18"/>
                <w:szCs w:val="18"/>
              </w:rPr>
            </w:pPr>
          </w:p>
        </w:tc>
      </w:tr>
      <w:tr w:rsidR="00FB0E28">
        <w:trPr>
          <w:trHeight w:val="340"/>
        </w:trPr>
        <w:tc>
          <w:tcPr>
            <w:tcW w:w="1561" w:type="pct"/>
            <w:tcBorders>
              <w:tl2br w:val="nil"/>
              <w:tr2bl w:val="nil"/>
            </w:tcBorders>
            <w:shd w:val="clear" w:color="auto" w:fill="auto"/>
            <w:vAlign w:val="center"/>
          </w:tcPr>
          <w:p w:rsidR="00FB0E28" w:rsidRDefault="002757FE">
            <w:pPr>
              <w:widowControl/>
              <w:jc w:val="center"/>
              <w:rPr>
                <w:color w:val="000000"/>
                <w:kern w:val="0"/>
                <w:sz w:val="18"/>
                <w:szCs w:val="18"/>
              </w:rPr>
            </w:pPr>
            <w:r>
              <w:rPr>
                <w:color w:val="000000"/>
                <w:kern w:val="0"/>
                <w:sz w:val="18"/>
                <w:szCs w:val="18"/>
              </w:rPr>
              <w:t>运营维护</w:t>
            </w:r>
          </w:p>
        </w:tc>
        <w:tc>
          <w:tcPr>
            <w:tcW w:w="664" w:type="pct"/>
            <w:tcBorders>
              <w:tl2br w:val="nil"/>
              <w:tr2bl w:val="nil"/>
            </w:tcBorders>
            <w:shd w:val="clear" w:color="auto" w:fill="4874CB" w:themeFill="accent1"/>
            <w:vAlign w:val="center"/>
          </w:tcPr>
          <w:p w:rsidR="00FB0E28" w:rsidRDefault="00FB0E28">
            <w:pPr>
              <w:widowControl/>
              <w:jc w:val="center"/>
              <w:rPr>
                <w:color w:val="000000"/>
                <w:kern w:val="0"/>
                <w:sz w:val="18"/>
                <w:szCs w:val="18"/>
              </w:rPr>
            </w:pPr>
          </w:p>
        </w:tc>
        <w:tc>
          <w:tcPr>
            <w:tcW w:w="665" w:type="pct"/>
            <w:tcBorders>
              <w:tl2br w:val="nil"/>
              <w:tr2bl w:val="nil"/>
            </w:tcBorders>
            <w:shd w:val="clear" w:color="auto" w:fill="4874CB" w:themeFill="accent1"/>
            <w:vAlign w:val="center"/>
          </w:tcPr>
          <w:p w:rsidR="00FB0E28" w:rsidRDefault="00FB0E28">
            <w:pPr>
              <w:widowControl/>
              <w:jc w:val="center"/>
              <w:rPr>
                <w:color w:val="000000"/>
                <w:kern w:val="0"/>
                <w:sz w:val="18"/>
                <w:szCs w:val="18"/>
              </w:rPr>
            </w:pPr>
          </w:p>
        </w:tc>
        <w:tc>
          <w:tcPr>
            <w:tcW w:w="664" w:type="pct"/>
            <w:tcBorders>
              <w:tl2br w:val="nil"/>
              <w:tr2bl w:val="nil"/>
            </w:tcBorders>
            <w:shd w:val="clear" w:color="auto" w:fill="4874CB" w:themeFill="accent1"/>
            <w:vAlign w:val="center"/>
          </w:tcPr>
          <w:p w:rsidR="00FB0E28" w:rsidRDefault="00FB0E28">
            <w:pPr>
              <w:widowControl/>
              <w:jc w:val="center"/>
              <w:rPr>
                <w:color w:val="000000"/>
                <w:kern w:val="0"/>
                <w:sz w:val="18"/>
                <w:szCs w:val="18"/>
              </w:rPr>
            </w:pPr>
          </w:p>
        </w:tc>
        <w:tc>
          <w:tcPr>
            <w:tcW w:w="665" w:type="pct"/>
            <w:tcBorders>
              <w:tl2br w:val="nil"/>
              <w:tr2bl w:val="nil"/>
            </w:tcBorders>
            <w:shd w:val="clear" w:color="auto" w:fill="4874CB" w:themeFill="accent1"/>
            <w:vAlign w:val="center"/>
          </w:tcPr>
          <w:p w:rsidR="00FB0E28" w:rsidRDefault="00FB0E28">
            <w:pPr>
              <w:widowControl/>
              <w:jc w:val="center"/>
              <w:rPr>
                <w:color w:val="000000"/>
                <w:kern w:val="0"/>
                <w:sz w:val="18"/>
                <w:szCs w:val="18"/>
              </w:rPr>
            </w:pPr>
          </w:p>
        </w:tc>
        <w:tc>
          <w:tcPr>
            <w:tcW w:w="777" w:type="pct"/>
            <w:tcBorders>
              <w:tl2br w:val="nil"/>
              <w:tr2bl w:val="nil"/>
            </w:tcBorders>
            <w:shd w:val="clear" w:color="auto" w:fill="4874CB" w:themeFill="accent1"/>
            <w:vAlign w:val="center"/>
          </w:tcPr>
          <w:p w:rsidR="00FB0E28" w:rsidRDefault="00FB0E28">
            <w:pPr>
              <w:widowControl/>
              <w:jc w:val="center"/>
              <w:rPr>
                <w:color w:val="000000"/>
                <w:kern w:val="0"/>
                <w:sz w:val="18"/>
                <w:szCs w:val="18"/>
              </w:rPr>
            </w:pPr>
          </w:p>
        </w:tc>
      </w:tr>
    </w:tbl>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其中，硬件设备采购及安装调试预计在项目启动后</w:t>
      </w:r>
      <w:r>
        <w:rPr>
          <w:color w:val="000000"/>
          <w:kern w:val="0"/>
          <w:sz w:val="24"/>
          <w:szCs w:val="24"/>
          <w:lang w:bidi="ar"/>
        </w:rPr>
        <w:t>1</w:t>
      </w:r>
      <w:r>
        <w:rPr>
          <w:color w:val="000000"/>
          <w:kern w:val="0"/>
          <w:sz w:val="24"/>
          <w:szCs w:val="24"/>
          <w:lang w:bidi="ar"/>
        </w:rPr>
        <w:t>个月内完成。</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（二）项目可行性分析</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1.</w:t>
      </w:r>
      <w:r>
        <w:rPr>
          <w:color w:val="000000"/>
          <w:kern w:val="0"/>
          <w:sz w:val="24"/>
          <w:szCs w:val="24"/>
          <w:lang w:bidi="ar"/>
        </w:rPr>
        <w:t>国家政策支持</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自</w:t>
      </w:r>
      <w:r>
        <w:rPr>
          <w:color w:val="000000"/>
          <w:kern w:val="0"/>
          <w:sz w:val="24"/>
          <w:szCs w:val="24"/>
          <w:lang w:bidi="ar"/>
        </w:rPr>
        <w:t>2020</w:t>
      </w:r>
      <w:r>
        <w:rPr>
          <w:color w:val="000000"/>
          <w:kern w:val="0"/>
          <w:sz w:val="24"/>
          <w:szCs w:val="24"/>
          <w:lang w:bidi="ar"/>
        </w:rPr>
        <w:t>年开始，我国针对新型数据中心与算力中心出台多项规划通知与指导意见，提出新型数据中心基础设施建设是重点布局，以算力平台、智能算力中心为代表的新型基础设施建设受到了极大的关注。云计算数据中心作为新基建的重要领域之一，顺应了国家数字经济产业发展的趋势。</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lastRenderedPageBreak/>
        <w:t>2023</w:t>
      </w:r>
      <w:r>
        <w:rPr>
          <w:color w:val="000000"/>
          <w:kern w:val="0"/>
          <w:sz w:val="24"/>
          <w:szCs w:val="24"/>
          <w:lang w:bidi="ar"/>
        </w:rPr>
        <w:t>年</w:t>
      </w:r>
      <w:r>
        <w:rPr>
          <w:color w:val="000000"/>
          <w:kern w:val="0"/>
          <w:sz w:val="24"/>
          <w:szCs w:val="24"/>
          <w:lang w:bidi="ar"/>
        </w:rPr>
        <w:t>2</w:t>
      </w:r>
      <w:r>
        <w:rPr>
          <w:color w:val="000000"/>
          <w:kern w:val="0"/>
          <w:sz w:val="24"/>
          <w:szCs w:val="24"/>
          <w:lang w:bidi="ar"/>
        </w:rPr>
        <w:t>月，国务院发布《数字中国建设整体布局规划》指出</w:t>
      </w:r>
      <w:r>
        <w:rPr>
          <w:color w:val="000000"/>
          <w:kern w:val="0"/>
          <w:sz w:val="24"/>
          <w:szCs w:val="24"/>
          <w:lang w:bidi="ar"/>
        </w:rPr>
        <w:t>“</w:t>
      </w:r>
      <w:r>
        <w:rPr>
          <w:color w:val="000000"/>
          <w:kern w:val="0"/>
          <w:sz w:val="24"/>
          <w:szCs w:val="24"/>
          <w:lang w:bidi="ar"/>
        </w:rPr>
        <w:t>系统优化算力基础设施布局，促进东西部算力高效互补和协同联动，引导通用数据中心、超算中心、智能计</w:t>
      </w:r>
      <w:r>
        <w:rPr>
          <w:color w:val="000000"/>
          <w:kern w:val="0"/>
          <w:sz w:val="24"/>
          <w:szCs w:val="24"/>
          <w:lang w:bidi="ar"/>
        </w:rPr>
        <w:t>算中心、边缘数据中心等合理梯次布局。</w:t>
      </w:r>
      <w:r>
        <w:rPr>
          <w:color w:val="000000"/>
          <w:kern w:val="0"/>
          <w:sz w:val="24"/>
          <w:szCs w:val="24"/>
          <w:lang w:bidi="ar"/>
        </w:rPr>
        <w:t>”</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2023</w:t>
      </w:r>
      <w:r>
        <w:rPr>
          <w:color w:val="000000"/>
          <w:kern w:val="0"/>
          <w:sz w:val="24"/>
          <w:szCs w:val="24"/>
          <w:lang w:bidi="ar"/>
        </w:rPr>
        <w:t>年</w:t>
      </w:r>
      <w:r>
        <w:rPr>
          <w:color w:val="000000"/>
          <w:kern w:val="0"/>
          <w:sz w:val="24"/>
          <w:szCs w:val="24"/>
          <w:lang w:bidi="ar"/>
        </w:rPr>
        <w:t>7</w:t>
      </w:r>
      <w:r>
        <w:rPr>
          <w:color w:val="000000"/>
          <w:kern w:val="0"/>
          <w:sz w:val="24"/>
          <w:szCs w:val="24"/>
          <w:lang w:bidi="ar"/>
        </w:rPr>
        <w:t>月，科技部发布《关于支持建设国家新一代人工智能公共算力开放创新平台的函》指出</w:t>
      </w:r>
      <w:r>
        <w:rPr>
          <w:color w:val="000000"/>
          <w:kern w:val="0"/>
          <w:sz w:val="24"/>
          <w:szCs w:val="24"/>
          <w:lang w:bidi="ar"/>
        </w:rPr>
        <w:t>“</w:t>
      </w:r>
      <w:r>
        <w:rPr>
          <w:color w:val="000000"/>
          <w:kern w:val="0"/>
          <w:sz w:val="24"/>
          <w:szCs w:val="24"/>
          <w:lang w:bidi="ar"/>
        </w:rPr>
        <w:t>正式批复</w:t>
      </w:r>
      <w:r>
        <w:rPr>
          <w:color w:val="000000"/>
          <w:kern w:val="0"/>
          <w:sz w:val="24"/>
          <w:szCs w:val="24"/>
          <w:lang w:bidi="ar"/>
        </w:rPr>
        <w:t>9</w:t>
      </w:r>
      <w:r>
        <w:rPr>
          <w:color w:val="000000"/>
          <w:kern w:val="0"/>
          <w:sz w:val="24"/>
          <w:szCs w:val="24"/>
          <w:lang w:bidi="ar"/>
        </w:rPr>
        <w:t>个平台建设国家新一代人工智能公共算力开放创新平台，</w:t>
      </w:r>
      <w:r>
        <w:rPr>
          <w:color w:val="000000"/>
          <w:kern w:val="0"/>
          <w:sz w:val="24"/>
          <w:szCs w:val="24"/>
          <w:lang w:bidi="ar"/>
        </w:rPr>
        <w:t>16</w:t>
      </w:r>
      <w:r>
        <w:rPr>
          <w:color w:val="000000"/>
          <w:kern w:val="0"/>
          <w:sz w:val="24"/>
          <w:szCs w:val="24"/>
          <w:lang w:bidi="ar"/>
        </w:rPr>
        <w:t>个平台建设国家新一代人工智能公共算力开放创新平台（筹），这些重磅平台将依托我国不同地区的不同科研单位进行建设。</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2023</w:t>
      </w:r>
      <w:r>
        <w:rPr>
          <w:color w:val="000000"/>
          <w:kern w:val="0"/>
          <w:sz w:val="24"/>
          <w:szCs w:val="24"/>
          <w:lang w:bidi="ar"/>
        </w:rPr>
        <w:t>年</w:t>
      </w:r>
      <w:r>
        <w:rPr>
          <w:color w:val="000000"/>
          <w:kern w:val="0"/>
          <w:sz w:val="24"/>
          <w:szCs w:val="24"/>
          <w:lang w:bidi="ar"/>
        </w:rPr>
        <w:t>10</w:t>
      </w:r>
      <w:r>
        <w:rPr>
          <w:color w:val="000000"/>
          <w:kern w:val="0"/>
          <w:sz w:val="24"/>
          <w:szCs w:val="24"/>
          <w:lang w:bidi="ar"/>
        </w:rPr>
        <w:t>月，工信部发布《算力基础设施高质量发展行动计划》指出</w:t>
      </w:r>
      <w:r>
        <w:rPr>
          <w:color w:val="000000"/>
          <w:kern w:val="0"/>
          <w:sz w:val="24"/>
          <w:szCs w:val="24"/>
          <w:lang w:bidi="ar"/>
        </w:rPr>
        <w:t>”</w:t>
      </w:r>
      <w:r>
        <w:rPr>
          <w:color w:val="000000"/>
          <w:kern w:val="0"/>
          <w:sz w:val="24"/>
          <w:szCs w:val="24"/>
          <w:lang w:bidi="ar"/>
        </w:rPr>
        <w:t>到</w:t>
      </w:r>
      <w:r>
        <w:rPr>
          <w:color w:val="000000"/>
          <w:kern w:val="0"/>
          <w:sz w:val="24"/>
          <w:szCs w:val="24"/>
          <w:lang w:bidi="ar"/>
        </w:rPr>
        <w:t>2025</w:t>
      </w:r>
      <w:r>
        <w:rPr>
          <w:color w:val="000000"/>
          <w:kern w:val="0"/>
          <w:sz w:val="24"/>
          <w:szCs w:val="24"/>
          <w:lang w:bidi="ar"/>
        </w:rPr>
        <w:t>年，算力规模超过</w:t>
      </w:r>
      <w:r>
        <w:rPr>
          <w:color w:val="000000"/>
          <w:kern w:val="0"/>
          <w:sz w:val="24"/>
          <w:szCs w:val="24"/>
          <w:lang w:bidi="ar"/>
        </w:rPr>
        <w:t>300EFLOPS</w:t>
      </w:r>
      <w:r>
        <w:rPr>
          <w:color w:val="000000"/>
          <w:kern w:val="0"/>
          <w:sz w:val="24"/>
          <w:szCs w:val="24"/>
          <w:lang w:bidi="ar"/>
        </w:rPr>
        <w:t>，智能算力占比达到</w:t>
      </w:r>
      <w:r>
        <w:rPr>
          <w:color w:val="000000"/>
          <w:kern w:val="0"/>
          <w:sz w:val="24"/>
          <w:szCs w:val="24"/>
          <w:lang w:bidi="ar"/>
        </w:rPr>
        <w:t>35%</w:t>
      </w:r>
      <w:r>
        <w:rPr>
          <w:color w:val="000000"/>
          <w:kern w:val="0"/>
          <w:sz w:val="24"/>
          <w:szCs w:val="24"/>
          <w:lang w:bidi="ar"/>
        </w:rPr>
        <w:t>，东西部算力平衡协调发展；国家枢纽节点数据中心集群间基本实现不高于理论时延</w:t>
      </w:r>
      <w:r>
        <w:rPr>
          <w:color w:val="000000"/>
          <w:kern w:val="0"/>
          <w:sz w:val="24"/>
          <w:szCs w:val="24"/>
          <w:lang w:bidi="ar"/>
        </w:rPr>
        <w:t>1.5</w:t>
      </w:r>
      <w:r>
        <w:rPr>
          <w:color w:val="000000"/>
          <w:kern w:val="0"/>
          <w:sz w:val="24"/>
          <w:szCs w:val="24"/>
          <w:lang w:bidi="ar"/>
        </w:rPr>
        <w:t>倍的直连网络传输，重点应用场所光传送网</w:t>
      </w:r>
      <w:r>
        <w:rPr>
          <w:rFonts w:hint="eastAsia"/>
          <w:color w:val="000000"/>
          <w:kern w:val="0"/>
          <w:sz w:val="24"/>
          <w:szCs w:val="24"/>
          <w:lang w:bidi="ar"/>
        </w:rPr>
        <w:t>（</w:t>
      </w:r>
      <w:r>
        <w:rPr>
          <w:color w:val="000000"/>
          <w:kern w:val="0"/>
          <w:sz w:val="24"/>
          <w:szCs w:val="24"/>
          <w:lang w:bidi="ar"/>
        </w:rPr>
        <w:t>OTN</w:t>
      </w:r>
      <w:r>
        <w:rPr>
          <w:rFonts w:hint="eastAsia"/>
          <w:color w:val="000000"/>
          <w:kern w:val="0"/>
          <w:sz w:val="24"/>
          <w:szCs w:val="24"/>
          <w:lang w:bidi="ar"/>
        </w:rPr>
        <w:t>）</w:t>
      </w:r>
      <w:r>
        <w:rPr>
          <w:color w:val="000000"/>
          <w:kern w:val="0"/>
          <w:sz w:val="24"/>
          <w:szCs w:val="24"/>
          <w:lang w:bidi="ar"/>
        </w:rPr>
        <w:t>覆盖率达到</w:t>
      </w:r>
      <w:r>
        <w:rPr>
          <w:color w:val="000000"/>
          <w:kern w:val="0"/>
          <w:sz w:val="24"/>
          <w:szCs w:val="24"/>
          <w:lang w:bidi="ar"/>
        </w:rPr>
        <w:t>80%</w:t>
      </w:r>
      <w:r>
        <w:rPr>
          <w:color w:val="000000"/>
          <w:kern w:val="0"/>
          <w:sz w:val="24"/>
          <w:szCs w:val="24"/>
          <w:lang w:bidi="ar"/>
        </w:rPr>
        <w:t>，骨干网、城域网全面支持</w:t>
      </w:r>
      <w:r>
        <w:rPr>
          <w:color w:val="000000"/>
          <w:kern w:val="0"/>
          <w:sz w:val="24"/>
          <w:szCs w:val="24"/>
          <w:lang w:bidi="ar"/>
        </w:rPr>
        <w:t>IPv6</w:t>
      </w:r>
      <w:r>
        <w:rPr>
          <w:color w:val="000000"/>
          <w:kern w:val="0"/>
          <w:sz w:val="24"/>
          <w:szCs w:val="24"/>
          <w:lang w:bidi="ar"/>
        </w:rPr>
        <w:t>，</w:t>
      </w:r>
      <w:r>
        <w:rPr>
          <w:color w:val="000000"/>
          <w:kern w:val="0"/>
          <w:sz w:val="24"/>
          <w:szCs w:val="24"/>
          <w:lang w:bidi="ar"/>
        </w:rPr>
        <w:t>SRv6</w:t>
      </w:r>
      <w:r>
        <w:rPr>
          <w:color w:val="000000"/>
          <w:kern w:val="0"/>
          <w:sz w:val="24"/>
          <w:szCs w:val="24"/>
          <w:lang w:bidi="ar"/>
        </w:rPr>
        <w:t>等创新技术使用占比达到</w:t>
      </w:r>
      <w:r>
        <w:rPr>
          <w:color w:val="000000"/>
          <w:kern w:val="0"/>
          <w:sz w:val="24"/>
          <w:szCs w:val="24"/>
          <w:lang w:bidi="ar"/>
        </w:rPr>
        <w:t>40%</w:t>
      </w:r>
      <w:r>
        <w:rPr>
          <w:color w:val="000000"/>
          <w:kern w:val="0"/>
          <w:sz w:val="24"/>
          <w:szCs w:val="24"/>
          <w:lang w:bidi="ar"/>
        </w:rPr>
        <w:t>；存储总量超过</w:t>
      </w:r>
      <w:r>
        <w:rPr>
          <w:color w:val="000000"/>
          <w:kern w:val="0"/>
          <w:sz w:val="24"/>
          <w:szCs w:val="24"/>
          <w:lang w:bidi="ar"/>
        </w:rPr>
        <w:t>1800EB</w:t>
      </w:r>
      <w:r>
        <w:rPr>
          <w:color w:val="000000"/>
          <w:kern w:val="0"/>
          <w:sz w:val="24"/>
          <w:szCs w:val="24"/>
          <w:lang w:bidi="ar"/>
        </w:rPr>
        <w:t>，先进存储容量占比达到</w:t>
      </w:r>
      <w:r>
        <w:rPr>
          <w:color w:val="000000"/>
          <w:kern w:val="0"/>
          <w:sz w:val="24"/>
          <w:szCs w:val="24"/>
          <w:lang w:bidi="ar"/>
        </w:rPr>
        <w:t>30%</w:t>
      </w:r>
      <w:r>
        <w:rPr>
          <w:color w:val="000000"/>
          <w:kern w:val="0"/>
          <w:sz w:val="24"/>
          <w:szCs w:val="24"/>
          <w:lang w:bidi="ar"/>
        </w:rPr>
        <w:t>以上，重点行业核心数据、重要数据灾备覆盖率达到</w:t>
      </w:r>
      <w:r>
        <w:rPr>
          <w:color w:val="000000"/>
          <w:kern w:val="0"/>
          <w:sz w:val="24"/>
          <w:szCs w:val="24"/>
          <w:lang w:bidi="ar"/>
        </w:rPr>
        <w:t>100%</w:t>
      </w:r>
      <w:r>
        <w:rPr>
          <w:color w:val="000000"/>
          <w:kern w:val="0"/>
          <w:sz w:val="24"/>
          <w:szCs w:val="24"/>
          <w:lang w:bidi="ar"/>
        </w:rPr>
        <w:t>。</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2023</w:t>
      </w:r>
      <w:r>
        <w:rPr>
          <w:color w:val="000000"/>
          <w:kern w:val="0"/>
          <w:sz w:val="24"/>
          <w:szCs w:val="24"/>
          <w:lang w:bidi="ar"/>
        </w:rPr>
        <w:t>年</w:t>
      </w:r>
      <w:r>
        <w:rPr>
          <w:color w:val="000000"/>
          <w:kern w:val="0"/>
          <w:sz w:val="24"/>
          <w:szCs w:val="24"/>
          <w:lang w:bidi="ar"/>
        </w:rPr>
        <w:t>12</w:t>
      </w:r>
      <w:r>
        <w:rPr>
          <w:color w:val="000000"/>
          <w:kern w:val="0"/>
          <w:sz w:val="24"/>
          <w:szCs w:val="24"/>
          <w:lang w:bidi="ar"/>
        </w:rPr>
        <w:t>月国家发改委等五部门联合发布《关于深</w:t>
      </w:r>
      <w:r>
        <w:rPr>
          <w:color w:val="000000"/>
          <w:kern w:val="0"/>
          <w:sz w:val="24"/>
          <w:szCs w:val="24"/>
          <w:lang w:bidi="ar"/>
        </w:rPr>
        <w:t>入实施</w:t>
      </w:r>
      <w:r>
        <w:rPr>
          <w:color w:val="000000"/>
          <w:kern w:val="0"/>
          <w:sz w:val="24"/>
          <w:szCs w:val="24"/>
          <w:lang w:bidi="ar"/>
        </w:rPr>
        <w:t>“</w:t>
      </w:r>
      <w:r>
        <w:rPr>
          <w:color w:val="000000"/>
          <w:kern w:val="0"/>
          <w:sz w:val="24"/>
          <w:szCs w:val="24"/>
          <w:lang w:bidi="ar"/>
        </w:rPr>
        <w:t>东数西算</w:t>
      </w:r>
      <w:r>
        <w:rPr>
          <w:color w:val="000000"/>
          <w:kern w:val="0"/>
          <w:sz w:val="24"/>
          <w:szCs w:val="24"/>
          <w:lang w:bidi="ar"/>
        </w:rPr>
        <w:t>”</w:t>
      </w:r>
      <w:r>
        <w:rPr>
          <w:color w:val="000000"/>
          <w:kern w:val="0"/>
          <w:sz w:val="24"/>
          <w:szCs w:val="24"/>
          <w:lang w:bidi="ar"/>
        </w:rPr>
        <w:t>工程加快构建全国一体化算力网的实施意见》指出</w:t>
      </w:r>
      <w:r>
        <w:rPr>
          <w:color w:val="000000"/>
          <w:kern w:val="0"/>
          <w:sz w:val="24"/>
          <w:szCs w:val="24"/>
          <w:lang w:bidi="ar"/>
        </w:rPr>
        <w:t>“</w:t>
      </w:r>
      <w:r>
        <w:rPr>
          <w:color w:val="000000"/>
          <w:kern w:val="0"/>
          <w:sz w:val="24"/>
          <w:szCs w:val="24"/>
          <w:lang w:bidi="ar"/>
        </w:rPr>
        <w:t>到</w:t>
      </w:r>
      <w:r>
        <w:rPr>
          <w:color w:val="000000"/>
          <w:kern w:val="0"/>
          <w:sz w:val="24"/>
          <w:szCs w:val="24"/>
          <w:lang w:bidi="ar"/>
        </w:rPr>
        <w:t>2025</w:t>
      </w:r>
      <w:r>
        <w:rPr>
          <w:color w:val="000000"/>
          <w:kern w:val="0"/>
          <w:sz w:val="24"/>
          <w:szCs w:val="24"/>
          <w:lang w:bidi="ar"/>
        </w:rPr>
        <w:t>年，普惠易用、绿色安全的综合算力基础设施体系初步成型，东西部算力协同调度机制逐步完善，通用算力、智能算力、超级算力等多元算力加速集聚，国家枢纽节点地区各类新增算力占全国新增算力</w:t>
      </w:r>
      <w:r>
        <w:rPr>
          <w:color w:val="000000"/>
          <w:kern w:val="0"/>
          <w:sz w:val="24"/>
          <w:szCs w:val="24"/>
          <w:lang w:bidi="ar"/>
        </w:rPr>
        <w:t>60%</w:t>
      </w:r>
      <w:r>
        <w:rPr>
          <w:color w:val="000000"/>
          <w:kern w:val="0"/>
          <w:sz w:val="24"/>
          <w:szCs w:val="24"/>
          <w:lang w:bidi="ar"/>
        </w:rPr>
        <w:t>以上，国家枢纽节点算力资源使用率显著超过全国平均水平。</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综上所述，在我国数字经济高速发展的背景下，相关政策陆续出台促进了与其相关的各个行业的技术创新与产品升级，为</w:t>
      </w:r>
      <w:r>
        <w:rPr>
          <w:rFonts w:hint="eastAsia"/>
          <w:color w:val="000000"/>
          <w:kern w:val="0"/>
          <w:sz w:val="24"/>
          <w:szCs w:val="24"/>
          <w:lang w:bidi="ar"/>
        </w:rPr>
        <w:t>新募投</w:t>
      </w:r>
      <w:r>
        <w:rPr>
          <w:color w:val="000000"/>
          <w:kern w:val="0"/>
          <w:sz w:val="24"/>
          <w:szCs w:val="24"/>
          <w:lang w:bidi="ar"/>
        </w:rPr>
        <w:t>项目的实施营造了良好的政策环境，项目实施具有政策可行性。</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2.</w:t>
      </w:r>
      <w:r>
        <w:rPr>
          <w:color w:val="000000"/>
          <w:kern w:val="0"/>
          <w:sz w:val="24"/>
          <w:szCs w:val="24"/>
          <w:lang w:bidi="ar"/>
        </w:rPr>
        <w:t>场景应用激增，算力需求急切</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AI</w:t>
      </w:r>
      <w:r>
        <w:rPr>
          <w:color w:val="000000"/>
          <w:kern w:val="0"/>
          <w:sz w:val="24"/>
          <w:szCs w:val="24"/>
          <w:lang w:bidi="ar"/>
        </w:rPr>
        <w:t>技术的发展催生了丰富的计算场景，不同的行业、应用场景对算力提出的需求不同。随着人工智能技术的不断升级以及算力、数据、算法等要素的持续迭代，未来</w:t>
      </w:r>
      <w:r>
        <w:rPr>
          <w:color w:val="000000"/>
          <w:kern w:val="0"/>
          <w:sz w:val="24"/>
          <w:szCs w:val="24"/>
          <w:lang w:bidi="ar"/>
        </w:rPr>
        <w:t>AI</w:t>
      </w:r>
      <w:r>
        <w:rPr>
          <w:color w:val="000000"/>
          <w:kern w:val="0"/>
          <w:sz w:val="24"/>
          <w:szCs w:val="24"/>
          <w:lang w:bidi="ar"/>
        </w:rPr>
        <w:t>技术将持续赋能各类文化创意、生产生活，为数字内容生产带来巨大变革。</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lastRenderedPageBreak/>
        <w:t>智慧城市丰富的应用场景提供了大量的</w:t>
      </w:r>
      <w:r>
        <w:rPr>
          <w:color w:val="000000"/>
          <w:kern w:val="0"/>
          <w:sz w:val="24"/>
          <w:szCs w:val="24"/>
          <w:lang w:bidi="ar"/>
        </w:rPr>
        <w:t>AI</w:t>
      </w:r>
      <w:r>
        <w:rPr>
          <w:color w:val="000000"/>
          <w:kern w:val="0"/>
          <w:sz w:val="24"/>
          <w:szCs w:val="24"/>
          <w:lang w:bidi="ar"/>
        </w:rPr>
        <w:t>训练数据，海量训练数据对于数据中心算力提出更高要求。依托强大的算力可以模拟建立更加高效精准的</w:t>
      </w:r>
      <w:r>
        <w:rPr>
          <w:color w:val="000000"/>
          <w:kern w:val="0"/>
          <w:sz w:val="24"/>
          <w:szCs w:val="24"/>
          <w:lang w:bidi="ar"/>
        </w:rPr>
        <w:t>AI</w:t>
      </w:r>
      <w:r>
        <w:rPr>
          <w:color w:val="000000"/>
          <w:kern w:val="0"/>
          <w:sz w:val="24"/>
          <w:szCs w:val="24"/>
          <w:lang w:bidi="ar"/>
        </w:rPr>
        <w:t>算法模型，这些算法模型在智慧交通、应急管理、防洪减灾、环境保护、地理测绘等政府治理和公共服务场景中有着极大应用空间。</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3.</w:t>
      </w:r>
      <w:r>
        <w:rPr>
          <w:color w:val="000000"/>
          <w:kern w:val="0"/>
          <w:sz w:val="24"/>
          <w:szCs w:val="24"/>
          <w:lang w:bidi="ar"/>
        </w:rPr>
        <w:t>满足公司数字经济战略拓展的需要</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天亿</w:t>
      </w:r>
      <w:r>
        <w:rPr>
          <w:color w:val="000000"/>
          <w:kern w:val="0"/>
          <w:sz w:val="24"/>
          <w:szCs w:val="24"/>
          <w:lang w:bidi="ar"/>
        </w:rPr>
        <w:t>马系一家智慧城市解决方案提供商，致力于融合应用物联网、大数据、云计算、</w:t>
      </w:r>
      <w:r>
        <w:rPr>
          <w:color w:val="000000"/>
          <w:kern w:val="0"/>
          <w:sz w:val="24"/>
          <w:szCs w:val="24"/>
          <w:lang w:bidi="ar"/>
        </w:rPr>
        <w:t>GIS</w:t>
      </w:r>
      <w:r>
        <w:rPr>
          <w:color w:val="000000"/>
          <w:kern w:val="0"/>
          <w:sz w:val="24"/>
          <w:szCs w:val="24"/>
          <w:lang w:bidi="ar"/>
        </w:rPr>
        <w:t>、人工智能等新一代信息技术，为客户提供项目总体规划、方案设计、软件研发、项目实施及运维服务一体化的信息技术解决方案。公司今年</w:t>
      </w:r>
      <w:r>
        <w:rPr>
          <w:color w:val="000000"/>
          <w:kern w:val="0"/>
          <w:sz w:val="24"/>
          <w:szCs w:val="24"/>
          <w:lang w:bidi="ar"/>
        </w:rPr>
        <w:t>9</w:t>
      </w:r>
      <w:r>
        <w:rPr>
          <w:color w:val="000000"/>
          <w:kern w:val="0"/>
          <w:sz w:val="24"/>
          <w:szCs w:val="24"/>
          <w:lang w:bidi="ar"/>
        </w:rPr>
        <w:t>月已布局数据要素产业，已形成</w:t>
      </w:r>
      <w:r>
        <w:rPr>
          <w:color w:val="000000"/>
          <w:kern w:val="0"/>
          <w:sz w:val="24"/>
          <w:szCs w:val="24"/>
          <w:lang w:bidi="ar"/>
        </w:rPr>
        <w:t>“</w:t>
      </w:r>
      <w:r>
        <w:rPr>
          <w:color w:val="000000"/>
          <w:kern w:val="0"/>
          <w:sz w:val="24"/>
          <w:szCs w:val="24"/>
          <w:lang w:bidi="ar"/>
        </w:rPr>
        <w:t>平台（软件研发）</w:t>
      </w:r>
      <w:r>
        <w:rPr>
          <w:color w:val="000000"/>
          <w:kern w:val="0"/>
          <w:sz w:val="24"/>
          <w:szCs w:val="24"/>
          <w:lang w:bidi="ar"/>
        </w:rPr>
        <w:t>+</w:t>
      </w:r>
      <w:r>
        <w:rPr>
          <w:color w:val="000000"/>
          <w:kern w:val="0"/>
          <w:sz w:val="24"/>
          <w:szCs w:val="24"/>
          <w:lang w:bidi="ar"/>
        </w:rPr>
        <w:t>数据</w:t>
      </w:r>
      <w:r>
        <w:rPr>
          <w:color w:val="000000"/>
          <w:kern w:val="0"/>
          <w:sz w:val="24"/>
          <w:szCs w:val="24"/>
          <w:lang w:bidi="ar"/>
        </w:rPr>
        <w:t>”</w:t>
      </w:r>
      <w:r>
        <w:rPr>
          <w:color w:val="000000"/>
          <w:kern w:val="0"/>
          <w:sz w:val="24"/>
          <w:szCs w:val="24"/>
          <w:lang w:bidi="ar"/>
        </w:rPr>
        <w:t>赋能</w:t>
      </w:r>
      <w:r>
        <w:rPr>
          <w:color w:val="000000"/>
          <w:kern w:val="0"/>
          <w:sz w:val="24"/>
          <w:szCs w:val="24"/>
          <w:lang w:bidi="ar"/>
        </w:rPr>
        <w:t>“</w:t>
      </w:r>
      <w:r>
        <w:rPr>
          <w:color w:val="000000"/>
          <w:kern w:val="0"/>
          <w:sz w:val="24"/>
          <w:szCs w:val="24"/>
          <w:lang w:bidi="ar"/>
        </w:rPr>
        <w:t>场景</w:t>
      </w:r>
      <w:r>
        <w:rPr>
          <w:color w:val="000000"/>
          <w:kern w:val="0"/>
          <w:sz w:val="24"/>
          <w:szCs w:val="24"/>
          <w:lang w:bidi="ar"/>
        </w:rPr>
        <w:t>”</w:t>
      </w:r>
      <w:r>
        <w:rPr>
          <w:color w:val="000000"/>
          <w:kern w:val="0"/>
          <w:sz w:val="24"/>
          <w:szCs w:val="24"/>
          <w:lang w:bidi="ar"/>
        </w:rPr>
        <w:t>的战略路径；</w:t>
      </w:r>
      <w:r>
        <w:rPr>
          <w:rFonts w:hint="eastAsia"/>
          <w:color w:val="000000"/>
          <w:kern w:val="0"/>
          <w:sz w:val="24"/>
          <w:szCs w:val="24"/>
          <w:lang w:bidi="ar"/>
        </w:rPr>
        <w:t>新</w:t>
      </w:r>
      <w:r>
        <w:rPr>
          <w:color w:val="000000"/>
          <w:kern w:val="0"/>
          <w:sz w:val="24"/>
          <w:szCs w:val="24"/>
          <w:lang w:bidi="ar"/>
        </w:rPr>
        <w:t>项目将向上游延伸公司产业链，全面深化公司数据经济的战略拓展目标，打开公司全新发展空间。</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智能算力中心一方面可满足公司数字经济发展战略的需要，为公司提供算力支持，另一方面能产生可观的经济价值与收入，是公司战略拓展的重要一环，具有极高</w:t>
      </w:r>
      <w:r>
        <w:rPr>
          <w:color w:val="000000"/>
          <w:kern w:val="0"/>
          <w:sz w:val="24"/>
          <w:szCs w:val="24"/>
          <w:lang w:bidi="ar"/>
        </w:rPr>
        <w:t>的重要性。</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（三）项目经济效益分析</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从项目的效益分析来看，经营预测期为</w:t>
      </w:r>
      <w:r>
        <w:rPr>
          <w:color w:val="000000"/>
          <w:kern w:val="0"/>
          <w:sz w:val="24"/>
          <w:szCs w:val="24"/>
          <w:lang w:bidi="ar"/>
        </w:rPr>
        <w:t>5</w:t>
      </w:r>
      <w:r>
        <w:rPr>
          <w:color w:val="000000"/>
          <w:kern w:val="0"/>
          <w:sz w:val="24"/>
          <w:szCs w:val="24"/>
          <w:lang w:bidi="ar"/>
        </w:rPr>
        <w:t>年</w:t>
      </w:r>
      <w:r>
        <w:rPr>
          <w:rFonts w:hint="eastAsia"/>
          <w:color w:val="000000"/>
          <w:kern w:val="0"/>
          <w:sz w:val="24"/>
          <w:szCs w:val="24"/>
          <w:lang w:bidi="ar"/>
        </w:rPr>
        <w:t>（</w:t>
      </w:r>
      <w:r>
        <w:rPr>
          <w:color w:val="000000"/>
          <w:kern w:val="0"/>
          <w:sz w:val="24"/>
          <w:szCs w:val="24"/>
          <w:lang w:bidi="ar"/>
        </w:rPr>
        <w:t>含建设期</w:t>
      </w:r>
      <w:r>
        <w:rPr>
          <w:rFonts w:hint="eastAsia"/>
          <w:color w:val="000000"/>
          <w:kern w:val="0"/>
          <w:sz w:val="24"/>
          <w:szCs w:val="24"/>
          <w:lang w:bidi="ar"/>
        </w:rPr>
        <w:t>），</w:t>
      </w:r>
      <w:r>
        <w:rPr>
          <w:color w:val="000000"/>
          <w:kern w:val="0"/>
          <w:sz w:val="24"/>
          <w:szCs w:val="24"/>
          <w:lang w:bidi="ar"/>
        </w:rPr>
        <w:t>对应合同服务金额</w:t>
      </w:r>
      <w:r>
        <w:rPr>
          <w:color w:val="000000"/>
          <w:kern w:val="0"/>
          <w:sz w:val="24"/>
          <w:szCs w:val="24"/>
          <w:lang w:bidi="ar"/>
        </w:rPr>
        <w:t>38,255.80</w:t>
      </w:r>
      <w:r>
        <w:rPr>
          <w:color w:val="000000"/>
          <w:kern w:val="0"/>
          <w:sz w:val="24"/>
          <w:szCs w:val="24"/>
          <w:lang w:bidi="ar"/>
        </w:rPr>
        <w:t>万元。项目经营预测期达产后可实现营业收入约</w:t>
      </w:r>
      <w:r>
        <w:rPr>
          <w:color w:val="000000"/>
          <w:kern w:val="0"/>
          <w:sz w:val="24"/>
          <w:szCs w:val="24"/>
          <w:lang w:bidi="ar"/>
        </w:rPr>
        <w:t xml:space="preserve"> 7,218.08 </w:t>
      </w:r>
      <w:r>
        <w:rPr>
          <w:color w:val="000000"/>
          <w:kern w:val="0"/>
          <w:sz w:val="24"/>
          <w:szCs w:val="24"/>
          <w:lang w:bidi="ar"/>
        </w:rPr>
        <w:t>万元</w:t>
      </w:r>
      <w:r>
        <w:rPr>
          <w:color w:val="000000"/>
          <w:kern w:val="0"/>
          <w:sz w:val="24"/>
          <w:szCs w:val="24"/>
          <w:lang w:bidi="ar"/>
        </w:rPr>
        <w:t>/</w:t>
      </w:r>
      <w:r>
        <w:rPr>
          <w:color w:val="000000"/>
          <w:kern w:val="0"/>
          <w:sz w:val="24"/>
          <w:szCs w:val="24"/>
          <w:lang w:bidi="ar"/>
        </w:rPr>
        <w:t>年</w:t>
      </w:r>
      <w:r>
        <w:rPr>
          <w:rFonts w:hint="eastAsia"/>
          <w:color w:val="000000"/>
          <w:kern w:val="0"/>
          <w:sz w:val="24"/>
          <w:szCs w:val="24"/>
          <w:lang w:bidi="ar"/>
        </w:rPr>
        <w:t>（</w:t>
      </w:r>
      <w:r>
        <w:rPr>
          <w:color w:val="000000"/>
          <w:kern w:val="0"/>
          <w:sz w:val="24"/>
          <w:szCs w:val="24"/>
          <w:lang w:bidi="ar"/>
        </w:rPr>
        <w:t>不含税</w:t>
      </w:r>
      <w:r>
        <w:rPr>
          <w:rFonts w:hint="eastAsia"/>
          <w:color w:val="000000"/>
          <w:kern w:val="0"/>
          <w:sz w:val="24"/>
          <w:szCs w:val="24"/>
          <w:lang w:bidi="ar"/>
        </w:rPr>
        <w:t>）</w:t>
      </w:r>
      <w:r>
        <w:rPr>
          <w:color w:val="000000"/>
          <w:kern w:val="0"/>
          <w:sz w:val="24"/>
          <w:szCs w:val="24"/>
          <w:lang w:bidi="ar"/>
        </w:rPr>
        <w:t>，运营期预计实现毛利总金额约</w:t>
      </w:r>
      <w:r>
        <w:rPr>
          <w:color w:val="000000"/>
          <w:kern w:val="0"/>
          <w:sz w:val="24"/>
          <w:szCs w:val="24"/>
          <w:lang w:bidi="ar"/>
        </w:rPr>
        <w:t xml:space="preserve">7,423.81 </w:t>
      </w:r>
      <w:r>
        <w:rPr>
          <w:color w:val="000000"/>
          <w:kern w:val="0"/>
          <w:sz w:val="24"/>
          <w:szCs w:val="24"/>
          <w:lang w:bidi="ar"/>
        </w:rPr>
        <w:t>万元。</w:t>
      </w:r>
      <w:r>
        <w:rPr>
          <w:rFonts w:hint="eastAsia"/>
          <w:color w:val="000000"/>
          <w:kern w:val="0"/>
          <w:sz w:val="24"/>
          <w:szCs w:val="24"/>
          <w:lang w:bidi="ar"/>
        </w:rPr>
        <w:t>新</w:t>
      </w:r>
      <w:r>
        <w:rPr>
          <w:color w:val="000000"/>
          <w:kern w:val="0"/>
          <w:sz w:val="24"/>
          <w:szCs w:val="24"/>
          <w:lang w:bidi="ar"/>
        </w:rPr>
        <w:t>项目有利于提高公司的经营能力，符合公司战略发展规划，有助于提升公司综合竞争实力。</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（四）项目风险分析及应对措施</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1.</w:t>
      </w:r>
      <w:r>
        <w:rPr>
          <w:color w:val="000000"/>
          <w:kern w:val="0"/>
          <w:sz w:val="24"/>
          <w:szCs w:val="24"/>
          <w:lang w:bidi="ar"/>
        </w:rPr>
        <w:t>产业政策变化风险</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自国家重视</w:t>
      </w:r>
      <w:r>
        <w:rPr>
          <w:color w:val="000000"/>
          <w:kern w:val="0"/>
          <w:sz w:val="24"/>
          <w:szCs w:val="24"/>
          <w:lang w:bidi="ar"/>
        </w:rPr>
        <w:t>AI</w:t>
      </w:r>
      <w:r>
        <w:rPr>
          <w:color w:val="000000"/>
          <w:kern w:val="0"/>
          <w:sz w:val="24"/>
          <w:szCs w:val="24"/>
          <w:lang w:bidi="ar"/>
        </w:rPr>
        <w:t>相关行业以来，各地政府、行业协会纷纷出台大数据、算力扶持政策，推动算力市场发展，产业迎来高速发展。如未来出现</w:t>
      </w:r>
      <w:r>
        <w:rPr>
          <w:color w:val="000000"/>
          <w:kern w:val="0"/>
          <w:sz w:val="24"/>
          <w:szCs w:val="24"/>
          <w:lang w:bidi="ar"/>
        </w:rPr>
        <w:t>相关产业政策发生变化，可能会对公司的生产经营产生一定不利影响。公司将积极关注行业政策变化，加强与上下游客户沟通，一同应对相应风险。</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2.</w:t>
      </w:r>
      <w:r>
        <w:rPr>
          <w:rFonts w:hint="eastAsia"/>
          <w:color w:val="000000"/>
          <w:kern w:val="0"/>
          <w:sz w:val="24"/>
          <w:szCs w:val="24"/>
          <w:lang w:bidi="ar"/>
        </w:rPr>
        <w:t>项目运营</w:t>
      </w:r>
      <w:r>
        <w:rPr>
          <w:color w:val="000000"/>
          <w:kern w:val="0"/>
          <w:sz w:val="24"/>
          <w:szCs w:val="24"/>
          <w:lang w:bidi="ar"/>
        </w:rPr>
        <w:t>风险</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lastRenderedPageBreak/>
        <w:t>在后期的运营与维护中，项目可能面临同业竞争加剧、市场价格下降等业务风险。同时，算力设备可能存在软硬件设备故障、设备性能下降、维护不当等风险。</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公司将积极加强商务团队和运维团队建设，在项目推动和运营过程中建立专项小组，各个部门协同参与推进，形成业务合力，最大限度</w:t>
      </w:r>
      <w:r>
        <w:rPr>
          <w:rFonts w:hint="eastAsia"/>
          <w:color w:val="000000"/>
          <w:kern w:val="0"/>
          <w:sz w:val="24"/>
          <w:szCs w:val="24"/>
          <w:lang w:bidi="ar"/>
        </w:rPr>
        <w:t>地</w:t>
      </w:r>
      <w:r>
        <w:rPr>
          <w:color w:val="000000"/>
          <w:kern w:val="0"/>
          <w:sz w:val="24"/>
          <w:szCs w:val="24"/>
          <w:lang w:bidi="ar"/>
        </w:rPr>
        <w:t>降低项目运营成本，提升运营管理质量，以应对相应风险，达成市场拓展目标和运营目标。</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3.</w:t>
      </w:r>
      <w:r>
        <w:rPr>
          <w:color w:val="000000"/>
          <w:kern w:val="0"/>
          <w:sz w:val="24"/>
          <w:szCs w:val="24"/>
          <w:lang w:bidi="ar"/>
        </w:rPr>
        <w:t>产品技术迭代风</w:t>
      </w:r>
      <w:r>
        <w:rPr>
          <w:color w:val="000000"/>
          <w:kern w:val="0"/>
          <w:sz w:val="24"/>
          <w:szCs w:val="24"/>
          <w:lang w:bidi="ar"/>
        </w:rPr>
        <w:t>险</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公司所属行业为技术密集型行业，算力技术更新迭代速度快，市场需求变化快。新的算法、新的芯片、新的技术可能在未来行业中不断涌现，每一项技术的更新都可能对行业的竞争格局、成本效益、业务拓展等产生重大的影响。因此公司面临因产品技术迭代产生的市场竞争加剧的风险。</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公司将紧跟算力技术更新的步伐，加强算力人才匹配，关注算力前沿技术发展趋势，扩大与国内外先进算力研发应用机构合作，以应对技术更新变化。</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4.</w:t>
      </w:r>
      <w:r>
        <w:rPr>
          <w:color w:val="000000"/>
          <w:kern w:val="0"/>
          <w:sz w:val="24"/>
          <w:szCs w:val="24"/>
          <w:lang w:bidi="ar"/>
        </w:rPr>
        <w:t>技术人才流失风险</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本次拟变更项目对核心技术人员的依赖程度较高，保持核心人员稳定是项目运营和发展的根本。核心人员的流失</w:t>
      </w:r>
      <w:r>
        <w:rPr>
          <w:color w:val="000000"/>
          <w:kern w:val="0"/>
          <w:sz w:val="24"/>
          <w:szCs w:val="24"/>
          <w:lang w:bidi="ar"/>
        </w:rPr>
        <w:t>，可能会造成产能、品质、服务不及预期的风险，并对公司和项目长期稳定发展带来一定的不利影响。</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为此，公司将提供有竞争力的薪酬，同时建立与业绩挂钩的奖励制度及条款，加强对技术人员团队的有效管理、建立持续高效的运作体系，确保公司及项目核心技术人员的稳定。公司将通过资源整合、人员调配、内部控制等诸多方面进行调整、优化，提升管理效率，打造高效团队</w:t>
      </w:r>
      <w:r>
        <w:rPr>
          <w:rFonts w:hint="eastAsia"/>
          <w:color w:val="000000"/>
          <w:kern w:val="0"/>
          <w:sz w:val="24"/>
          <w:szCs w:val="24"/>
          <w:lang w:bidi="ar"/>
        </w:rPr>
        <w:t>。</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5.</w:t>
      </w:r>
      <w:r>
        <w:rPr>
          <w:color w:val="000000"/>
          <w:kern w:val="0"/>
          <w:sz w:val="24"/>
          <w:szCs w:val="24"/>
          <w:lang w:bidi="ar"/>
        </w:rPr>
        <w:t>不可抗力风险</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若因宏观经济波动、市场供需变化</w:t>
      </w:r>
      <w:r>
        <w:rPr>
          <w:rFonts w:hint="eastAsia"/>
          <w:color w:val="000000"/>
          <w:kern w:val="0"/>
          <w:sz w:val="24"/>
          <w:szCs w:val="24"/>
          <w:lang w:bidi="ar"/>
        </w:rPr>
        <w:t>，以及</w:t>
      </w:r>
      <w:r>
        <w:rPr>
          <w:color w:val="000000"/>
          <w:kern w:val="0"/>
          <w:sz w:val="24"/>
          <w:szCs w:val="24"/>
          <w:lang w:bidi="ar"/>
        </w:rPr>
        <w:t>其他不可抗力因素可能导致市场未来发展状况不及预期，有可能对</w:t>
      </w:r>
      <w:r>
        <w:rPr>
          <w:rFonts w:hint="eastAsia"/>
          <w:color w:val="000000"/>
          <w:kern w:val="0"/>
          <w:sz w:val="24"/>
          <w:szCs w:val="24"/>
          <w:lang w:bidi="ar"/>
        </w:rPr>
        <w:t>新</w:t>
      </w:r>
      <w:r>
        <w:rPr>
          <w:color w:val="000000"/>
          <w:kern w:val="0"/>
          <w:sz w:val="24"/>
          <w:szCs w:val="24"/>
          <w:lang w:bidi="ar"/>
        </w:rPr>
        <w:t>项目的预期效益产生不利影响。公司将积极应对不可抗力风险，</w:t>
      </w:r>
      <w:r>
        <w:rPr>
          <w:color w:val="000000"/>
          <w:kern w:val="0"/>
          <w:sz w:val="24"/>
          <w:szCs w:val="24"/>
          <w:lang w:bidi="ar"/>
        </w:rPr>
        <w:t>通过搭建稳定的团队及制定完善的激励机制等措施，以期获得预期的商业回报。</w:t>
      </w:r>
    </w:p>
    <w:p w:rsidR="00FB0E28" w:rsidRDefault="002757FE">
      <w:pPr>
        <w:widowControl/>
        <w:spacing w:beforeLines="50" w:before="156" w:afterLines="50" w:after="156" w:line="360" w:lineRule="auto"/>
        <w:ind w:firstLineChars="200" w:firstLine="562"/>
        <w:jc w:val="left"/>
        <w:rPr>
          <w:b/>
          <w:bCs/>
          <w:color w:val="000000"/>
          <w:kern w:val="0"/>
          <w:sz w:val="28"/>
          <w:szCs w:val="28"/>
          <w:lang w:bidi="ar"/>
        </w:rPr>
      </w:pPr>
      <w:r>
        <w:rPr>
          <w:b/>
          <w:bCs/>
          <w:color w:val="000000"/>
          <w:kern w:val="0"/>
          <w:sz w:val="28"/>
          <w:szCs w:val="28"/>
          <w:lang w:bidi="ar"/>
        </w:rPr>
        <w:lastRenderedPageBreak/>
        <w:t>四、</w:t>
      </w:r>
      <w:r>
        <w:rPr>
          <w:rFonts w:hint="eastAsia"/>
          <w:b/>
          <w:bCs/>
          <w:color w:val="000000"/>
          <w:kern w:val="0"/>
          <w:sz w:val="28"/>
          <w:szCs w:val="28"/>
          <w:lang w:bidi="ar"/>
        </w:rPr>
        <w:t>监事会对变更募投项目的意见</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rFonts w:hint="eastAsia"/>
          <w:color w:val="000000"/>
          <w:kern w:val="0"/>
          <w:sz w:val="24"/>
          <w:szCs w:val="24"/>
          <w:lang w:bidi="ar"/>
        </w:rPr>
        <w:t>经审议，监事会认为：</w:t>
      </w:r>
      <w:r>
        <w:rPr>
          <w:color w:val="000000"/>
          <w:kern w:val="0"/>
          <w:sz w:val="24"/>
          <w:szCs w:val="24"/>
          <w:lang w:bidi="ar"/>
        </w:rPr>
        <w:t>公司本次变更募集资金用途，符合公司全面深化数据经济的战略拓展目标，契合未来发展战略，有利于提高募集资金使用效率和长远利益。本次变更募投项目已经履行了必要的决策程序，符合《上市公司监管指引第</w:t>
      </w:r>
      <w:r>
        <w:rPr>
          <w:color w:val="000000"/>
          <w:kern w:val="0"/>
          <w:sz w:val="24"/>
          <w:szCs w:val="24"/>
          <w:lang w:bidi="ar"/>
        </w:rPr>
        <w:t>2</w:t>
      </w:r>
      <w:r>
        <w:rPr>
          <w:color w:val="000000"/>
          <w:kern w:val="0"/>
          <w:sz w:val="24"/>
          <w:szCs w:val="24"/>
          <w:lang w:bidi="ar"/>
        </w:rPr>
        <w:t>号</w:t>
      </w:r>
      <w:r>
        <w:rPr>
          <w:color w:val="000000"/>
          <w:kern w:val="0"/>
          <w:sz w:val="24"/>
          <w:szCs w:val="24"/>
          <w:lang w:bidi="ar"/>
        </w:rPr>
        <w:t>——</w:t>
      </w:r>
      <w:r>
        <w:rPr>
          <w:color w:val="000000"/>
          <w:kern w:val="0"/>
          <w:sz w:val="24"/>
          <w:szCs w:val="24"/>
          <w:lang w:bidi="ar"/>
        </w:rPr>
        <w:t>上市公司募集资金管理和使用的监管要求》《上市规则》《创业板规范运作指引》和《公司章程》等规定，符合公司及全体股东的利益，不存在损害公司及全体股东利益的情形。</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综上所述，</w:t>
      </w:r>
      <w:r>
        <w:rPr>
          <w:rFonts w:hint="eastAsia"/>
          <w:color w:val="000000"/>
          <w:kern w:val="0"/>
          <w:sz w:val="24"/>
          <w:szCs w:val="24"/>
          <w:lang w:bidi="ar"/>
        </w:rPr>
        <w:t>监事会</w:t>
      </w:r>
      <w:r>
        <w:rPr>
          <w:color w:val="000000"/>
          <w:kern w:val="0"/>
          <w:sz w:val="24"/>
          <w:szCs w:val="24"/>
          <w:lang w:bidi="ar"/>
        </w:rPr>
        <w:t>同意《关于变更部分募集资金用途的议案》并同意将其提交至股东会审议。</w:t>
      </w:r>
    </w:p>
    <w:p w:rsidR="00FB0E28" w:rsidRDefault="002757FE">
      <w:pPr>
        <w:widowControl/>
        <w:spacing w:beforeLines="50" w:before="156" w:afterLines="50" w:after="156" w:line="360" w:lineRule="auto"/>
        <w:ind w:firstLineChars="200" w:firstLine="562"/>
        <w:jc w:val="left"/>
        <w:rPr>
          <w:b/>
          <w:bCs/>
          <w:color w:val="000000"/>
          <w:kern w:val="0"/>
          <w:sz w:val="28"/>
          <w:szCs w:val="28"/>
          <w:lang w:bidi="ar"/>
        </w:rPr>
      </w:pPr>
      <w:r>
        <w:rPr>
          <w:rFonts w:hint="eastAsia"/>
          <w:b/>
          <w:bCs/>
          <w:color w:val="000000"/>
          <w:kern w:val="0"/>
          <w:sz w:val="28"/>
          <w:szCs w:val="28"/>
          <w:lang w:bidi="ar"/>
        </w:rPr>
        <w:t>五、</w:t>
      </w:r>
      <w:r>
        <w:rPr>
          <w:b/>
          <w:bCs/>
          <w:color w:val="000000"/>
          <w:kern w:val="0"/>
          <w:sz w:val="28"/>
          <w:szCs w:val="28"/>
          <w:lang w:bidi="ar"/>
        </w:rPr>
        <w:t>保荐机构</w:t>
      </w:r>
      <w:r>
        <w:rPr>
          <w:rFonts w:hint="eastAsia"/>
          <w:b/>
          <w:bCs/>
          <w:color w:val="000000"/>
          <w:kern w:val="0"/>
          <w:sz w:val="28"/>
          <w:szCs w:val="28"/>
          <w:lang w:bidi="ar"/>
        </w:rPr>
        <w:t>核查</w:t>
      </w:r>
      <w:r>
        <w:rPr>
          <w:b/>
          <w:bCs/>
          <w:color w:val="000000"/>
          <w:kern w:val="0"/>
          <w:sz w:val="28"/>
          <w:szCs w:val="28"/>
          <w:lang w:bidi="ar"/>
        </w:rPr>
        <w:t>意见</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color w:val="000000"/>
          <w:kern w:val="0"/>
          <w:sz w:val="24"/>
          <w:szCs w:val="24"/>
          <w:lang w:bidi="ar"/>
        </w:rPr>
        <w:t>经核查，保荐机构认为：公司本次变更</w:t>
      </w:r>
      <w:r>
        <w:rPr>
          <w:rFonts w:hint="eastAsia"/>
          <w:color w:val="000000"/>
          <w:kern w:val="0"/>
          <w:sz w:val="24"/>
          <w:szCs w:val="24"/>
          <w:lang w:bidi="ar"/>
        </w:rPr>
        <w:t>部分募集资金用途事项</w:t>
      </w:r>
      <w:r>
        <w:rPr>
          <w:color w:val="000000"/>
          <w:kern w:val="0"/>
          <w:sz w:val="24"/>
          <w:szCs w:val="24"/>
          <w:lang w:bidi="ar"/>
        </w:rPr>
        <w:t>已经公司董事会、监事会审议通过，履行了现阶段必要的审议程序，尚需公司股东会审议通过。本次变更</w:t>
      </w:r>
      <w:r>
        <w:rPr>
          <w:rFonts w:hint="eastAsia"/>
          <w:color w:val="000000"/>
          <w:kern w:val="0"/>
          <w:sz w:val="24"/>
          <w:szCs w:val="24"/>
          <w:lang w:bidi="ar"/>
        </w:rPr>
        <w:t>部分募集资金用途事项</w:t>
      </w:r>
      <w:r>
        <w:rPr>
          <w:color w:val="000000"/>
          <w:kern w:val="0"/>
          <w:sz w:val="24"/>
          <w:szCs w:val="24"/>
          <w:lang w:bidi="ar"/>
        </w:rPr>
        <w:t>系公司根据实际情况进行的调整，符合《上市公司监管指引第</w:t>
      </w:r>
      <w:r>
        <w:rPr>
          <w:color w:val="000000"/>
          <w:kern w:val="0"/>
          <w:sz w:val="24"/>
          <w:szCs w:val="24"/>
          <w:lang w:bidi="ar"/>
        </w:rPr>
        <w:t>2</w:t>
      </w:r>
      <w:r>
        <w:rPr>
          <w:color w:val="000000"/>
          <w:kern w:val="0"/>
          <w:sz w:val="24"/>
          <w:szCs w:val="24"/>
          <w:lang w:bidi="ar"/>
        </w:rPr>
        <w:t>号</w:t>
      </w:r>
      <w:r>
        <w:rPr>
          <w:color w:val="000000"/>
          <w:kern w:val="0"/>
          <w:sz w:val="24"/>
          <w:szCs w:val="24"/>
          <w:lang w:bidi="ar"/>
        </w:rPr>
        <w:t>——</w:t>
      </w:r>
      <w:r>
        <w:rPr>
          <w:color w:val="000000"/>
          <w:kern w:val="0"/>
          <w:sz w:val="24"/>
          <w:szCs w:val="24"/>
          <w:lang w:bidi="ar"/>
        </w:rPr>
        <w:t>上市公司募集资金管理和使用的监管要求》《上市规则》《创业板规范运作指引》等相关</w:t>
      </w:r>
      <w:r>
        <w:rPr>
          <w:rFonts w:hint="eastAsia"/>
          <w:color w:val="000000"/>
          <w:kern w:val="0"/>
          <w:sz w:val="24"/>
          <w:szCs w:val="24"/>
          <w:lang w:bidi="ar"/>
        </w:rPr>
        <w:t>法律法规</w:t>
      </w:r>
      <w:r>
        <w:rPr>
          <w:color w:val="000000"/>
          <w:kern w:val="0"/>
          <w:sz w:val="24"/>
          <w:szCs w:val="24"/>
          <w:lang w:bidi="ar"/>
        </w:rPr>
        <w:t>和规范性文件的规定，不存在损害公司及股东利益的情形。</w:t>
      </w:r>
    </w:p>
    <w:p w:rsidR="00FB0E28" w:rsidRDefault="002757FE">
      <w:pPr>
        <w:widowControl/>
        <w:spacing w:beforeLines="50" w:before="156" w:afterLines="50" w:after="156" w:line="360" w:lineRule="auto"/>
        <w:ind w:firstLineChars="200" w:firstLine="480"/>
        <w:jc w:val="left"/>
        <w:rPr>
          <w:color w:val="000000"/>
          <w:kern w:val="0"/>
          <w:sz w:val="24"/>
          <w:szCs w:val="24"/>
          <w:lang w:bidi="ar"/>
        </w:rPr>
      </w:pPr>
      <w:r>
        <w:rPr>
          <w:rFonts w:hint="eastAsia"/>
          <w:color w:val="000000"/>
          <w:kern w:val="0"/>
          <w:sz w:val="24"/>
          <w:szCs w:val="24"/>
          <w:lang w:bidi="ar"/>
        </w:rPr>
        <w:t>综上，保荐机构对天亿马变更部分募集资金用途的事项无异议</w:t>
      </w:r>
      <w:r>
        <w:rPr>
          <w:rFonts w:hint="eastAsia"/>
          <w:color w:val="000000"/>
          <w:kern w:val="0"/>
          <w:sz w:val="24"/>
          <w:szCs w:val="24"/>
          <w:lang w:bidi="ar"/>
        </w:rPr>
        <w:t>。</w:t>
      </w:r>
    </w:p>
    <w:p w:rsidR="00FB0E28" w:rsidRDefault="00FB0E28">
      <w:pPr>
        <w:widowControl/>
        <w:spacing w:beforeLines="50" w:before="156" w:afterLines="50" w:after="156" w:line="360" w:lineRule="auto"/>
        <w:ind w:firstLineChars="200" w:firstLine="480"/>
        <w:jc w:val="left"/>
        <w:rPr>
          <w:color w:val="000000"/>
          <w:kern w:val="0"/>
          <w:sz w:val="24"/>
          <w:szCs w:val="24"/>
          <w:lang w:bidi="ar"/>
        </w:rPr>
      </w:pPr>
    </w:p>
    <w:p w:rsidR="00FB0E28" w:rsidRDefault="00FB0E28" w:rsidP="002757FE">
      <w:pPr>
        <w:pStyle w:val="005"/>
        <w:spacing w:before="156"/>
        <w:ind w:firstLineChars="0" w:firstLine="0"/>
        <w:sectPr w:rsidR="00FB0E28">
          <w:pgSz w:w="11906" w:h="16838"/>
          <w:pgMar w:top="1440" w:right="1800" w:bottom="1440" w:left="1800" w:header="851" w:footer="992" w:gutter="0"/>
          <w:cols w:space="425"/>
          <w:docGrid w:type="lines" w:linePitch="312"/>
        </w:sectPr>
      </w:pPr>
    </w:p>
    <w:p w:rsidR="00FB0E28" w:rsidRDefault="002757FE" w:rsidP="002757FE">
      <w:pPr>
        <w:pStyle w:val="005"/>
        <w:spacing w:before="156"/>
        <w:ind w:firstLineChars="0" w:firstLine="0"/>
      </w:pPr>
      <w:r>
        <w:rPr>
          <w:rFonts w:hint="eastAsia"/>
        </w:rPr>
        <w:lastRenderedPageBreak/>
        <w:t>（本页无正文，为《五矿证券有限公司关于广东天亿马信息产业股份有限公司变更部分募集资金用途的核查意见》之签署页）</w:t>
      </w:r>
    </w:p>
    <w:p w:rsidR="00FB0E28" w:rsidRDefault="00FB0E28" w:rsidP="002757FE">
      <w:pPr>
        <w:pStyle w:val="005"/>
        <w:spacing w:before="156"/>
        <w:ind w:firstLine="480"/>
      </w:pPr>
    </w:p>
    <w:p w:rsidR="00FB0E28" w:rsidRDefault="00FB0E28" w:rsidP="002757FE">
      <w:pPr>
        <w:pStyle w:val="005"/>
        <w:spacing w:before="156"/>
        <w:ind w:firstLine="480"/>
        <w:rPr>
          <w:szCs w:val="24"/>
        </w:rPr>
      </w:pPr>
    </w:p>
    <w:p w:rsidR="00FB0E28" w:rsidRDefault="00FB0E28" w:rsidP="002757FE">
      <w:pPr>
        <w:pStyle w:val="005"/>
        <w:spacing w:before="156"/>
        <w:ind w:firstLineChars="0" w:firstLine="0"/>
        <w:rPr>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5"/>
        <w:gridCol w:w="1718"/>
        <w:gridCol w:w="1597"/>
        <w:gridCol w:w="1719"/>
        <w:gridCol w:w="1643"/>
      </w:tblGrid>
      <w:tr w:rsidR="00FB0E28">
        <w:tc>
          <w:tcPr>
            <w:tcW w:w="1980" w:type="dxa"/>
          </w:tcPr>
          <w:p w:rsidR="00FB0E28" w:rsidRDefault="002757FE" w:rsidP="002757FE">
            <w:pPr>
              <w:spacing w:beforeLines="50" w:before="156" w:line="360" w:lineRule="auto"/>
              <w:jc w:val="center"/>
              <w:rPr>
                <w:sz w:val="24"/>
                <w:szCs w:val="24"/>
                <w:lang w:bidi="ar"/>
              </w:rPr>
            </w:pPr>
            <w:r>
              <w:rPr>
                <w:sz w:val="24"/>
                <w:szCs w:val="24"/>
                <w:lang w:bidi="ar"/>
              </w:rPr>
              <w:t>保荐代表人：</w:t>
            </w:r>
          </w:p>
        </w:tc>
        <w:tc>
          <w:tcPr>
            <w:tcW w:w="1868" w:type="dxa"/>
            <w:tcBorders>
              <w:bottom w:val="single" w:sz="4" w:space="0" w:color="auto"/>
            </w:tcBorders>
          </w:tcPr>
          <w:p w:rsidR="00FB0E28" w:rsidRDefault="00FB0E28" w:rsidP="002757FE">
            <w:pPr>
              <w:spacing w:beforeLines="50" w:before="156" w:line="360" w:lineRule="auto"/>
              <w:jc w:val="center"/>
              <w:rPr>
                <w:sz w:val="24"/>
                <w:szCs w:val="24"/>
                <w:lang w:bidi="ar"/>
              </w:rPr>
            </w:pPr>
          </w:p>
        </w:tc>
        <w:tc>
          <w:tcPr>
            <w:tcW w:w="1760" w:type="dxa"/>
          </w:tcPr>
          <w:p w:rsidR="00FB0E28" w:rsidRDefault="00FB0E28" w:rsidP="002757FE">
            <w:pPr>
              <w:spacing w:beforeLines="50" w:before="156" w:line="360" w:lineRule="auto"/>
              <w:jc w:val="center"/>
              <w:rPr>
                <w:sz w:val="24"/>
                <w:szCs w:val="24"/>
                <w:lang w:bidi="ar"/>
              </w:rPr>
            </w:pPr>
          </w:p>
        </w:tc>
        <w:tc>
          <w:tcPr>
            <w:tcW w:w="1869" w:type="dxa"/>
            <w:tcBorders>
              <w:bottom w:val="single" w:sz="4" w:space="0" w:color="auto"/>
            </w:tcBorders>
          </w:tcPr>
          <w:p w:rsidR="00FB0E28" w:rsidRDefault="00FB0E28" w:rsidP="002757FE">
            <w:pPr>
              <w:spacing w:beforeLines="50" w:before="156" w:line="360" w:lineRule="auto"/>
              <w:jc w:val="center"/>
              <w:rPr>
                <w:sz w:val="24"/>
                <w:szCs w:val="24"/>
                <w:lang w:bidi="ar"/>
              </w:rPr>
            </w:pPr>
          </w:p>
        </w:tc>
        <w:tc>
          <w:tcPr>
            <w:tcW w:w="1812" w:type="dxa"/>
          </w:tcPr>
          <w:p w:rsidR="00FB0E28" w:rsidRDefault="00FB0E28" w:rsidP="002757FE">
            <w:pPr>
              <w:spacing w:beforeLines="50" w:before="156" w:line="360" w:lineRule="auto"/>
              <w:jc w:val="center"/>
              <w:rPr>
                <w:sz w:val="24"/>
                <w:szCs w:val="24"/>
                <w:lang w:bidi="ar"/>
              </w:rPr>
            </w:pPr>
          </w:p>
        </w:tc>
      </w:tr>
      <w:tr w:rsidR="00FB0E28">
        <w:tc>
          <w:tcPr>
            <w:tcW w:w="1980" w:type="dxa"/>
          </w:tcPr>
          <w:p w:rsidR="00FB0E28" w:rsidRDefault="00FB0E28" w:rsidP="002757FE">
            <w:pPr>
              <w:spacing w:beforeLines="50" w:before="156" w:line="360" w:lineRule="auto"/>
              <w:jc w:val="center"/>
              <w:rPr>
                <w:sz w:val="24"/>
                <w:szCs w:val="24"/>
                <w:lang w:bidi="ar"/>
              </w:rPr>
            </w:pPr>
          </w:p>
        </w:tc>
        <w:tc>
          <w:tcPr>
            <w:tcW w:w="1868" w:type="dxa"/>
            <w:tcBorders>
              <w:top w:val="single" w:sz="4" w:space="0" w:color="auto"/>
            </w:tcBorders>
          </w:tcPr>
          <w:p w:rsidR="00FB0E28" w:rsidRDefault="002757FE" w:rsidP="002757FE">
            <w:pPr>
              <w:spacing w:beforeLines="50" w:before="156" w:line="360" w:lineRule="auto"/>
              <w:jc w:val="center"/>
              <w:rPr>
                <w:sz w:val="24"/>
                <w:szCs w:val="24"/>
                <w:lang w:bidi="ar"/>
              </w:rPr>
            </w:pPr>
            <w:r>
              <w:rPr>
                <w:sz w:val="24"/>
                <w:szCs w:val="24"/>
                <w:lang w:bidi="ar"/>
              </w:rPr>
              <w:t>温波</w:t>
            </w:r>
          </w:p>
        </w:tc>
        <w:tc>
          <w:tcPr>
            <w:tcW w:w="1760" w:type="dxa"/>
          </w:tcPr>
          <w:p w:rsidR="00FB0E28" w:rsidRDefault="00FB0E28" w:rsidP="002757FE">
            <w:pPr>
              <w:spacing w:beforeLines="50" w:before="156" w:line="360" w:lineRule="auto"/>
              <w:jc w:val="center"/>
              <w:rPr>
                <w:sz w:val="24"/>
                <w:szCs w:val="24"/>
                <w:lang w:bidi="ar"/>
              </w:rPr>
            </w:pPr>
          </w:p>
        </w:tc>
        <w:tc>
          <w:tcPr>
            <w:tcW w:w="1869" w:type="dxa"/>
            <w:tcBorders>
              <w:top w:val="single" w:sz="4" w:space="0" w:color="auto"/>
            </w:tcBorders>
          </w:tcPr>
          <w:p w:rsidR="00FB0E28" w:rsidRDefault="002757FE" w:rsidP="002757FE">
            <w:pPr>
              <w:spacing w:beforeLines="50" w:before="156" w:line="360" w:lineRule="auto"/>
              <w:jc w:val="center"/>
              <w:rPr>
                <w:sz w:val="24"/>
                <w:szCs w:val="24"/>
                <w:lang w:bidi="ar"/>
              </w:rPr>
            </w:pPr>
            <w:r>
              <w:rPr>
                <w:sz w:val="24"/>
                <w:szCs w:val="24"/>
                <w:lang w:bidi="ar"/>
              </w:rPr>
              <w:t>宋平</w:t>
            </w:r>
          </w:p>
        </w:tc>
        <w:tc>
          <w:tcPr>
            <w:tcW w:w="1812" w:type="dxa"/>
          </w:tcPr>
          <w:p w:rsidR="00FB0E28" w:rsidRDefault="00FB0E28" w:rsidP="002757FE">
            <w:pPr>
              <w:spacing w:beforeLines="50" w:before="156" w:line="360" w:lineRule="auto"/>
              <w:jc w:val="center"/>
              <w:rPr>
                <w:sz w:val="24"/>
                <w:szCs w:val="24"/>
                <w:lang w:bidi="ar"/>
              </w:rPr>
            </w:pPr>
          </w:p>
        </w:tc>
      </w:tr>
    </w:tbl>
    <w:p w:rsidR="00FB0E28" w:rsidRDefault="00FB0E28" w:rsidP="002757FE">
      <w:pPr>
        <w:pStyle w:val="005"/>
        <w:spacing w:before="156"/>
        <w:ind w:firstLineChars="0" w:firstLine="0"/>
        <w:rPr>
          <w:szCs w:val="24"/>
        </w:rPr>
      </w:pPr>
    </w:p>
    <w:p w:rsidR="00FB0E28" w:rsidRDefault="00FB0E28" w:rsidP="002757FE">
      <w:pPr>
        <w:pStyle w:val="005"/>
        <w:spacing w:before="156"/>
        <w:ind w:firstLine="480"/>
        <w:rPr>
          <w:szCs w:val="24"/>
        </w:rPr>
      </w:pPr>
    </w:p>
    <w:p w:rsidR="00FB0E28" w:rsidRDefault="002757FE">
      <w:pPr>
        <w:spacing w:before="120" w:after="120"/>
        <w:ind w:firstLine="480"/>
        <w:jc w:val="right"/>
        <w:rPr>
          <w:sz w:val="24"/>
          <w:szCs w:val="24"/>
        </w:rPr>
      </w:pPr>
      <w:r>
        <w:rPr>
          <w:sz w:val="24"/>
          <w:szCs w:val="24"/>
        </w:rPr>
        <w:t>  </w:t>
      </w:r>
    </w:p>
    <w:p w:rsidR="00FB0E28" w:rsidRDefault="00FB0E28">
      <w:pPr>
        <w:spacing w:before="120" w:after="120"/>
        <w:ind w:firstLine="480"/>
        <w:jc w:val="right"/>
        <w:rPr>
          <w:sz w:val="24"/>
          <w:szCs w:val="24"/>
        </w:rPr>
      </w:pPr>
    </w:p>
    <w:p w:rsidR="00FB0E28" w:rsidRDefault="00FB0E28">
      <w:pPr>
        <w:spacing w:before="120" w:after="120"/>
        <w:ind w:firstLine="480"/>
        <w:jc w:val="right"/>
        <w:rPr>
          <w:sz w:val="24"/>
          <w:szCs w:val="24"/>
        </w:rPr>
      </w:pPr>
    </w:p>
    <w:p w:rsidR="00FB0E28" w:rsidRDefault="002757FE">
      <w:pPr>
        <w:spacing w:before="120" w:after="120"/>
        <w:ind w:firstLine="480"/>
        <w:jc w:val="right"/>
        <w:rPr>
          <w:sz w:val="24"/>
          <w:szCs w:val="24"/>
        </w:rPr>
      </w:pPr>
      <w:r>
        <w:rPr>
          <w:rFonts w:hint="eastAsia"/>
          <w:sz w:val="24"/>
          <w:szCs w:val="24"/>
        </w:rPr>
        <w:t>五矿证券有限公司</w:t>
      </w:r>
    </w:p>
    <w:p w:rsidR="00FB0E28" w:rsidRDefault="00FB0E28">
      <w:pPr>
        <w:spacing w:before="120" w:after="120"/>
        <w:ind w:firstLine="480"/>
        <w:jc w:val="right"/>
        <w:rPr>
          <w:sz w:val="24"/>
          <w:szCs w:val="24"/>
        </w:rPr>
      </w:pPr>
    </w:p>
    <w:p w:rsidR="00FB0E28" w:rsidRDefault="002757FE">
      <w:pPr>
        <w:spacing w:before="120" w:after="120"/>
        <w:ind w:firstLine="480"/>
        <w:jc w:val="right"/>
        <w:rPr>
          <w:sz w:val="24"/>
          <w:szCs w:val="24"/>
        </w:rPr>
      </w:pPr>
      <w:r>
        <w:rPr>
          <w:sz w:val="24"/>
          <w:szCs w:val="24"/>
        </w:rPr>
        <w:t>  </w:t>
      </w:r>
      <w:r>
        <w:rPr>
          <w:rFonts w:hint="eastAsia"/>
          <w:sz w:val="24"/>
          <w:szCs w:val="24"/>
        </w:rPr>
        <w:t>2024</w:t>
      </w:r>
      <w:r>
        <w:rPr>
          <w:rFonts w:hint="eastAsia"/>
          <w:sz w:val="24"/>
          <w:szCs w:val="24"/>
        </w:rPr>
        <w:t>年</w:t>
      </w:r>
      <w:r>
        <w:rPr>
          <w:rFonts w:hint="eastAsia"/>
          <w:sz w:val="24"/>
          <w:szCs w:val="24"/>
        </w:rPr>
        <w:t>12</w:t>
      </w:r>
      <w:r>
        <w:rPr>
          <w:rFonts w:hint="eastAsia"/>
          <w:sz w:val="24"/>
          <w:szCs w:val="24"/>
        </w:rPr>
        <w:t>月</w:t>
      </w:r>
      <w:r>
        <w:rPr>
          <w:rFonts w:hint="eastAsia"/>
          <w:sz w:val="24"/>
          <w:szCs w:val="24"/>
        </w:rPr>
        <w:t>12</w:t>
      </w:r>
      <w:bookmarkStart w:id="0" w:name="_GoBack"/>
      <w:bookmarkEnd w:id="0"/>
      <w:r>
        <w:rPr>
          <w:rFonts w:hint="eastAsia"/>
          <w:sz w:val="24"/>
          <w:szCs w:val="24"/>
        </w:rPr>
        <w:t>日</w:t>
      </w:r>
    </w:p>
    <w:p w:rsidR="00FB0E28" w:rsidRDefault="00FB0E28">
      <w:pPr>
        <w:widowControl/>
        <w:spacing w:beforeLines="50" w:before="156" w:afterLines="50" w:after="156" w:line="360" w:lineRule="auto"/>
        <w:ind w:firstLineChars="200" w:firstLine="480"/>
        <w:jc w:val="left"/>
        <w:rPr>
          <w:color w:val="000000"/>
          <w:kern w:val="0"/>
          <w:sz w:val="24"/>
          <w:szCs w:val="24"/>
          <w:lang w:bidi="ar"/>
        </w:rPr>
      </w:pPr>
    </w:p>
    <w:p w:rsidR="00FB0E28" w:rsidRDefault="00FB0E28">
      <w:pPr>
        <w:widowControl/>
        <w:spacing w:beforeLines="50" w:before="156" w:afterLines="50" w:after="156" w:line="360" w:lineRule="auto"/>
        <w:ind w:firstLineChars="200" w:firstLine="480"/>
        <w:jc w:val="left"/>
        <w:rPr>
          <w:color w:val="000000"/>
          <w:kern w:val="0"/>
          <w:sz w:val="24"/>
          <w:szCs w:val="24"/>
          <w:lang w:bidi="ar"/>
        </w:rPr>
      </w:pPr>
    </w:p>
    <w:p w:rsidR="00FB0E28" w:rsidRDefault="00FB0E28">
      <w:pPr>
        <w:widowControl/>
        <w:spacing w:beforeLines="50" w:before="156" w:afterLines="50" w:after="156" w:line="360" w:lineRule="auto"/>
        <w:ind w:firstLineChars="200" w:firstLine="480"/>
        <w:jc w:val="left"/>
        <w:rPr>
          <w:color w:val="000000"/>
          <w:kern w:val="0"/>
          <w:sz w:val="24"/>
          <w:szCs w:val="24"/>
          <w:lang w:bidi="ar"/>
        </w:rPr>
      </w:pPr>
    </w:p>
    <w:p w:rsidR="00FB0E28" w:rsidRDefault="00FB0E28">
      <w:pPr>
        <w:widowControl/>
        <w:spacing w:beforeLines="50" w:before="156" w:afterLines="50" w:after="156" w:line="360" w:lineRule="auto"/>
        <w:ind w:firstLineChars="200" w:firstLine="480"/>
        <w:jc w:val="left"/>
        <w:rPr>
          <w:color w:val="000000"/>
          <w:kern w:val="0"/>
          <w:sz w:val="24"/>
          <w:szCs w:val="24"/>
          <w:lang w:bidi="ar"/>
        </w:rPr>
      </w:pPr>
    </w:p>
    <w:p w:rsidR="00FB0E28" w:rsidRDefault="00FB0E28">
      <w:pPr>
        <w:widowControl/>
        <w:spacing w:beforeLines="50" w:before="156" w:afterLines="50" w:after="156" w:line="360" w:lineRule="auto"/>
        <w:ind w:firstLineChars="200" w:firstLine="480"/>
        <w:jc w:val="left"/>
        <w:rPr>
          <w:color w:val="000000"/>
          <w:kern w:val="0"/>
          <w:sz w:val="24"/>
          <w:szCs w:val="24"/>
          <w:lang w:bidi="ar"/>
        </w:rPr>
      </w:pPr>
    </w:p>
    <w:p w:rsidR="00FB0E28" w:rsidRDefault="00FB0E28">
      <w:pPr>
        <w:widowControl/>
        <w:spacing w:beforeLines="50" w:before="156" w:afterLines="50" w:after="156" w:line="360" w:lineRule="auto"/>
        <w:ind w:firstLineChars="200" w:firstLine="480"/>
        <w:jc w:val="left"/>
        <w:rPr>
          <w:color w:val="000000"/>
          <w:kern w:val="0"/>
          <w:sz w:val="24"/>
          <w:szCs w:val="24"/>
          <w:lang w:bidi="ar"/>
        </w:rPr>
      </w:pPr>
    </w:p>
    <w:p w:rsidR="00FB0E28" w:rsidRDefault="00FB0E28">
      <w:pPr>
        <w:widowControl/>
        <w:spacing w:beforeLines="50" w:before="156" w:afterLines="50" w:after="156" w:line="360" w:lineRule="auto"/>
        <w:ind w:firstLineChars="200" w:firstLine="480"/>
        <w:jc w:val="left"/>
        <w:rPr>
          <w:color w:val="000000"/>
          <w:kern w:val="0"/>
          <w:sz w:val="24"/>
          <w:szCs w:val="24"/>
          <w:lang w:bidi="ar"/>
        </w:rPr>
      </w:pPr>
    </w:p>
    <w:p w:rsidR="00FB0E28" w:rsidRDefault="00FB0E28"/>
    <w:sectPr w:rsidR="00FB0E2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782394"/>
    <w:rsid w:val="002757FE"/>
    <w:rsid w:val="00FB0E28"/>
    <w:rsid w:val="04574BE6"/>
    <w:rsid w:val="053567C7"/>
    <w:rsid w:val="05DD6866"/>
    <w:rsid w:val="10782394"/>
    <w:rsid w:val="135D00BD"/>
    <w:rsid w:val="146C450C"/>
    <w:rsid w:val="1A0C35CC"/>
    <w:rsid w:val="1DEE4A47"/>
    <w:rsid w:val="35015F45"/>
    <w:rsid w:val="37757DBC"/>
    <w:rsid w:val="38CE6D94"/>
    <w:rsid w:val="3FA559AF"/>
    <w:rsid w:val="4E920EE8"/>
    <w:rsid w:val="56D27257"/>
    <w:rsid w:val="5C8B5EB0"/>
    <w:rsid w:val="5C9C7EA6"/>
    <w:rsid w:val="5FDD5B23"/>
    <w:rsid w:val="65DD0B1E"/>
    <w:rsid w:val="65FF617B"/>
    <w:rsid w:val="694E13F6"/>
    <w:rsid w:val="69A104C4"/>
    <w:rsid w:val="6A686431"/>
    <w:rsid w:val="7D3B3B39"/>
    <w:rsid w:val="7E003C7C"/>
    <w:rsid w:val="7ECC3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05">
    <w:name w:val="005正文"/>
    <w:basedOn w:val="a"/>
    <w:qFormat/>
    <w:pPr>
      <w:spacing w:beforeLines="50" w:before="50" w:line="360" w:lineRule="auto"/>
      <w:ind w:firstLineChars="200" w:firstLine="200"/>
    </w:pPr>
    <w:rPr>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05">
    <w:name w:val="005正文"/>
    <w:basedOn w:val="a"/>
    <w:qFormat/>
    <w:pPr>
      <w:spacing w:beforeLines="50" w:before="50" w:line="360" w:lineRule="auto"/>
      <w:ind w:firstLineChars="200" w:firstLine="200"/>
    </w:pPr>
    <w:rPr>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10</Pages>
  <Words>1010</Words>
  <Characters>5757</Characters>
  <Application>Microsoft Office Word</Application>
  <DocSecurity>0</DocSecurity>
  <Lines>47</Lines>
  <Paragraphs>13</Paragraphs>
  <ScaleCrop>false</ScaleCrop>
  <Company>Microsoft</Company>
  <LinksUpToDate>false</LinksUpToDate>
  <CharactersWithSpaces>6754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CICI</dc:creator>
  <cp:lastModifiedBy>hsq</cp:lastModifiedBy>
  <cp:revision>2</cp:revision>
  <dcterms:created xsi:type="dcterms:W3CDTF">2024-12-07T10:34:00Z</dcterms:created>
  <dcterms:modified xsi:type="dcterms:W3CDTF">2024-12-11T08:09:00Z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5345DCB0EC5D4D85B57B43CCD2C868F9_11</vt:lpwstr>
  </property>
</Properties>
</file>