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C24" w:rsidRDefault="00B65FF0">
      <w:pPr>
        <w:autoSpaceDE w:val="0"/>
        <w:autoSpaceDN w:val="0"/>
        <w:adjustRightInd w:val="0"/>
        <w:spacing w:beforeLines="50" w:before="156" w:afterLines="50" w:after="156" w:line="360" w:lineRule="auto"/>
        <w:jc w:val="center"/>
        <w:rPr>
          <w:rFonts w:ascii="黑体" w:eastAsia="黑体" w:hAnsi="黑体"/>
          <w:b/>
          <w:bCs/>
          <w:sz w:val="32"/>
          <w:szCs w:val="32"/>
        </w:rPr>
      </w:pPr>
      <w:r>
        <w:rPr>
          <w:rFonts w:ascii="黑体" w:eastAsia="黑体" w:hAnsi="黑体" w:hint="eastAsia"/>
          <w:b/>
          <w:bCs/>
          <w:sz w:val="32"/>
          <w:szCs w:val="32"/>
        </w:rPr>
        <w:t>五矿证券有限公司</w:t>
      </w:r>
    </w:p>
    <w:p w:rsidR="00931C24" w:rsidRDefault="00B65FF0">
      <w:pPr>
        <w:autoSpaceDE w:val="0"/>
        <w:autoSpaceDN w:val="0"/>
        <w:adjustRightInd w:val="0"/>
        <w:spacing w:beforeLines="50" w:before="156" w:afterLines="50" w:after="156" w:line="360" w:lineRule="auto"/>
        <w:jc w:val="center"/>
        <w:rPr>
          <w:rFonts w:ascii="黑体" w:eastAsia="黑体" w:hAnsi="黑体"/>
          <w:b/>
          <w:bCs/>
          <w:sz w:val="32"/>
          <w:szCs w:val="32"/>
        </w:rPr>
      </w:pPr>
      <w:r>
        <w:rPr>
          <w:rFonts w:ascii="黑体" w:eastAsia="黑体" w:hAnsi="黑体" w:hint="eastAsia"/>
          <w:b/>
          <w:bCs/>
          <w:sz w:val="32"/>
          <w:szCs w:val="32"/>
        </w:rPr>
        <w:t>关于广东天亿马信息产业股份有限公司</w:t>
      </w:r>
    </w:p>
    <w:p w:rsidR="00931C24" w:rsidRDefault="00B65FF0">
      <w:pPr>
        <w:autoSpaceDE w:val="0"/>
        <w:autoSpaceDN w:val="0"/>
        <w:adjustRightInd w:val="0"/>
        <w:spacing w:beforeLines="50" w:before="156" w:afterLines="50" w:after="156" w:line="360" w:lineRule="auto"/>
        <w:jc w:val="center"/>
        <w:rPr>
          <w:b/>
          <w:bCs/>
          <w:sz w:val="32"/>
          <w:szCs w:val="32"/>
        </w:rPr>
      </w:pPr>
      <w:r>
        <w:rPr>
          <w:rFonts w:ascii="黑体" w:eastAsia="黑体" w:hAnsi="黑体" w:hint="eastAsia"/>
          <w:b/>
          <w:bCs/>
          <w:sz w:val="32"/>
          <w:szCs w:val="32"/>
        </w:rPr>
        <w:t>使用部分超募资金永久补充流动资金的核查意见</w:t>
      </w:r>
    </w:p>
    <w:p w:rsidR="00931C24" w:rsidRDefault="00B65FF0" w:rsidP="00B65FF0">
      <w:pPr>
        <w:widowControl/>
        <w:spacing w:beforeLines="50" w:before="156" w:line="360" w:lineRule="auto"/>
        <w:ind w:firstLineChars="200" w:firstLine="480"/>
        <w:jc w:val="left"/>
        <w:rPr>
          <w:color w:val="000000"/>
          <w:sz w:val="24"/>
          <w:szCs w:val="24"/>
        </w:rPr>
      </w:pPr>
      <w:r>
        <w:rPr>
          <w:rFonts w:ascii="宋体" w:hAnsi="宋体" w:cs="宋体" w:hint="eastAsia"/>
          <w:color w:val="000000"/>
          <w:kern w:val="0"/>
          <w:sz w:val="24"/>
          <w:szCs w:val="24"/>
          <w:lang w:bidi="ar"/>
        </w:rPr>
        <w:t>五矿证券有限公司</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以下简称“保荐机构”</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作为广东天亿马信息产业股份有限公司</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以下简称“公司”或“天亿马”</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首次公开发行股票并在创业板上市保荐机构，根据《证券发行上市保荐业务管理办法</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上市公司监管指引第</w:t>
      </w:r>
      <w:r>
        <w:rPr>
          <w:color w:val="000000"/>
          <w:kern w:val="0"/>
          <w:sz w:val="24"/>
          <w:szCs w:val="24"/>
          <w:lang w:bidi="ar"/>
        </w:rPr>
        <w:t>2</w:t>
      </w:r>
      <w:r>
        <w:rPr>
          <w:color w:val="000000"/>
          <w:kern w:val="0"/>
          <w:sz w:val="24"/>
          <w:szCs w:val="24"/>
          <w:lang w:bidi="ar"/>
        </w:rPr>
        <w:t>号</w:t>
      </w:r>
      <w:r>
        <w:rPr>
          <w:color w:val="000000"/>
          <w:kern w:val="0"/>
          <w:sz w:val="24"/>
          <w:szCs w:val="24"/>
          <w:lang w:bidi="ar"/>
        </w:rPr>
        <w:t>——</w:t>
      </w:r>
      <w:r>
        <w:rPr>
          <w:color w:val="000000"/>
          <w:kern w:val="0"/>
          <w:sz w:val="24"/>
          <w:szCs w:val="24"/>
          <w:lang w:bidi="ar"/>
        </w:rPr>
        <w:t>上市公司募集资金管理和使用的监管要求</w:t>
      </w:r>
      <w:r>
        <w:rPr>
          <w:rFonts w:hint="eastAsia"/>
          <w:color w:val="000000"/>
          <w:kern w:val="0"/>
          <w:sz w:val="24"/>
          <w:szCs w:val="24"/>
          <w:lang w:bidi="ar"/>
        </w:rPr>
        <w:t>》《</w:t>
      </w:r>
      <w:r>
        <w:rPr>
          <w:color w:val="000000"/>
          <w:kern w:val="0"/>
          <w:sz w:val="24"/>
          <w:szCs w:val="24"/>
          <w:lang w:bidi="ar"/>
        </w:rPr>
        <w:t>深圳证券交易所创业板股票上市规则</w:t>
      </w:r>
      <w:r>
        <w:rPr>
          <w:rFonts w:hint="eastAsia"/>
          <w:color w:val="000000"/>
          <w:kern w:val="0"/>
          <w:sz w:val="24"/>
          <w:szCs w:val="24"/>
          <w:lang w:bidi="ar"/>
        </w:rPr>
        <w:t>》《</w:t>
      </w:r>
      <w:r>
        <w:rPr>
          <w:color w:val="000000"/>
          <w:kern w:val="0"/>
          <w:sz w:val="24"/>
          <w:szCs w:val="24"/>
          <w:lang w:bidi="ar"/>
        </w:rPr>
        <w:t>深圳证券交易所上市公司自律监管指引第</w:t>
      </w:r>
      <w:r>
        <w:rPr>
          <w:color w:val="000000"/>
          <w:kern w:val="0"/>
          <w:sz w:val="24"/>
          <w:szCs w:val="24"/>
          <w:lang w:bidi="ar"/>
        </w:rPr>
        <w:t>2</w:t>
      </w:r>
      <w:r>
        <w:rPr>
          <w:color w:val="000000"/>
          <w:kern w:val="0"/>
          <w:sz w:val="24"/>
          <w:szCs w:val="24"/>
          <w:lang w:bidi="ar"/>
        </w:rPr>
        <w:t>号</w:t>
      </w:r>
      <w:r>
        <w:rPr>
          <w:color w:val="000000"/>
          <w:kern w:val="0"/>
          <w:sz w:val="24"/>
          <w:szCs w:val="24"/>
          <w:lang w:bidi="ar"/>
        </w:rPr>
        <w:t>——</w:t>
      </w:r>
      <w:r>
        <w:rPr>
          <w:color w:val="000000"/>
          <w:kern w:val="0"/>
          <w:sz w:val="24"/>
          <w:szCs w:val="24"/>
          <w:lang w:bidi="ar"/>
        </w:rPr>
        <w:t>创业板上市公司规范运作》等相关规范性文件的规定，对天亿马关于变更部分募集资金用途</w:t>
      </w:r>
      <w:r>
        <w:rPr>
          <w:color w:val="000000"/>
          <w:kern w:val="0"/>
          <w:sz w:val="24"/>
          <w:szCs w:val="24"/>
          <w:lang w:bidi="ar"/>
        </w:rPr>
        <w:t>的</w:t>
      </w:r>
      <w:r>
        <w:rPr>
          <w:color w:val="000000"/>
          <w:kern w:val="0"/>
          <w:sz w:val="24"/>
          <w:szCs w:val="24"/>
          <w:lang w:bidi="ar"/>
        </w:rPr>
        <w:t>事项</w:t>
      </w:r>
      <w:r>
        <w:rPr>
          <w:color w:val="000000"/>
          <w:kern w:val="0"/>
          <w:sz w:val="24"/>
          <w:szCs w:val="24"/>
          <w:lang w:bidi="ar"/>
        </w:rPr>
        <w:t>进行了核查，并出具核查意见如下：</w:t>
      </w:r>
    </w:p>
    <w:p w:rsidR="00931C24" w:rsidRDefault="00B65FF0" w:rsidP="00B65FF0">
      <w:pPr>
        <w:spacing w:beforeLines="50" w:before="156" w:line="360" w:lineRule="auto"/>
        <w:rPr>
          <w:b/>
          <w:bCs/>
          <w:sz w:val="28"/>
          <w:szCs w:val="28"/>
        </w:rPr>
      </w:pPr>
      <w:r>
        <w:rPr>
          <w:b/>
          <w:bCs/>
          <w:sz w:val="28"/>
          <w:szCs w:val="28"/>
        </w:rPr>
        <w:t>一、募集资金及超募资金基本情况</w:t>
      </w:r>
    </w:p>
    <w:p w:rsidR="00931C24" w:rsidRDefault="00B65FF0" w:rsidP="00B65FF0">
      <w:pPr>
        <w:spacing w:beforeLines="50" w:before="156" w:line="360" w:lineRule="auto"/>
        <w:ind w:firstLineChars="200" w:firstLine="480"/>
        <w:rPr>
          <w:sz w:val="24"/>
          <w:szCs w:val="24"/>
        </w:rPr>
      </w:pPr>
      <w:r>
        <w:rPr>
          <w:sz w:val="24"/>
          <w:szCs w:val="24"/>
        </w:rPr>
        <w:t>公司经中国证券监督管理委员会《关于同意广东天亿马信息产业股份有限公司首次公开发行股票注册的批复》（证监许可</w:t>
      </w:r>
      <w:r>
        <w:rPr>
          <w:rFonts w:hint="eastAsia"/>
          <w:sz w:val="24"/>
          <w:szCs w:val="24"/>
        </w:rPr>
        <w:t>〔</w:t>
      </w:r>
      <w:r>
        <w:rPr>
          <w:rFonts w:hint="eastAsia"/>
          <w:sz w:val="24"/>
          <w:szCs w:val="24"/>
        </w:rPr>
        <w:t>2021</w:t>
      </w:r>
      <w:r>
        <w:rPr>
          <w:rFonts w:hint="eastAsia"/>
          <w:sz w:val="24"/>
          <w:szCs w:val="24"/>
        </w:rPr>
        <w:t>〕</w:t>
      </w:r>
      <w:r>
        <w:rPr>
          <w:rFonts w:hint="eastAsia"/>
          <w:sz w:val="24"/>
          <w:szCs w:val="24"/>
        </w:rPr>
        <w:t>2937</w:t>
      </w:r>
      <w:r>
        <w:rPr>
          <w:rFonts w:hint="eastAsia"/>
          <w:sz w:val="24"/>
          <w:szCs w:val="24"/>
        </w:rPr>
        <w:t>号</w:t>
      </w:r>
      <w:r>
        <w:rPr>
          <w:sz w:val="24"/>
          <w:szCs w:val="24"/>
        </w:rPr>
        <w:t>）同意，并经深圳证券交易所同意注册，公司首次向社会公众发行人民币普通股（</w:t>
      </w:r>
      <w:r>
        <w:rPr>
          <w:sz w:val="24"/>
          <w:szCs w:val="24"/>
        </w:rPr>
        <w:t>A</w:t>
      </w:r>
      <w:r>
        <w:rPr>
          <w:sz w:val="24"/>
          <w:szCs w:val="24"/>
        </w:rPr>
        <w:t>股）股票</w:t>
      </w:r>
      <w:r>
        <w:rPr>
          <w:sz w:val="24"/>
          <w:szCs w:val="24"/>
        </w:rPr>
        <w:t>1,177.80</w:t>
      </w:r>
      <w:r>
        <w:rPr>
          <w:sz w:val="24"/>
          <w:szCs w:val="24"/>
        </w:rPr>
        <w:t>万股，每股面值人民币</w:t>
      </w:r>
      <w:r>
        <w:rPr>
          <w:sz w:val="24"/>
          <w:szCs w:val="24"/>
        </w:rPr>
        <w:t>1.00</w:t>
      </w:r>
      <w:r>
        <w:rPr>
          <w:sz w:val="24"/>
          <w:szCs w:val="24"/>
        </w:rPr>
        <w:t>元，每股发行价格为</w:t>
      </w:r>
      <w:r>
        <w:rPr>
          <w:sz w:val="24"/>
          <w:szCs w:val="24"/>
        </w:rPr>
        <w:t>48.66</w:t>
      </w:r>
      <w:r>
        <w:rPr>
          <w:sz w:val="24"/>
          <w:szCs w:val="24"/>
        </w:rPr>
        <w:t>元。本次募集资金总额为人民币</w:t>
      </w:r>
      <w:r>
        <w:rPr>
          <w:sz w:val="24"/>
          <w:szCs w:val="24"/>
        </w:rPr>
        <w:t>573,117,480.00</w:t>
      </w:r>
      <w:r>
        <w:rPr>
          <w:sz w:val="24"/>
          <w:szCs w:val="24"/>
        </w:rPr>
        <w:t>元，扣除发行费用人民币</w:t>
      </w:r>
      <w:r>
        <w:rPr>
          <w:sz w:val="24"/>
          <w:szCs w:val="24"/>
        </w:rPr>
        <w:t>62,856,828.00</w:t>
      </w:r>
      <w:r>
        <w:rPr>
          <w:sz w:val="24"/>
          <w:szCs w:val="24"/>
        </w:rPr>
        <w:t>元（不含增值税），实际募集资金净额为人民币</w:t>
      </w:r>
      <w:r>
        <w:rPr>
          <w:sz w:val="24"/>
          <w:szCs w:val="24"/>
        </w:rPr>
        <w:t>510,260,652.00</w:t>
      </w:r>
      <w:r>
        <w:rPr>
          <w:sz w:val="24"/>
          <w:szCs w:val="24"/>
        </w:rPr>
        <w:t>元。根据《公司首次公开发行股票并在创业板上市招股说明书》（以下简称</w:t>
      </w:r>
      <w:r>
        <w:rPr>
          <w:sz w:val="24"/>
          <w:szCs w:val="24"/>
        </w:rPr>
        <w:t>“</w:t>
      </w:r>
      <w:r>
        <w:rPr>
          <w:sz w:val="24"/>
          <w:szCs w:val="24"/>
        </w:rPr>
        <w:t>招股说明书</w:t>
      </w:r>
      <w:r>
        <w:rPr>
          <w:sz w:val="24"/>
          <w:szCs w:val="24"/>
        </w:rPr>
        <w:t>”</w:t>
      </w:r>
      <w:r>
        <w:rPr>
          <w:sz w:val="24"/>
          <w:szCs w:val="24"/>
        </w:rPr>
        <w:t>），公司计划募集</w:t>
      </w:r>
      <w:r>
        <w:rPr>
          <w:sz w:val="24"/>
          <w:szCs w:val="24"/>
        </w:rPr>
        <w:t>279,361,500.00</w:t>
      </w:r>
      <w:r>
        <w:rPr>
          <w:sz w:val="24"/>
          <w:szCs w:val="24"/>
        </w:rPr>
        <w:t>元，超额募集资金为</w:t>
      </w:r>
      <w:r>
        <w:rPr>
          <w:sz w:val="24"/>
          <w:szCs w:val="24"/>
        </w:rPr>
        <w:t>230,899,152.00</w:t>
      </w:r>
      <w:r>
        <w:rPr>
          <w:sz w:val="24"/>
          <w:szCs w:val="24"/>
        </w:rPr>
        <w:t>元。</w:t>
      </w:r>
    </w:p>
    <w:p w:rsidR="00931C24" w:rsidRDefault="00B65FF0" w:rsidP="00B65FF0">
      <w:pPr>
        <w:spacing w:beforeLines="50" w:before="156" w:line="360" w:lineRule="auto"/>
        <w:ind w:firstLineChars="200" w:firstLine="480"/>
        <w:rPr>
          <w:sz w:val="24"/>
          <w:szCs w:val="24"/>
        </w:rPr>
      </w:pPr>
      <w:r>
        <w:rPr>
          <w:sz w:val="24"/>
          <w:szCs w:val="24"/>
        </w:rPr>
        <w:t>该项资金</w:t>
      </w:r>
      <w:r>
        <w:rPr>
          <w:sz w:val="24"/>
          <w:szCs w:val="24"/>
        </w:rPr>
        <w:t>于</w:t>
      </w:r>
      <w:r>
        <w:rPr>
          <w:sz w:val="24"/>
          <w:szCs w:val="24"/>
        </w:rPr>
        <w:t>2021</w:t>
      </w:r>
      <w:r>
        <w:rPr>
          <w:sz w:val="24"/>
          <w:szCs w:val="24"/>
        </w:rPr>
        <w:t>年</w:t>
      </w:r>
      <w:r>
        <w:rPr>
          <w:sz w:val="24"/>
          <w:szCs w:val="24"/>
        </w:rPr>
        <w:t>11</w:t>
      </w:r>
      <w:r>
        <w:rPr>
          <w:sz w:val="24"/>
          <w:szCs w:val="24"/>
        </w:rPr>
        <w:t>月</w:t>
      </w:r>
      <w:r>
        <w:rPr>
          <w:sz w:val="24"/>
          <w:szCs w:val="24"/>
        </w:rPr>
        <w:t>5</w:t>
      </w:r>
      <w:r>
        <w:rPr>
          <w:sz w:val="24"/>
          <w:szCs w:val="24"/>
        </w:rPr>
        <w:t>日存入公司募集资金专用账户，中审众环会计师事务所（特殊普通合伙）于同日对上述资金到位情况进行审验并出具了《验资报告》（众环验字</w:t>
      </w:r>
      <w:r>
        <w:rPr>
          <w:rFonts w:hint="eastAsia"/>
          <w:sz w:val="24"/>
          <w:szCs w:val="24"/>
        </w:rPr>
        <w:t>〔</w:t>
      </w:r>
      <w:r>
        <w:rPr>
          <w:sz w:val="24"/>
          <w:szCs w:val="24"/>
        </w:rPr>
        <w:t>2021</w:t>
      </w:r>
      <w:r>
        <w:rPr>
          <w:rFonts w:hint="eastAsia"/>
          <w:sz w:val="24"/>
          <w:szCs w:val="24"/>
        </w:rPr>
        <w:t>〕</w:t>
      </w:r>
      <w:r>
        <w:rPr>
          <w:sz w:val="24"/>
          <w:szCs w:val="24"/>
        </w:rPr>
        <w:t>0600012</w:t>
      </w:r>
      <w:r>
        <w:rPr>
          <w:sz w:val="24"/>
          <w:szCs w:val="24"/>
        </w:rPr>
        <w:t>号）。</w:t>
      </w:r>
    </w:p>
    <w:p w:rsidR="00931C24" w:rsidRDefault="00B65FF0" w:rsidP="00B65FF0">
      <w:pPr>
        <w:spacing w:beforeLines="50" w:before="156" w:line="360" w:lineRule="auto"/>
        <w:rPr>
          <w:b/>
          <w:bCs/>
          <w:sz w:val="28"/>
          <w:szCs w:val="28"/>
        </w:rPr>
      </w:pPr>
      <w:r>
        <w:rPr>
          <w:b/>
          <w:bCs/>
          <w:sz w:val="28"/>
          <w:szCs w:val="28"/>
        </w:rPr>
        <w:t>二、募集资金及超募资金投资项目情况</w:t>
      </w:r>
    </w:p>
    <w:p w:rsidR="00931C24" w:rsidRDefault="00B65FF0" w:rsidP="00B65FF0">
      <w:pPr>
        <w:spacing w:beforeLines="50" w:before="156" w:line="360" w:lineRule="auto"/>
        <w:ind w:firstLineChars="200" w:firstLine="480"/>
        <w:rPr>
          <w:sz w:val="24"/>
          <w:szCs w:val="24"/>
        </w:rPr>
      </w:pPr>
      <w:r>
        <w:rPr>
          <w:sz w:val="24"/>
          <w:szCs w:val="24"/>
        </w:rPr>
        <w:t>（一）募集资金及超募投资项目情况</w:t>
      </w:r>
    </w:p>
    <w:p w:rsidR="00931C24" w:rsidRDefault="00B65FF0" w:rsidP="00B65FF0">
      <w:pPr>
        <w:spacing w:beforeLines="50" w:before="156" w:line="360" w:lineRule="auto"/>
        <w:ind w:firstLineChars="200" w:firstLine="480"/>
        <w:rPr>
          <w:sz w:val="24"/>
          <w:szCs w:val="24"/>
        </w:rPr>
      </w:pPr>
      <w:r>
        <w:rPr>
          <w:sz w:val="24"/>
          <w:szCs w:val="24"/>
        </w:rPr>
        <w:lastRenderedPageBreak/>
        <w:t>根据《公司首次公开发行股票并在创业板上市招股说明书》（以下简称</w:t>
      </w:r>
      <w:r>
        <w:rPr>
          <w:sz w:val="24"/>
          <w:szCs w:val="24"/>
        </w:rPr>
        <w:t>“</w:t>
      </w:r>
      <w:r>
        <w:rPr>
          <w:sz w:val="24"/>
          <w:szCs w:val="24"/>
        </w:rPr>
        <w:t>招股说明书</w:t>
      </w:r>
      <w:r>
        <w:rPr>
          <w:sz w:val="24"/>
          <w:szCs w:val="24"/>
        </w:rPr>
        <w:t>”</w:t>
      </w:r>
      <w:r>
        <w:rPr>
          <w:sz w:val="24"/>
          <w:szCs w:val="24"/>
        </w:rPr>
        <w:t>）以及公司实际募集资金情况，公司募集资金用途如下：</w:t>
      </w:r>
    </w:p>
    <w:tbl>
      <w:tblPr>
        <w:tblStyle w:val="a3"/>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442"/>
        <w:gridCol w:w="1813"/>
        <w:gridCol w:w="2267"/>
      </w:tblGrid>
      <w:tr w:rsidR="00931C24">
        <w:trPr>
          <w:trHeight w:val="340"/>
        </w:trPr>
        <w:tc>
          <w:tcPr>
            <w:tcW w:w="2606" w:type="pct"/>
            <w:tcBorders>
              <w:tl2br w:val="nil"/>
              <w:tr2bl w:val="nil"/>
            </w:tcBorders>
            <w:vAlign w:val="center"/>
          </w:tcPr>
          <w:p w:rsidR="00931C24" w:rsidRDefault="00B65FF0">
            <w:pPr>
              <w:adjustRightInd w:val="0"/>
              <w:snapToGrid w:val="0"/>
              <w:jc w:val="center"/>
              <w:rPr>
                <w:b/>
                <w:kern w:val="0"/>
                <w:sz w:val="18"/>
                <w:szCs w:val="18"/>
              </w:rPr>
            </w:pPr>
            <w:r>
              <w:rPr>
                <w:b/>
                <w:kern w:val="0"/>
                <w:sz w:val="18"/>
                <w:szCs w:val="18"/>
              </w:rPr>
              <w:t>项目名称</w:t>
            </w:r>
          </w:p>
        </w:tc>
        <w:tc>
          <w:tcPr>
            <w:tcW w:w="1064" w:type="pct"/>
            <w:tcBorders>
              <w:tl2br w:val="nil"/>
              <w:tr2bl w:val="nil"/>
            </w:tcBorders>
            <w:vAlign w:val="center"/>
          </w:tcPr>
          <w:p w:rsidR="00931C24" w:rsidRDefault="00B65FF0">
            <w:pPr>
              <w:adjustRightInd w:val="0"/>
              <w:snapToGrid w:val="0"/>
              <w:jc w:val="center"/>
              <w:rPr>
                <w:b/>
                <w:kern w:val="0"/>
                <w:sz w:val="18"/>
                <w:szCs w:val="18"/>
              </w:rPr>
            </w:pPr>
            <w:r>
              <w:rPr>
                <w:b/>
                <w:kern w:val="0"/>
                <w:sz w:val="18"/>
                <w:szCs w:val="18"/>
              </w:rPr>
              <w:t>项目总投资额（万元）</w:t>
            </w:r>
          </w:p>
        </w:tc>
        <w:tc>
          <w:tcPr>
            <w:tcW w:w="1330" w:type="pct"/>
            <w:tcBorders>
              <w:tl2br w:val="nil"/>
              <w:tr2bl w:val="nil"/>
            </w:tcBorders>
            <w:vAlign w:val="center"/>
          </w:tcPr>
          <w:p w:rsidR="00931C24" w:rsidRDefault="00B65FF0">
            <w:pPr>
              <w:adjustRightInd w:val="0"/>
              <w:snapToGrid w:val="0"/>
              <w:jc w:val="center"/>
              <w:rPr>
                <w:b/>
                <w:kern w:val="0"/>
                <w:sz w:val="18"/>
                <w:szCs w:val="18"/>
              </w:rPr>
            </w:pPr>
            <w:r>
              <w:rPr>
                <w:b/>
                <w:kern w:val="0"/>
                <w:sz w:val="18"/>
                <w:szCs w:val="18"/>
              </w:rPr>
              <w:t>运用募集资金投资（万元）</w:t>
            </w:r>
          </w:p>
        </w:tc>
      </w:tr>
      <w:tr w:rsidR="00931C24">
        <w:trPr>
          <w:trHeight w:val="340"/>
        </w:trPr>
        <w:tc>
          <w:tcPr>
            <w:tcW w:w="2606" w:type="pct"/>
            <w:tcBorders>
              <w:tl2br w:val="nil"/>
              <w:tr2bl w:val="nil"/>
            </w:tcBorders>
            <w:vAlign w:val="center"/>
          </w:tcPr>
          <w:p w:rsidR="00931C24" w:rsidRDefault="00B65FF0">
            <w:pPr>
              <w:adjustRightInd w:val="0"/>
              <w:snapToGrid w:val="0"/>
              <w:jc w:val="left"/>
              <w:rPr>
                <w:kern w:val="0"/>
                <w:sz w:val="18"/>
                <w:szCs w:val="18"/>
              </w:rPr>
            </w:pPr>
            <w:r>
              <w:rPr>
                <w:kern w:val="0"/>
                <w:sz w:val="18"/>
                <w:szCs w:val="18"/>
              </w:rPr>
              <w:t>智慧城市综合解决方案升级项目</w:t>
            </w:r>
          </w:p>
        </w:tc>
        <w:tc>
          <w:tcPr>
            <w:tcW w:w="1064" w:type="pct"/>
            <w:tcBorders>
              <w:tl2br w:val="nil"/>
              <w:tr2bl w:val="nil"/>
            </w:tcBorders>
            <w:vAlign w:val="center"/>
          </w:tcPr>
          <w:p w:rsidR="00931C24" w:rsidRDefault="00B65FF0">
            <w:pPr>
              <w:adjustRightInd w:val="0"/>
              <w:snapToGrid w:val="0"/>
              <w:jc w:val="right"/>
              <w:rPr>
                <w:kern w:val="0"/>
                <w:sz w:val="18"/>
                <w:szCs w:val="18"/>
              </w:rPr>
            </w:pPr>
            <w:r>
              <w:rPr>
                <w:color w:val="000000"/>
                <w:sz w:val="18"/>
                <w:szCs w:val="18"/>
              </w:rPr>
              <w:t>12,572.70</w:t>
            </w:r>
          </w:p>
        </w:tc>
        <w:tc>
          <w:tcPr>
            <w:tcW w:w="1330" w:type="pct"/>
            <w:tcBorders>
              <w:tl2br w:val="nil"/>
              <w:tr2bl w:val="nil"/>
            </w:tcBorders>
            <w:vAlign w:val="center"/>
          </w:tcPr>
          <w:p w:rsidR="00931C24" w:rsidRDefault="00B65FF0">
            <w:pPr>
              <w:adjustRightInd w:val="0"/>
              <w:snapToGrid w:val="0"/>
              <w:jc w:val="right"/>
              <w:rPr>
                <w:kern w:val="0"/>
                <w:sz w:val="18"/>
                <w:szCs w:val="18"/>
              </w:rPr>
            </w:pPr>
            <w:r>
              <w:rPr>
                <w:color w:val="000000"/>
                <w:sz w:val="18"/>
                <w:szCs w:val="18"/>
              </w:rPr>
              <w:t>12,572.70</w:t>
            </w:r>
          </w:p>
        </w:tc>
      </w:tr>
      <w:tr w:rsidR="00931C24">
        <w:trPr>
          <w:trHeight w:val="340"/>
        </w:trPr>
        <w:tc>
          <w:tcPr>
            <w:tcW w:w="2606" w:type="pct"/>
            <w:tcBorders>
              <w:tl2br w:val="nil"/>
              <w:tr2bl w:val="nil"/>
            </w:tcBorders>
            <w:vAlign w:val="center"/>
          </w:tcPr>
          <w:p w:rsidR="00931C24" w:rsidRDefault="00B65FF0">
            <w:pPr>
              <w:adjustRightInd w:val="0"/>
              <w:snapToGrid w:val="0"/>
              <w:jc w:val="left"/>
              <w:rPr>
                <w:kern w:val="0"/>
                <w:sz w:val="18"/>
                <w:szCs w:val="18"/>
              </w:rPr>
            </w:pPr>
            <w:r>
              <w:rPr>
                <w:kern w:val="0"/>
                <w:sz w:val="18"/>
                <w:szCs w:val="18"/>
              </w:rPr>
              <w:t>大数据应用技术中心建设项目</w:t>
            </w:r>
          </w:p>
        </w:tc>
        <w:tc>
          <w:tcPr>
            <w:tcW w:w="1064" w:type="pct"/>
            <w:tcBorders>
              <w:tl2br w:val="nil"/>
              <w:tr2bl w:val="nil"/>
            </w:tcBorders>
            <w:vAlign w:val="center"/>
          </w:tcPr>
          <w:p w:rsidR="00931C24" w:rsidRDefault="00B65FF0">
            <w:pPr>
              <w:adjustRightInd w:val="0"/>
              <w:snapToGrid w:val="0"/>
              <w:jc w:val="right"/>
              <w:rPr>
                <w:kern w:val="0"/>
                <w:sz w:val="18"/>
                <w:szCs w:val="18"/>
              </w:rPr>
            </w:pPr>
            <w:r>
              <w:rPr>
                <w:color w:val="000000"/>
                <w:sz w:val="18"/>
                <w:szCs w:val="18"/>
              </w:rPr>
              <w:t>3,763.60</w:t>
            </w:r>
          </w:p>
        </w:tc>
        <w:tc>
          <w:tcPr>
            <w:tcW w:w="1330" w:type="pct"/>
            <w:tcBorders>
              <w:tl2br w:val="nil"/>
              <w:tr2bl w:val="nil"/>
            </w:tcBorders>
            <w:vAlign w:val="center"/>
          </w:tcPr>
          <w:p w:rsidR="00931C24" w:rsidRDefault="00B65FF0">
            <w:pPr>
              <w:adjustRightInd w:val="0"/>
              <w:snapToGrid w:val="0"/>
              <w:jc w:val="right"/>
              <w:rPr>
                <w:kern w:val="0"/>
                <w:sz w:val="18"/>
                <w:szCs w:val="18"/>
              </w:rPr>
            </w:pPr>
            <w:r>
              <w:rPr>
                <w:color w:val="000000"/>
                <w:sz w:val="18"/>
                <w:szCs w:val="18"/>
              </w:rPr>
              <w:t>3,763.60</w:t>
            </w:r>
          </w:p>
        </w:tc>
      </w:tr>
      <w:tr w:rsidR="00931C24">
        <w:trPr>
          <w:trHeight w:val="340"/>
        </w:trPr>
        <w:tc>
          <w:tcPr>
            <w:tcW w:w="2606" w:type="pct"/>
            <w:tcBorders>
              <w:tl2br w:val="nil"/>
              <w:tr2bl w:val="nil"/>
            </w:tcBorders>
            <w:vAlign w:val="center"/>
          </w:tcPr>
          <w:p w:rsidR="00931C24" w:rsidRDefault="00B65FF0">
            <w:pPr>
              <w:adjustRightInd w:val="0"/>
              <w:snapToGrid w:val="0"/>
              <w:jc w:val="left"/>
              <w:rPr>
                <w:kern w:val="0"/>
                <w:sz w:val="18"/>
                <w:szCs w:val="18"/>
              </w:rPr>
            </w:pPr>
            <w:r>
              <w:rPr>
                <w:kern w:val="0"/>
                <w:sz w:val="18"/>
                <w:szCs w:val="18"/>
              </w:rPr>
              <w:t>营销服务体系升级建设项目</w:t>
            </w:r>
          </w:p>
        </w:tc>
        <w:tc>
          <w:tcPr>
            <w:tcW w:w="1064" w:type="pct"/>
            <w:tcBorders>
              <w:tl2br w:val="nil"/>
              <w:tr2bl w:val="nil"/>
            </w:tcBorders>
            <w:vAlign w:val="center"/>
          </w:tcPr>
          <w:p w:rsidR="00931C24" w:rsidRDefault="00B65FF0">
            <w:pPr>
              <w:adjustRightInd w:val="0"/>
              <w:snapToGrid w:val="0"/>
              <w:jc w:val="right"/>
              <w:rPr>
                <w:kern w:val="0"/>
                <w:sz w:val="18"/>
                <w:szCs w:val="18"/>
              </w:rPr>
            </w:pPr>
            <w:r>
              <w:rPr>
                <w:color w:val="000000"/>
                <w:sz w:val="18"/>
                <w:szCs w:val="18"/>
              </w:rPr>
              <w:t>1,599.85</w:t>
            </w:r>
          </w:p>
        </w:tc>
        <w:tc>
          <w:tcPr>
            <w:tcW w:w="1330" w:type="pct"/>
            <w:tcBorders>
              <w:tl2br w:val="nil"/>
              <w:tr2bl w:val="nil"/>
            </w:tcBorders>
            <w:vAlign w:val="center"/>
          </w:tcPr>
          <w:p w:rsidR="00931C24" w:rsidRDefault="00B65FF0">
            <w:pPr>
              <w:adjustRightInd w:val="0"/>
              <w:snapToGrid w:val="0"/>
              <w:jc w:val="right"/>
              <w:rPr>
                <w:kern w:val="0"/>
                <w:sz w:val="18"/>
                <w:szCs w:val="18"/>
              </w:rPr>
            </w:pPr>
            <w:r>
              <w:rPr>
                <w:color w:val="000000"/>
                <w:sz w:val="18"/>
                <w:szCs w:val="18"/>
              </w:rPr>
              <w:t>1,599.85</w:t>
            </w:r>
          </w:p>
        </w:tc>
      </w:tr>
      <w:tr w:rsidR="00931C24">
        <w:trPr>
          <w:trHeight w:val="340"/>
        </w:trPr>
        <w:tc>
          <w:tcPr>
            <w:tcW w:w="2606" w:type="pct"/>
            <w:tcBorders>
              <w:tl2br w:val="nil"/>
              <w:tr2bl w:val="nil"/>
            </w:tcBorders>
            <w:vAlign w:val="center"/>
          </w:tcPr>
          <w:p w:rsidR="00931C24" w:rsidRDefault="00B65FF0">
            <w:pPr>
              <w:adjustRightInd w:val="0"/>
              <w:snapToGrid w:val="0"/>
              <w:jc w:val="left"/>
              <w:rPr>
                <w:kern w:val="0"/>
                <w:sz w:val="18"/>
                <w:szCs w:val="18"/>
              </w:rPr>
            </w:pPr>
            <w:r>
              <w:rPr>
                <w:kern w:val="0"/>
                <w:sz w:val="18"/>
                <w:szCs w:val="18"/>
              </w:rPr>
              <w:t>补充流动资金</w:t>
            </w:r>
          </w:p>
        </w:tc>
        <w:tc>
          <w:tcPr>
            <w:tcW w:w="1064" w:type="pct"/>
            <w:tcBorders>
              <w:tl2br w:val="nil"/>
              <w:tr2bl w:val="nil"/>
            </w:tcBorders>
            <w:vAlign w:val="center"/>
          </w:tcPr>
          <w:p w:rsidR="00931C24" w:rsidRDefault="00B65FF0">
            <w:pPr>
              <w:adjustRightInd w:val="0"/>
              <w:snapToGrid w:val="0"/>
              <w:jc w:val="right"/>
              <w:rPr>
                <w:kern w:val="0"/>
                <w:sz w:val="18"/>
                <w:szCs w:val="18"/>
              </w:rPr>
            </w:pPr>
            <w:r>
              <w:rPr>
                <w:color w:val="000000"/>
                <w:sz w:val="18"/>
                <w:szCs w:val="18"/>
              </w:rPr>
              <w:t>10,000.00</w:t>
            </w:r>
          </w:p>
        </w:tc>
        <w:tc>
          <w:tcPr>
            <w:tcW w:w="1330" w:type="pct"/>
            <w:tcBorders>
              <w:tl2br w:val="nil"/>
              <w:tr2bl w:val="nil"/>
            </w:tcBorders>
            <w:vAlign w:val="center"/>
          </w:tcPr>
          <w:p w:rsidR="00931C24" w:rsidRDefault="00B65FF0">
            <w:pPr>
              <w:adjustRightInd w:val="0"/>
              <w:snapToGrid w:val="0"/>
              <w:jc w:val="right"/>
              <w:rPr>
                <w:kern w:val="0"/>
                <w:sz w:val="18"/>
                <w:szCs w:val="18"/>
              </w:rPr>
            </w:pPr>
            <w:r>
              <w:rPr>
                <w:color w:val="000000"/>
                <w:sz w:val="18"/>
                <w:szCs w:val="18"/>
              </w:rPr>
              <w:t>10,000.00</w:t>
            </w:r>
          </w:p>
        </w:tc>
      </w:tr>
      <w:tr w:rsidR="00931C24">
        <w:trPr>
          <w:trHeight w:val="340"/>
        </w:trPr>
        <w:tc>
          <w:tcPr>
            <w:tcW w:w="2606" w:type="pct"/>
            <w:tcBorders>
              <w:tl2br w:val="nil"/>
              <w:tr2bl w:val="nil"/>
            </w:tcBorders>
            <w:vAlign w:val="center"/>
          </w:tcPr>
          <w:p w:rsidR="00931C24" w:rsidRDefault="00B65FF0">
            <w:pPr>
              <w:adjustRightInd w:val="0"/>
              <w:snapToGrid w:val="0"/>
              <w:jc w:val="center"/>
              <w:rPr>
                <w:b/>
                <w:bCs/>
                <w:kern w:val="0"/>
                <w:sz w:val="18"/>
                <w:szCs w:val="18"/>
              </w:rPr>
            </w:pPr>
            <w:r>
              <w:rPr>
                <w:b/>
                <w:bCs/>
                <w:kern w:val="0"/>
                <w:sz w:val="18"/>
                <w:szCs w:val="18"/>
              </w:rPr>
              <w:t>合计</w:t>
            </w:r>
          </w:p>
        </w:tc>
        <w:tc>
          <w:tcPr>
            <w:tcW w:w="1064" w:type="pct"/>
            <w:tcBorders>
              <w:tl2br w:val="nil"/>
              <w:tr2bl w:val="nil"/>
            </w:tcBorders>
            <w:vAlign w:val="center"/>
          </w:tcPr>
          <w:p w:rsidR="00931C24" w:rsidRDefault="00B65FF0">
            <w:pPr>
              <w:adjustRightInd w:val="0"/>
              <w:snapToGrid w:val="0"/>
              <w:jc w:val="right"/>
              <w:rPr>
                <w:b/>
                <w:bCs/>
                <w:kern w:val="0"/>
                <w:sz w:val="18"/>
                <w:szCs w:val="18"/>
              </w:rPr>
            </w:pPr>
            <w:r>
              <w:rPr>
                <w:b/>
                <w:bCs/>
                <w:color w:val="000000"/>
                <w:sz w:val="18"/>
                <w:szCs w:val="18"/>
              </w:rPr>
              <w:t>27,936.15</w:t>
            </w:r>
          </w:p>
        </w:tc>
        <w:tc>
          <w:tcPr>
            <w:tcW w:w="1330" w:type="pct"/>
            <w:tcBorders>
              <w:tl2br w:val="nil"/>
              <w:tr2bl w:val="nil"/>
            </w:tcBorders>
            <w:vAlign w:val="center"/>
          </w:tcPr>
          <w:p w:rsidR="00931C24" w:rsidRDefault="00B65FF0">
            <w:pPr>
              <w:adjustRightInd w:val="0"/>
              <w:snapToGrid w:val="0"/>
              <w:jc w:val="right"/>
              <w:rPr>
                <w:b/>
                <w:bCs/>
                <w:kern w:val="0"/>
                <w:sz w:val="18"/>
                <w:szCs w:val="18"/>
              </w:rPr>
            </w:pPr>
            <w:r>
              <w:rPr>
                <w:b/>
                <w:bCs/>
                <w:color w:val="000000"/>
                <w:sz w:val="18"/>
                <w:szCs w:val="18"/>
              </w:rPr>
              <w:t>27,936.15</w:t>
            </w:r>
          </w:p>
        </w:tc>
      </w:tr>
    </w:tbl>
    <w:p w:rsidR="00931C24" w:rsidRDefault="00B65FF0" w:rsidP="00B65FF0">
      <w:pPr>
        <w:spacing w:beforeLines="50" w:before="156" w:line="360" w:lineRule="auto"/>
        <w:ind w:firstLineChars="200" w:firstLine="480"/>
        <w:rPr>
          <w:sz w:val="24"/>
          <w:szCs w:val="24"/>
        </w:rPr>
      </w:pPr>
      <w:r>
        <w:rPr>
          <w:sz w:val="24"/>
          <w:szCs w:val="24"/>
        </w:rPr>
        <w:t>公司于</w:t>
      </w:r>
      <w:r>
        <w:rPr>
          <w:sz w:val="24"/>
          <w:szCs w:val="24"/>
        </w:rPr>
        <w:t>2023</w:t>
      </w:r>
      <w:r>
        <w:rPr>
          <w:sz w:val="24"/>
          <w:szCs w:val="24"/>
        </w:rPr>
        <w:t>年</w:t>
      </w:r>
      <w:r>
        <w:rPr>
          <w:sz w:val="24"/>
          <w:szCs w:val="24"/>
        </w:rPr>
        <w:t>8</w:t>
      </w:r>
      <w:r>
        <w:rPr>
          <w:sz w:val="24"/>
          <w:szCs w:val="24"/>
        </w:rPr>
        <w:t>月</w:t>
      </w:r>
      <w:r>
        <w:rPr>
          <w:sz w:val="24"/>
          <w:szCs w:val="24"/>
        </w:rPr>
        <w:t>2</w:t>
      </w:r>
      <w:r>
        <w:rPr>
          <w:sz w:val="24"/>
          <w:szCs w:val="24"/>
        </w:rPr>
        <w:t>日召开第三届董事会第十四次会议和第三届监事会第十二次会议，并于</w:t>
      </w:r>
      <w:r>
        <w:rPr>
          <w:sz w:val="24"/>
          <w:szCs w:val="24"/>
        </w:rPr>
        <w:t>2023</w:t>
      </w:r>
      <w:r>
        <w:rPr>
          <w:sz w:val="24"/>
          <w:szCs w:val="24"/>
        </w:rPr>
        <w:t>年</w:t>
      </w:r>
      <w:r>
        <w:rPr>
          <w:sz w:val="24"/>
          <w:szCs w:val="24"/>
        </w:rPr>
        <w:t>8</w:t>
      </w:r>
      <w:r>
        <w:rPr>
          <w:sz w:val="24"/>
          <w:szCs w:val="24"/>
        </w:rPr>
        <w:t>月</w:t>
      </w:r>
      <w:r>
        <w:rPr>
          <w:sz w:val="24"/>
          <w:szCs w:val="24"/>
        </w:rPr>
        <w:t>21</w:t>
      </w:r>
      <w:r>
        <w:rPr>
          <w:sz w:val="24"/>
          <w:szCs w:val="24"/>
        </w:rPr>
        <w:t>日召开</w:t>
      </w:r>
      <w:r>
        <w:rPr>
          <w:sz w:val="24"/>
          <w:szCs w:val="24"/>
        </w:rPr>
        <w:t>2023</w:t>
      </w:r>
      <w:r>
        <w:rPr>
          <w:sz w:val="24"/>
          <w:szCs w:val="24"/>
        </w:rPr>
        <w:t>年第三次临时股东大会，审议通过了《关于变更募投项目实施主体、实施地点及部分募集资金用途的议案》，将原募投</w:t>
      </w:r>
      <w:r>
        <w:rPr>
          <w:rFonts w:hint="eastAsia"/>
          <w:sz w:val="24"/>
          <w:szCs w:val="24"/>
        </w:rPr>
        <w:t>项目</w:t>
      </w:r>
      <w:r>
        <w:rPr>
          <w:sz w:val="24"/>
          <w:szCs w:val="24"/>
        </w:rPr>
        <w:t>“</w:t>
      </w:r>
      <w:r>
        <w:rPr>
          <w:sz w:val="24"/>
          <w:szCs w:val="24"/>
        </w:rPr>
        <w:t>大数据应用技术中心建设项目</w:t>
      </w:r>
      <w:r>
        <w:rPr>
          <w:sz w:val="24"/>
          <w:szCs w:val="24"/>
        </w:rPr>
        <w:t>”</w:t>
      </w:r>
      <w:r>
        <w:rPr>
          <w:sz w:val="24"/>
          <w:szCs w:val="24"/>
        </w:rPr>
        <w:t>扩展升级为</w:t>
      </w:r>
      <w:r>
        <w:rPr>
          <w:sz w:val="24"/>
          <w:szCs w:val="24"/>
        </w:rPr>
        <w:t>“</w:t>
      </w:r>
      <w:r>
        <w:rPr>
          <w:sz w:val="24"/>
          <w:szCs w:val="24"/>
        </w:rPr>
        <w:t>深圳综合运营中心项目</w:t>
      </w:r>
      <w:r>
        <w:rPr>
          <w:sz w:val="24"/>
          <w:szCs w:val="24"/>
        </w:rPr>
        <w:t>”</w:t>
      </w:r>
      <w:r>
        <w:rPr>
          <w:sz w:val="24"/>
          <w:szCs w:val="24"/>
        </w:rPr>
        <w:t>，将实施地点变更为深圳市南山区。同时取消原</w:t>
      </w:r>
      <w:r>
        <w:rPr>
          <w:sz w:val="24"/>
          <w:szCs w:val="24"/>
        </w:rPr>
        <w:t>“</w:t>
      </w:r>
      <w:r>
        <w:rPr>
          <w:sz w:val="24"/>
          <w:szCs w:val="24"/>
        </w:rPr>
        <w:t>营销服务体系升级建设项目</w:t>
      </w:r>
      <w:r>
        <w:rPr>
          <w:sz w:val="24"/>
          <w:szCs w:val="24"/>
        </w:rPr>
        <w:t>”</w:t>
      </w:r>
      <w:r>
        <w:rPr>
          <w:sz w:val="24"/>
          <w:szCs w:val="24"/>
        </w:rPr>
        <w:t>并将其募集资金合并用于</w:t>
      </w:r>
      <w:r>
        <w:rPr>
          <w:sz w:val="24"/>
          <w:szCs w:val="24"/>
        </w:rPr>
        <w:t>“</w:t>
      </w:r>
      <w:r>
        <w:rPr>
          <w:sz w:val="24"/>
          <w:szCs w:val="24"/>
        </w:rPr>
        <w:t>深圳综合运营中心项目</w:t>
      </w:r>
      <w:r>
        <w:rPr>
          <w:sz w:val="24"/>
          <w:szCs w:val="24"/>
        </w:rPr>
        <w:t>”</w:t>
      </w:r>
      <w:r>
        <w:rPr>
          <w:sz w:val="24"/>
          <w:szCs w:val="24"/>
        </w:rPr>
        <w:t>的建设；项目由公司全资子公司深圳市互联精英信息技术有限公司建设实施。变更后公司募集资金投资用途如下：</w:t>
      </w:r>
    </w:p>
    <w:tbl>
      <w:tblPr>
        <w:tblStyle w:val="a3"/>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413"/>
        <w:gridCol w:w="2049"/>
        <w:gridCol w:w="2354"/>
        <w:gridCol w:w="1706"/>
      </w:tblGrid>
      <w:tr w:rsidR="00931C24">
        <w:trPr>
          <w:trHeight w:val="340"/>
        </w:trPr>
        <w:tc>
          <w:tcPr>
            <w:tcW w:w="1416" w:type="pct"/>
            <w:tcBorders>
              <w:tl2br w:val="nil"/>
              <w:tr2bl w:val="nil"/>
            </w:tcBorders>
            <w:vAlign w:val="center"/>
          </w:tcPr>
          <w:p w:rsidR="00931C24" w:rsidRDefault="00B65FF0">
            <w:pPr>
              <w:tabs>
                <w:tab w:val="center" w:pos="4153"/>
                <w:tab w:val="right" w:pos="8306"/>
              </w:tabs>
              <w:jc w:val="center"/>
              <w:rPr>
                <w:b/>
                <w:bCs/>
                <w:sz w:val="18"/>
                <w:szCs w:val="18"/>
              </w:rPr>
            </w:pPr>
            <w:r>
              <w:rPr>
                <w:b/>
                <w:bCs/>
                <w:sz w:val="18"/>
                <w:szCs w:val="18"/>
              </w:rPr>
              <w:t>项目名称</w:t>
            </w:r>
          </w:p>
        </w:tc>
        <w:tc>
          <w:tcPr>
            <w:tcW w:w="1202" w:type="pct"/>
            <w:tcBorders>
              <w:tl2br w:val="nil"/>
              <w:tr2bl w:val="nil"/>
            </w:tcBorders>
            <w:vAlign w:val="center"/>
          </w:tcPr>
          <w:p w:rsidR="00931C24" w:rsidRDefault="00B65FF0">
            <w:pPr>
              <w:tabs>
                <w:tab w:val="center" w:pos="4153"/>
                <w:tab w:val="right" w:pos="8306"/>
              </w:tabs>
              <w:jc w:val="center"/>
              <w:rPr>
                <w:b/>
                <w:bCs/>
                <w:sz w:val="18"/>
                <w:szCs w:val="18"/>
              </w:rPr>
            </w:pPr>
            <w:r>
              <w:rPr>
                <w:b/>
                <w:bCs/>
                <w:sz w:val="18"/>
                <w:szCs w:val="18"/>
              </w:rPr>
              <w:t>项目总投资额（万元）</w:t>
            </w:r>
          </w:p>
        </w:tc>
        <w:tc>
          <w:tcPr>
            <w:tcW w:w="1381" w:type="pct"/>
            <w:tcBorders>
              <w:tl2br w:val="nil"/>
              <w:tr2bl w:val="nil"/>
            </w:tcBorders>
            <w:vAlign w:val="center"/>
          </w:tcPr>
          <w:p w:rsidR="00931C24" w:rsidRDefault="00B65FF0">
            <w:pPr>
              <w:tabs>
                <w:tab w:val="center" w:pos="4153"/>
                <w:tab w:val="right" w:pos="8306"/>
              </w:tabs>
              <w:jc w:val="center"/>
              <w:rPr>
                <w:b/>
                <w:bCs/>
                <w:sz w:val="18"/>
                <w:szCs w:val="18"/>
              </w:rPr>
            </w:pPr>
            <w:r>
              <w:rPr>
                <w:b/>
                <w:bCs/>
                <w:sz w:val="18"/>
                <w:szCs w:val="18"/>
              </w:rPr>
              <w:t>运用募集资金投资（万元）</w:t>
            </w:r>
          </w:p>
        </w:tc>
        <w:tc>
          <w:tcPr>
            <w:tcW w:w="1001" w:type="pct"/>
            <w:tcBorders>
              <w:tl2br w:val="nil"/>
              <w:tr2bl w:val="nil"/>
            </w:tcBorders>
            <w:vAlign w:val="center"/>
          </w:tcPr>
          <w:p w:rsidR="00931C24" w:rsidRDefault="00B65FF0">
            <w:pPr>
              <w:tabs>
                <w:tab w:val="center" w:pos="4153"/>
                <w:tab w:val="right" w:pos="8306"/>
              </w:tabs>
              <w:jc w:val="center"/>
              <w:rPr>
                <w:b/>
                <w:bCs/>
                <w:sz w:val="18"/>
                <w:szCs w:val="18"/>
              </w:rPr>
            </w:pPr>
            <w:r>
              <w:rPr>
                <w:b/>
                <w:bCs/>
                <w:sz w:val="18"/>
                <w:szCs w:val="18"/>
              </w:rPr>
              <w:t>运用超募资金投资（万元）</w:t>
            </w:r>
          </w:p>
        </w:tc>
      </w:tr>
      <w:tr w:rsidR="00931C24">
        <w:trPr>
          <w:trHeight w:val="340"/>
        </w:trPr>
        <w:tc>
          <w:tcPr>
            <w:tcW w:w="1416" w:type="pct"/>
            <w:tcBorders>
              <w:tl2br w:val="nil"/>
              <w:tr2bl w:val="nil"/>
            </w:tcBorders>
            <w:vAlign w:val="center"/>
          </w:tcPr>
          <w:p w:rsidR="00931C24" w:rsidRDefault="00B65FF0">
            <w:pPr>
              <w:tabs>
                <w:tab w:val="center" w:pos="4153"/>
                <w:tab w:val="right" w:pos="8306"/>
              </w:tabs>
              <w:rPr>
                <w:bCs/>
                <w:sz w:val="18"/>
                <w:szCs w:val="18"/>
              </w:rPr>
            </w:pPr>
            <w:r>
              <w:rPr>
                <w:sz w:val="18"/>
                <w:szCs w:val="18"/>
              </w:rPr>
              <w:t>智慧城市综合解决方案升级项目</w:t>
            </w:r>
          </w:p>
        </w:tc>
        <w:tc>
          <w:tcPr>
            <w:tcW w:w="1202" w:type="pct"/>
            <w:tcBorders>
              <w:tl2br w:val="nil"/>
              <w:tr2bl w:val="nil"/>
            </w:tcBorders>
            <w:vAlign w:val="center"/>
          </w:tcPr>
          <w:p w:rsidR="00931C24" w:rsidRDefault="00B65FF0">
            <w:pPr>
              <w:tabs>
                <w:tab w:val="center" w:pos="4153"/>
                <w:tab w:val="right" w:pos="8306"/>
              </w:tabs>
              <w:jc w:val="right"/>
              <w:rPr>
                <w:bCs/>
                <w:sz w:val="18"/>
                <w:szCs w:val="18"/>
              </w:rPr>
            </w:pPr>
            <w:r>
              <w:rPr>
                <w:sz w:val="18"/>
                <w:szCs w:val="18"/>
              </w:rPr>
              <w:t>12,572.70</w:t>
            </w:r>
          </w:p>
        </w:tc>
        <w:tc>
          <w:tcPr>
            <w:tcW w:w="1381" w:type="pct"/>
            <w:tcBorders>
              <w:tl2br w:val="nil"/>
              <w:tr2bl w:val="nil"/>
            </w:tcBorders>
            <w:vAlign w:val="center"/>
          </w:tcPr>
          <w:p w:rsidR="00931C24" w:rsidRDefault="00B65FF0">
            <w:pPr>
              <w:tabs>
                <w:tab w:val="center" w:pos="4153"/>
                <w:tab w:val="right" w:pos="8306"/>
              </w:tabs>
              <w:jc w:val="right"/>
              <w:rPr>
                <w:bCs/>
                <w:sz w:val="18"/>
                <w:szCs w:val="18"/>
              </w:rPr>
            </w:pPr>
            <w:r>
              <w:rPr>
                <w:sz w:val="18"/>
                <w:szCs w:val="18"/>
              </w:rPr>
              <w:t>12,572.70</w:t>
            </w:r>
          </w:p>
        </w:tc>
        <w:tc>
          <w:tcPr>
            <w:tcW w:w="1001" w:type="pct"/>
            <w:tcBorders>
              <w:tl2br w:val="nil"/>
              <w:tr2bl w:val="nil"/>
            </w:tcBorders>
            <w:vAlign w:val="center"/>
          </w:tcPr>
          <w:p w:rsidR="00931C24" w:rsidRDefault="00B65FF0">
            <w:pPr>
              <w:tabs>
                <w:tab w:val="center" w:pos="4153"/>
                <w:tab w:val="right" w:pos="8306"/>
              </w:tabs>
              <w:jc w:val="right"/>
              <w:rPr>
                <w:sz w:val="18"/>
                <w:szCs w:val="18"/>
              </w:rPr>
            </w:pPr>
            <w:r>
              <w:rPr>
                <w:sz w:val="18"/>
                <w:szCs w:val="18"/>
              </w:rPr>
              <w:t>-</w:t>
            </w:r>
          </w:p>
        </w:tc>
      </w:tr>
      <w:tr w:rsidR="00931C24">
        <w:trPr>
          <w:trHeight w:val="340"/>
        </w:trPr>
        <w:tc>
          <w:tcPr>
            <w:tcW w:w="1416" w:type="pct"/>
            <w:tcBorders>
              <w:tl2br w:val="nil"/>
              <w:tr2bl w:val="nil"/>
            </w:tcBorders>
            <w:vAlign w:val="center"/>
          </w:tcPr>
          <w:p w:rsidR="00931C24" w:rsidRDefault="00B65FF0">
            <w:pPr>
              <w:tabs>
                <w:tab w:val="center" w:pos="4153"/>
                <w:tab w:val="right" w:pos="8306"/>
              </w:tabs>
              <w:rPr>
                <w:bCs/>
                <w:sz w:val="18"/>
                <w:szCs w:val="18"/>
              </w:rPr>
            </w:pPr>
            <w:r>
              <w:rPr>
                <w:color w:val="000000"/>
                <w:kern w:val="0"/>
                <w:sz w:val="18"/>
                <w:szCs w:val="18"/>
              </w:rPr>
              <w:t>深圳综合运营中心项目</w:t>
            </w:r>
          </w:p>
        </w:tc>
        <w:tc>
          <w:tcPr>
            <w:tcW w:w="1202" w:type="pct"/>
            <w:tcBorders>
              <w:tl2br w:val="nil"/>
              <w:tr2bl w:val="nil"/>
            </w:tcBorders>
            <w:vAlign w:val="center"/>
          </w:tcPr>
          <w:p w:rsidR="00931C24" w:rsidRDefault="00B65FF0">
            <w:pPr>
              <w:tabs>
                <w:tab w:val="center" w:pos="4153"/>
                <w:tab w:val="right" w:pos="8306"/>
              </w:tabs>
              <w:jc w:val="right"/>
              <w:rPr>
                <w:bCs/>
                <w:sz w:val="18"/>
                <w:szCs w:val="18"/>
              </w:rPr>
            </w:pPr>
            <w:r>
              <w:rPr>
                <w:bCs/>
                <w:sz w:val="18"/>
                <w:szCs w:val="18"/>
              </w:rPr>
              <w:t>9,</w:t>
            </w:r>
            <w:r>
              <w:rPr>
                <w:rFonts w:hint="eastAsia"/>
                <w:bCs/>
                <w:sz w:val="18"/>
                <w:szCs w:val="18"/>
              </w:rPr>
              <w:t>9</w:t>
            </w:r>
            <w:r>
              <w:rPr>
                <w:bCs/>
                <w:sz w:val="18"/>
                <w:szCs w:val="18"/>
              </w:rPr>
              <w:t>56.36</w:t>
            </w:r>
          </w:p>
        </w:tc>
        <w:tc>
          <w:tcPr>
            <w:tcW w:w="1381" w:type="pct"/>
            <w:tcBorders>
              <w:tl2br w:val="nil"/>
              <w:tr2bl w:val="nil"/>
            </w:tcBorders>
            <w:vAlign w:val="center"/>
          </w:tcPr>
          <w:p w:rsidR="00931C24" w:rsidRDefault="00B65FF0">
            <w:pPr>
              <w:tabs>
                <w:tab w:val="center" w:pos="4153"/>
                <w:tab w:val="right" w:pos="8306"/>
              </w:tabs>
              <w:jc w:val="right"/>
              <w:rPr>
                <w:bCs/>
                <w:sz w:val="18"/>
                <w:szCs w:val="18"/>
              </w:rPr>
            </w:pPr>
            <w:r>
              <w:rPr>
                <w:sz w:val="18"/>
                <w:szCs w:val="18"/>
              </w:rPr>
              <w:t>5,569.67</w:t>
            </w:r>
          </w:p>
        </w:tc>
        <w:tc>
          <w:tcPr>
            <w:tcW w:w="1001" w:type="pct"/>
            <w:tcBorders>
              <w:tl2br w:val="nil"/>
              <w:tr2bl w:val="nil"/>
            </w:tcBorders>
            <w:vAlign w:val="center"/>
          </w:tcPr>
          <w:p w:rsidR="00931C24" w:rsidRDefault="00B65FF0">
            <w:pPr>
              <w:tabs>
                <w:tab w:val="center" w:pos="4153"/>
                <w:tab w:val="right" w:pos="8306"/>
              </w:tabs>
              <w:jc w:val="right"/>
              <w:rPr>
                <w:sz w:val="18"/>
                <w:szCs w:val="18"/>
              </w:rPr>
            </w:pPr>
            <w:r>
              <w:rPr>
                <w:sz w:val="18"/>
                <w:szCs w:val="18"/>
              </w:rPr>
              <w:t>4,186.69</w:t>
            </w:r>
          </w:p>
        </w:tc>
      </w:tr>
      <w:tr w:rsidR="00931C24">
        <w:trPr>
          <w:trHeight w:val="340"/>
        </w:trPr>
        <w:tc>
          <w:tcPr>
            <w:tcW w:w="1416" w:type="pct"/>
            <w:tcBorders>
              <w:tl2br w:val="nil"/>
              <w:tr2bl w:val="nil"/>
            </w:tcBorders>
            <w:vAlign w:val="center"/>
          </w:tcPr>
          <w:p w:rsidR="00931C24" w:rsidRDefault="00B65FF0">
            <w:pPr>
              <w:tabs>
                <w:tab w:val="center" w:pos="4153"/>
                <w:tab w:val="right" w:pos="8306"/>
              </w:tabs>
              <w:rPr>
                <w:bCs/>
                <w:sz w:val="18"/>
                <w:szCs w:val="18"/>
              </w:rPr>
            </w:pPr>
            <w:r>
              <w:rPr>
                <w:sz w:val="18"/>
                <w:szCs w:val="18"/>
              </w:rPr>
              <w:t>募集资金补充流动资金</w:t>
            </w:r>
          </w:p>
        </w:tc>
        <w:tc>
          <w:tcPr>
            <w:tcW w:w="1202" w:type="pct"/>
            <w:tcBorders>
              <w:tl2br w:val="nil"/>
              <w:tr2bl w:val="nil"/>
            </w:tcBorders>
            <w:vAlign w:val="center"/>
          </w:tcPr>
          <w:p w:rsidR="00931C24" w:rsidRDefault="00B65FF0">
            <w:pPr>
              <w:tabs>
                <w:tab w:val="center" w:pos="4153"/>
                <w:tab w:val="right" w:pos="8306"/>
              </w:tabs>
              <w:jc w:val="right"/>
              <w:rPr>
                <w:bCs/>
                <w:sz w:val="18"/>
                <w:szCs w:val="18"/>
              </w:rPr>
            </w:pPr>
            <w:r>
              <w:rPr>
                <w:sz w:val="18"/>
                <w:szCs w:val="18"/>
              </w:rPr>
              <w:t>10,000.00</w:t>
            </w:r>
          </w:p>
        </w:tc>
        <w:tc>
          <w:tcPr>
            <w:tcW w:w="1381" w:type="pct"/>
            <w:tcBorders>
              <w:tl2br w:val="nil"/>
              <w:tr2bl w:val="nil"/>
            </w:tcBorders>
            <w:vAlign w:val="center"/>
          </w:tcPr>
          <w:p w:rsidR="00931C24" w:rsidRDefault="00B65FF0">
            <w:pPr>
              <w:tabs>
                <w:tab w:val="center" w:pos="4153"/>
                <w:tab w:val="right" w:pos="8306"/>
              </w:tabs>
              <w:jc w:val="right"/>
              <w:rPr>
                <w:bCs/>
                <w:sz w:val="18"/>
                <w:szCs w:val="18"/>
              </w:rPr>
            </w:pPr>
            <w:r>
              <w:rPr>
                <w:sz w:val="18"/>
                <w:szCs w:val="18"/>
              </w:rPr>
              <w:t>10,000.00</w:t>
            </w:r>
          </w:p>
        </w:tc>
        <w:tc>
          <w:tcPr>
            <w:tcW w:w="1001" w:type="pct"/>
            <w:tcBorders>
              <w:tl2br w:val="nil"/>
              <w:tr2bl w:val="nil"/>
            </w:tcBorders>
            <w:vAlign w:val="center"/>
          </w:tcPr>
          <w:p w:rsidR="00931C24" w:rsidRDefault="00931C24">
            <w:pPr>
              <w:tabs>
                <w:tab w:val="center" w:pos="4153"/>
                <w:tab w:val="right" w:pos="8306"/>
              </w:tabs>
              <w:jc w:val="right"/>
              <w:rPr>
                <w:sz w:val="18"/>
                <w:szCs w:val="18"/>
              </w:rPr>
            </w:pPr>
          </w:p>
        </w:tc>
      </w:tr>
      <w:tr w:rsidR="00931C24">
        <w:trPr>
          <w:trHeight w:val="340"/>
        </w:trPr>
        <w:tc>
          <w:tcPr>
            <w:tcW w:w="1416" w:type="pct"/>
            <w:tcBorders>
              <w:tl2br w:val="nil"/>
              <w:tr2bl w:val="nil"/>
            </w:tcBorders>
            <w:vAlign w:val="center"/>
          </w:tcPr>
          <w:p w:rsidR="00931C24" w:rsidRDefault="00B65FF0">
            <w:pPr>
              <w:tabs>
                <w:tab w:val="center" w:pos="4153"/>
                <w:tab w:val="right" w:pos="8306"/>
              </w:tabs>
              <w:rPr>
                <w:b/>
                <w:bCs/>
                <w:sz w:val="18"/>
                <w:szCs w:val="18"/>
              </w:rPr>
            </w:pPr>
            <w:r>
              <w:rPr>
                <w:b/>
                <w:bCs/>
                <w:sz w:val="18"/>
                <w:szCs w:val="18"/>
              </w:rPr>
              <w:t>合计</w:t>
            </w:r>
          </w:p>
        </w:tc>
        <w:tc>
          <w:tcPr>
            <w:tcW w:w="1202" w:type="pct"/>
            <w:tcBorders>
              <w:tl2br w:val="nil"/>
              <w:tr2bl w:val="nil"/>
            </w:tcBorders>
            <w:vAlign w:val="center"/>
          </w:tcPr>
          <w:p w:rsidR="00931C24" w:rsidRDefault="00B65FF0">
            <w:pPr>
              <w:tabs>
                <w:tab w:val="center" w:pos="4153"/>
                <w:tab w:val="right" w:pos="8306"/>
              </w:tabs>
              <w:jc w:val="right"/>
              <w:rPr>
                <w:b/>
                <w:bCs/>
                <w:sz w:val="18"/>
                <w:szCs w:val="18"/>
              </w:rPr>
            </w:pPr>
            <w:r>
              <w:rPr>
                <w:b/>
                <w:bCs/>
                <w:sz w:val="18"/>
                <w:szCs w:val="18"/>
              </w:rPr>
              <w:t>32,</w:t>
            </w:r>
            <w:r>
              <w:rPr>
                <w:rFonts w:hint="eastAsia"/>
                <w:b/>
                <w:bCs/>
                <w:sz w:val="18"/>
                <w:szCs w:val="18"/>
              </w:rPr>
              <w:t>5</w:t>
            </w:r>
            <w:r>
              <w:rPr>
                <w:b/>
                <w:bCs/>
                <w:sz w:val="18"/>
                <w:szCs w:val="18"/>
              </w:rPr>
              <w:t>29.06</w:t>
            </w:r>
          </w:p>
        </w:tc>
        <w:tc>
          <w:tcPr>
            <w:tcW w:w="1381" w:type="pct"/>
            <w:tcBorders>
              <w:tl2br w:val="nil"/>
              <w:tr2bl w:val="nil"/>
            </w:tcBorders>
            <w:vAlign w:val="center"/>
          </w:tcPr>
          <w:p w:rsidR="00931C24" w:rsidRDefault="00B65FF0">
            <w:pPr>
              <w:tabs>
                <w:tab w:val="center" w:pos="4153"/>
                <w:tab w:val="right" w:pos="8306"/>
              </w:tabs>
              <w:jc w:val="right"/>
              <w:rPr>
                <w:b/>
                <w:bCs/>
                <w:sz w:val="18"/>
                <w:szCs w:val="18"/>
              </w:rPr>
            </w:pPr>
            <w:r>
              <w:rPr>
                <w:b/>
                <w:bCs/>
                <w:sz w:val="18"/>
                <w:szCs w:val="18"/>
              </w:rPr>
              <w:t>28,142.37</w:t>
            </w:r>
          </w:p>
        </w:tc>
        <w:tc>
          <w:tcPr>
            <w:tcW w:w="1001" w:type="pct"/>
            <w:tcBorders>
              <w:tl2br w:val="nil"/>
              <w:tr2bl w:val="nil"/>
            </w:tcBorders>
            <w:vAlign w:val="center"/>
          </w:tcPr>
          <w:p w:rsidR="00931C24" w:rsidRDefault="00B65FF0">
            <w:pPr>
              <w:tabs>
                <w:tab w:val="center" w:pos="4153"/>
                <w:tab w:val="right" w:pos="8306"/>
              </w:tabs>
              <w:jc w:val="right"/>
              <w:rPr>
                <w:b/>
                <w:bCs/>
                <w:sz w:val="18"/>
                <w:szCs w:val="18"/>
              </w:rPr>
            </w:pPr>
            <w:r>
              <w:rPr>
                <w:b/>
                <w:bCs/>
                <w:sz w:val="18"/>
                <w:szCs w:val="18"/>
              </w:rPr>
              <w:t>-</w:t>
            </w:r>
          </w:p>
        </w:tc>
      </w:tr>
    </w:tbl>
    <w:p w:rsidR="00931C24" w:rsidRDefault="00B65FF0" w:rsidP="00B65FF0">
      <w:pPr>
        <w:spacing w:beforeLines="50" w:before="156" w:line="360" w:lineRule="auto"/>
        <w:ind w:firstLineChars="200" w:firstLine="480"/>
        <w:rPr>
          <w:sz w:val="24"/>
          <w:szCs w:val="24"/>
        </w:rPr>
      </w:pPr>
      <w:r>
        <w:rPr>
          <w:sz w:val="24"/>
          <w:szCs w:val="24"/>
        </w:rPr>
        <w:t>公司及子公司互联精英对募集资金进行了专户存储，并与保荐机构、募集资金存放银行签订了《募集资金三方监管协议》《募集资金四方监管协议》。</w:t>
      </w:r>
    </w:p>
    <w:p w:rsidR="00931C24" w:rsidRDefault="00B65FF0" w:rsidP="00B65FF0">
      <w:pPr>
        <w:spacing w:beforeLines="50" w:before="156" w:line="360" w:lineRule="auto"/>
        <w:ind w:firstLineChars="200" w:firstLine="480"/>
        <w:rPr>
          <w:sz w:val="24"/>
          <w:szCs w:val="24"/>
        </w:rPr>
      </w:pPr>
      <w:r>
        <w:rPr>
          <w:sz w:val="24"/>
          <w:szCs w:val="24"/>
        </w:rPr>
        <w:t>（二）超募资金使用情况</w:t>
      </w:r>
    </w:p>
    <w:p w:rsidR="00931C24" w:rsidRDefault="00B65FF0" w:rsidP="00B65FF0">
      <w:pPr>
        <w:spacing w:beforeLines="50" w:before="156" w:line="360" w:lineRule="auto"/>
        <w:ind w:firstLineChars="200" w:firstLine="480"/>
        <w:rPr>
          <w:sz w:val="24"/>
          <w:szCs w:val="24"/>
        </w:rPr>
      </w:pPr>
      <w:r>
        <w:rPr>
          <w:sz w:val="24"/>
          <w:szCs w:val="24"/>
        </w:rPr>
        <w:t>公司于</w:t>
      </w:r>
      <w:r>
        <w:rPr>
          <w:sz w:val="24"/>
          <w:szCs w:val="24"/>
        </w:rPr>
        <w:t>2022</w:t>
      </w:r>
      <w:r>
        <w:rPr>
          <w:sz w:val="24"/>
          <w:szCs w:val="24"/>
        </w:rPr>
        <w:t>年</w:t>
      </w:r>
      <w:r>
        <w:rPr>
          <w:sz w:val="24"/>
          <w:szCs w:val="24"/>
        </w:rPr>
        <w:t>8</w:t>
      </w:r>
      <w:r>
        <w:rPr>
          <w:sz w:val="24"/>
          <w:szCs w:val="24"/>
        </w:rPr>
        <w:t>月</w:t>
      </w:r>
      <w:r>
        <w:rPr>
          <w:sz w:val="24"/>
          <w:szCs w:val="24"/>
        </w:rPr>
        <w:t>2</w:t>
      </w:r>
      <w:r>
        <w:rPr>
          <w:sz w:val="24"/>
          <w:szCs w:val="24"/>
        </w:rPr>
        <w:t>日召开了第三届董事会第五次会议和第三届监事会第四次会议，并于</w:t>
      </w:r>
      <w:r>
        <w:rPr>
          <w:sz w:val="24"/>
          <w:szCs w:val="24"/>
        </w:rPr>
        <w:t>2022</w:t>
      </w:r>
      <w:r>
        <w:rPr>
          <w:sz w:val="24"/>
          <w:szCs w:val="24"/>
        </w:rPr>
        <w:t>年</w:t>
      </w:r>
      <w:r>
        <w:rPr>
          <w:sz w:val="24"/>
          <w:szCs w:val="24"/>
        </w:rPr>
        <w:t>8</w:t>
      </w:r>
      <w:r>
        <w:rPr>
          <w:sz w:val="24"/>
          <w:szCs w:val="24"/>
        </w:rPr>
        <w:t>月</w:t>
      </w:r>
      <w:r>
        <w:rPr>
          <w:sz w:val="24"/>
          <w:szCs w:val="24"/>
        </w:rPr>
        <w:t>19</w:t>
      </w:r>
      <w:r>
        <w:rPr>
          <w:sz w:val="24"/>
          <w:szCs w:val="24"/>
        </w:rPr>
        <w:t>日召开</w:t>
      </w:r>
      <w:r>
        <w:rPr>
          <w:sz w:val="24"/>
          <w:szCs w:val="24"/>
        </w:rPr>
        <w:t>2022</w:t>
      </w:r>
      <w:r>
        <w:rPr>
          <w:sz w:val="24"/>
          <w:szCs w:val="24"/>
        </w:rPr>
        <w:t>年第三次临时股东大会，审议通过了《关于使用部分超募资金永久补充流动资金的议案》，同意公司使用不超过</w:t>
      </w:r>
      <w:r>
        <w:rPr>
          <w:sz w:val="24"/>
          <w:szCs w:val="24"/>
        </w:rPr>
        <w:t>6,500</w:t>
      </w:r>
      <w:r>
        <w:rPr>
          <w:sz w:val="24"/>
          <w:szCs w:val="24"/>
        </w:rPr>
        <w:t>万元的超募资金永久性补充流动资金，占超募资金总额的</w:t>
      </w:r>
      <w:r>
        <w:rPr>
          <w:sz w:val="24"/>
          <w:szCs w:val="24"/>
        </w:rPr>
        <w:t>28.15%</w:t>
      </w:r>
      <w:r>
        <w:rPr>
          <w:sz w:val="24"/>
          <w:szCs w:val="24"/>
        </w:rPr>
        <w:t>，用于主营业务相关的生产经营活动。公司独立董事、监事会及保荐机构就该事项发表同</w:t>
      </w:r>
      <w:r>
        <w:rPr>
          <w:sz w:val="24"/>
          <w:szCs w:val="24"/>
        </w:rPr>
        <w:lastRenderedPageBreak/>
        <w:t>意意见。公司于</w:t>
      </w:r>
      <w:r>
        <w:rPr>
          <w:sz w:val="24"/>
          <w:szCs w:val="24"/>
        </w:rPr>
        <w:t>2022</w:t>
      </w:r>
      <w:r>
        <w:rPr>
          <w:sz w:val="24"/>
          <w:szCs w:val="24"/>
        </w:rPr>
        <w:t>年</w:t>
      </w:r>
      <w:r>
        <w:rPr>
          <w:sz w:val="24"/>
          <w:szCs w:val="24"/>
        </w:rPr>
        <w:t>8</w:t>
      </w:r>
      <w:r>
        <w:rPr>
          <w:sz w:val="24"/>
          <w:szCs w:val="24"/>
        </w:rPr>
        <w:t>月</w:t>
      </w:r>
      <w:r>
        <w:rPr>
          <w:sz w:val="24"/>
          <w:szCs w:val="24"/>
        </w:rPr>
        <w:t>24</w:t>
      </w:r>
      <w:r>
        <w:rPr>
          <w:sz w:val="24"/>
          <w:szCs w:val="24"/>
        </w:rPr>
        <w:t>日完成</w:t>
      </w:r>
      <w:r>
        <w:rPr>
          <w:sz w:val="24"/>
          <w:szCs w:val="24"/>
        </w:rPr>
        <w:t>6,500.00</w:t>
      </w:r>
      <w:r>
        <w:rPr>
          <w:sz w:val="24"/>
          <w:szCs w:val="24"/>
        </w:rPr>
        <w:t>万元超募资金永久性补充流动资金的资金划转。</w:t>
      </w:r>
    </w:p>
    <w:p w:rsidR="00931C24" w:rsidRDefault="00B65FF0" w:rsidP="00B65FF0">
      <w:pPr>
        <w:spacing w:beforeLines="50" w:before="156" w:line="360" w:lineRule="auto"/>
        <w:ind w:firstLineChars="200" w:firstLine="480"/>
        <w:rPr>
          <w:sz w:val="24"/>
          <w:szCs w:val="24"/>
        </w:rPr>
      </w:pPr>
      <w:r>
        <w:rPr>
          <w:sz w:val="24"/>
          <w:szCs w:val="24"/>
        </w:rPr>
        <w:t>截至本</w:t>
      </w:r>
      <w:r>
        <w:rPr>
          <w:rFonts w:hint="eastAsia"/>
          <w:sz w:val="24"/>
          <w:szCs w:val="24"/>
        </w:rPr>
        <w:t>核查意见出具日</w:t>
      </w:r>
      <w:r>
        <w:rPr>
          <w:sz w:val="24"/>
          <w:szCs w:val="24"/>
        </w:rPr>
        <w:t>，公司超募资金余额为</w:t>
      </w:r>
      <w:r>
        <w:rPr>
          <w:sz w:val="24"/>
          <w:szCs w:val="24"/>
        </w:rPr>
        <w:t>14,106</w:t>
      </w:r>
      <w:r>
        <w:rPr>
          <w:sz w:val="24"/>
          <w:szCs w:val="24"/>
        </w:rPr>
        <w:t>.06</w:t>
      </w:r>
      <w:r>
        <w:rPr>
          <w:sz w:val="24"/>
          <w:szCs w:val="24"/>
        </w:rPr>
        <w:t>万元，其中超募资金</w:t>
      </w:r>
      <w:r>
        <w:rPr>
          <w:sz w:val="24"/>
          <w:szCs w:val="24"/>
        </w:rPr>
        <w:t>12,403.23</w:t>
      </w:r>
      <w:r>
        <w:rPr>
          <w:sz w:val="24"/>
          <w:szCs w:val="24"/>
        </w:rPr>
        <w:t>万元，</w:t>
      </w:r>
      <w:r>
        <w:rPr>
          <w:rFonts w:hint="eastAsia"/>
          <w:sz w:val="24"/>
          <w:szCs w:val="24"/>
        </w:rPr>
        <w:t>其</w:t>
      </w:r>
      <w:r>
        <w:rPr>
          <w:sz w:val="24"/>
          <w:szCs w:val="24"/>
        </w:rPr>
        <w:t>利息、现金管理收益等收入合计为</w:t>
      </w:r>
      <w:r>
        <w:rPr>
          <w:sz w:val="24"/>
          <w:szCs w:val="24"/>
        </w:rPr>
        <w:t>1,330.94</w:t>
      </w:r>
      <w:r>
        <w:rPr>
          <w:sz w:val="24"/>
          <w:szCs w:val="24"/>
        </w:rPr>
        <w:t>万元；近十二个月内累计使用超募资金永久补充流动资金和归还银行贷款的金额为</w:t>
      </w:r>
      <w:r>
        <w:rPr>
          <w:sz w:val="24"/>
          <w:szCs w:val="24"/>
        </w:rPr>
        <w:t>0</w:t>
      </w:r>
      <w:r>
        <w:rPr>
          <w:sz w:val="24"/>
          <w:szCs w:val="24"/>
        </w:rPr>
        <w:t>元；截至本</w:t>
      </w:r>
      <w:r>
        <w:rPr>
          <w:rFonts w:hint="eastAsia"/>
          <w:sz w:val="24"/>
          <w:szCs w:val="24"/>
        </w:rPr>
        <w:t>核查意见出具</w:t>
      </w:r>
      <w:r>
        <w:rPr>
          <w:sz w:val="24"/>
          <w:szCs w:val="24"/>
        </w:rPr>
        <w:t>日，公司已累计使用超募资金</w:t>
      </w:r>
      <w:r>
        <w:rPr>
          <w:sz w:val="24"/>
          <w:szCs w:val="24"/>
        </w:rPr>
        <w:t>10,686.69</w:t>
      </w:r>
      <w:r>
        <w:rPr>
          <w:sz w:val="24"/>
          <w:szCs w:val="24"/>
        </w:rPr>
        <w:t>万元，其中使用超募资金</w:t>
      </w:r>
      <w:r>
        <w:rPr>
          <w:sz w:val="24"/>
          <w:szCs w:val="24"/>
        </w:rPr>
        <w:t>6,500.00</w:t>
      </w:r>
      <w:r>
        <w:rPr>
          <w:sz w:val="24"/>
          <w:szCs w:val="24"/>
        </w:rPr>
        <w:t>万元永久补充流动资金，使用</w:t>
      </w:r>
      <w:r>
        <w:rPr>
          <w:sz w:val="24"/>
          <w:szCs w:val="24"/>
        </w:rPr>
        <w:t>4,186.69</w:t>
      </w:r>
      <w:r>
        <w:rPr>
          <w:sz w:val="24"/>
          <w:szCs w:val="24"/>
        </w:rPr>
        <w:t>万元用于</w:t>
      </w:r>
      <w:r>
        <w:rPr>
          <w:sz w:val="24"/>
          <w:szCs w:val="24"/>
        </w:rPr>
        <w:t>“</w:t>
      </w:r>
      <w:r>
        <w:rPr>
          <w:sz w:val="24"/>
          <w:szCs w:val="24"/>
        </w:rPr>
        <w:t>深圳综合运营中心项目</w:t>
      </w:r>
      <w:r>
        <w:rPr>
          <w:sz w:val="24"/>
          <w:szCs w:val="24"/>
        </w:rPr>
        <w:t>”</w:t>
      </w:r>
      <w:r>
        <w:rPr>
          <w:sz w:val="24"/>
          <w:szCs w:val="24"/>
        </w:rPr>
        <w:t>投资建设。</w:t>
      </w:r>
    </w:p>
    <w:p w:rsidR="00931C24" w:rsidRDefault="00B65FF0" w:rsidP="00B65FF0">
      <w:pPr>
        <w:spacing w:beforeLines="50" w:before="156" w:line="360" w:lineRule="auto"/>
        <w:ind w:firstLineChars="200" w:firstLine="480"/>
        <w:rPr>
          <w:sz w:val="24"/>
          <w:szCs w:val="24"/>
        </w:rPr>
      </w:pPr>
      <w:r>
        <w:rPr>
          <w:sz w:val="24"/>
          <w:szCs w:val="24"/>
        </w:rPr>
        <w:t>除公司公告中披露的计划使用部分超募资金永久性补充流动资金外，剩余超募资金尚未确定投向。</w:t>
      </w:r>
    </w:p>
    <w:p w:rsidR="00931C24" w:rsidRDefault="00B65FF0" w:rsidP="00B65FF0">
      <w:pPr>
        <w:spacing w:beforeLines="50" w:before="156" w:line="360" w:lineRule="auto"/>
        <w:rPr>
          <w:b/>
          <w:bCs/>
          <w:sz w:val="28"/>
          <w:szCs w:val="28"/>
        </w:rPr>
      </w:pPr>
      <w:r>
        <w:rPr>
          <w:b/>
          <w:bCs/>
          <w:sz w:val="28"/>
          <w:szCs w:val="28"/>
        </w:rPr>
        <w:t>三、本次使用超募资金永久补充流动资金的计划</w:t>
      </w:r>
    </w:p>
    <w:p w:rsidR="00931C24" w:rsidRDefault="00B65FF0" w:rsidP="00B65FF0">
      <w:pPr>
        <w:spacing w:beforeLines="50" w:before="156" w:line="360" w:lineRule="auto"/>
        <w:ind w:firstLineChars="200" w:firstLine="480"/>
        <w:rPr>
          <w:sz w:val="24"/>
          <w:szCs w:val="24"/>
        </w:rPr>
      </w:pPr>
      <w:r>
        <w:rPr>
          <w:sz w:val="24"/>
          <w:szCs w:val="24"/>
        </w:rPr>
        <w:t>为提高超募资金使用效率，结合公司发展需要，遵循股东利益最大化的原则，在保证募集资金投资项目资金需求的情况下，根据《上市公司监管指引第</w:t>
      </w:r>
      <w:r>
        <w:rPr>
          <w:sz w:val="24"/>
          <w:szCs w:val="24"/>
        </w:rPr>
        <w:t>2</w:t>
      </w:r>
      <w:r>
        <w:rPr>
          <w:sz w:val="24"/>
          <w:szCs w:val="24"/>
        </w:rPr>
        <w:t>号</w:t>
      </w:r>
      <w:r>
        <w:rPr>
          <w:sz w:val="24"/>
          <w:szCs w:val="24"/>
        </w:rPr>
        <w:t>——</w:t>
      </w:r>
      <w:r>
        <w:rPr>
          <w:sz w:val="24"/>
          <w:szCs w:val="24"/>
        </w:rPr>
        <w:t>上市公司募集资金管理和使用的监管要求》及《深圳证券交易所上市公司自律监管指引第</w:t>
      </w:r>
      <w:r>
        <w:rPr>
          <w:sz w:val="24"/>
          <w:szCs w:val="24"/>
        </w:rPr>
        <w:t>2</w:t>
      </w:r>
      <w:r>
        <w:rPr>
          <w:sz w:val="24"/>
          <w:szCs w:val="24"/>
        </w:rPr>
        <w:t>号</w:t>
      </w:r>
      <w:r>
        <w:rPr>
          <w:sz w:val="24"/>
          <w:szCs w:val="24"/>
        </w:rPr>
        <w:t>——</w:t>
      </w:r>
      <w:r>
        <w:rPr>
          <w:sz w:val="24"/>
          <w:szCs w:val="24"/>
        </w:rPr>
        <w:t>创业板上市公司规范运作》等相关规定，公司拟使用不超过</w:t>
      </w:r>
      <w:r>
        <w:rPr>
          <w:sz w:val="24"/>
          <w:szCs w:val="24"/>
        </w:rPr>
        <w:t>6,800</w:t>
      </w:r>
      <w:r>
        <w:rPr>
          <w:sz w:val="24"/>
          <w:szCs w:val="24"/>
        </w:rPr>
        <w:t>万元的超募资金永久补充流动资金，占超募资金总额的</w:t>
      </w:r>
      <w:r>
        <w:rPr>
          <w:sz w:val="24"/>
          <w:szCs w:val="24"/>
        </w:rPr>
        <w:t>29.45%</w:t>
      </w:r>
      <w:r>
        <w:rPr>
          <w:sz w:val="24"/>
          <w:szCs w:val="24"/>
        </w:rPr>
        <w:t>，用于主营业务相关的生产经营活动。公司最近</w:t>
      </w:r>
      <w:r>
        <w:rPr>
          <w:sz w:val="24"/>
          <w:szCs w:val="24"/>
        </w:rPr>
        <w:t>12</w:t>
      </w:r>
      <w:r>
        <w:rPr>
          <w:sz w:val="24"/>
          <w:szCs w:val="24"/>
        </w:rPr>
        <w:t>个月内累计使用超募资金永久补充流动资金的金额未超过超募资金总额的</w:t>
      </w:r>
      <w:r>
        <w:rPr>
          <w:sz w:val="24"/>
          <w:szCs w:val="24"/>
        </w:rPr>
        <w:t>30%</w:t>
      </w:r>
      <w:r>
        <w:rPr>
          <w:sz w:val="24"/>
          <w:szCs w:val="24"/>
        </w:rPr>
        <w:t>，符合中国证券监督管理委员会、深圳证券交易所关于</w:t>
      </w:r>
      <w:r>
        <w:rPr>
          <w:sz w:val="24"/>
          <w:szCs w:val="24"/>
        </w:rPr>
        <w:t>上市公司募集资金使用的有关规定。</w:t>
      </w:r>
    </w:p>
    <w:p w:rsidR="00931C24" w:rsidRDefault="00B65FF0" w:rsidP="00B65FF0">
      <w:pPr>
        <w:spacing w:beforeLines="50" w:before="156" w:line="360" w:lineRule="auto"/>
        <w:rPr>
          <w:b/>
          <w:bCs/>
          <w:sz w:val="28"/>
          <w:szCs w:val="28"/>
        </w:rPr>
      </w:pPr>
      <w:r>
        <w:rPr>
          <w:b/>
          <w:bCs/>
          <w:sz w:val="28"/>
          <w:szCs w:val="28"/>
        </w:rPr>
        <w:t>四、公司关于本次超募资金使用计划的相关说明和承诺</w:t>
      </w:r>
    </w:p>
    <w:p w:rsidR="00931C24" w:rsidRDefault="00B65FF0" w:rsidP="00B65FF0">
      <w:pPr>
        <w:spacing w:beforeLines="50" w:before="156" w:line="360" w:lineRule="auto"/>
        <w:ind w:firstLineChars="200" w:firstLine="480"/>
        <w:rPr>
          <w:sz w:val="24"/>
          <w:szCs w:val="24"/>
        </w:rPr>
      </w:pPr>
      <w:r>
        <w:rPr>
          <w:sz w:val="24"/>
          <w:szCs w:val="24"/>
        </w:rPr>
        <w:t>本次使用部分超募资金永久性补充流动资金将用于主营业务相关的生产经营活动，不会与募集资金投资项目实施计划相抵触，不存在变相改变募集资金投向和损害股东利益的情况。</w:t>
      </w:r>
    </w:p>
    <w:p w:rsidR="00931C24" w:rsidRDefault="00B65FF0" w:rsidP="00B65FF0">
      <w:pPr>
        <w:spacing w:beforeLines="50" w:before="156" w:line="360" w:lineRule="auto"/>
        <w:ind w:firstLineChars="200" w:firstLine="480"/>
        <w:rPr>
          <w:sz w:val="24"/>
          <w:szCs w:val="24"/>
        </w:rPr>
      </w:pPr>
      <w:r>
        <w:rPr>
          <w:sz w:val="24"/>
          <w:szCs w:val="24"/>
        </w:rPr>
        <w:t>公司承诺：公司使用部分超募资金用于永久补充流动资金的金额，每十二个月内累计不超过超募资金总额的</w:t>
      </w:r>
      <w:r>
        <w:rPr>
          <w:sz w:val="24"/>
          <w:szCs w:val="24"/>
        </w:rPr>
        <w:t>30%</w:t>
      </w:r>
      <w:r>
        <w:rPr>
          <w:sz w:val="24"/>
          <w:szCs w:val="24"/>
        </w:rPr>
        <w:t>；公司在补充流动资金后十二个月内不进行证券投资、衍生品交易等高风险投资及为控股子公司以外的对象提供财务资助。</w:t>
      </w:r>
    </w:p>
    <w:p w:rsidR="00931C24" w:rsidRDefault="00B65FF0" w:rsidP="00B65FF0">
      <w:pPr>
        <w:spacing w:beforeLines="50" w:before="156" w:line="360" w:lineRule="auto"/>
        <w:rPr>
          <w:b/>
          <w:bCs/>
          <w:sz w:val="28"/>
          <w:szCs w:val="28"/>
        </w:rPr>
      </w:pPr>
      <w:r>
        <w:rPr>
          <w:b/>
          <w:bCs/>
          <w:sz w:val="28"/>
          <w:szCs w:val="28"/>
        </w:rPr>
        <w:lastRenderedPageBreak/>
        <w:t>五、公司履行的审议程序和相关意见</w:t>
      </w:r>
    </w:p>
    <w:p w:rsidR="00931C24" w:rsidRDefault="00B65FF0" w:rsidP="00B65FF0">
      <w:pPr>
        <w:spacing w:beforeLines="50" w:before="156" w:line="360" w:lineRule="auto"/>
        <w:ind w:firstLineChars="200" w:firstLine="480"/>
        <w:rPr>
          <w:sz w:val="24"/>
          <w:szCs w:val="24"/>
        </w:rPr>
      </w:pPr>
      <w:r>
        <w:rPr>
          <w:sz w:val="24"/>
          <w:szCs w:val="24"/>
        </w:rPr>
        <w:t>（一）审议程序</w:t>
      </w:r>
    </w:p>
    <w:p w:rsidR="00931C24" w:rsidRDefault="00B65FF0" w:rsidP="00B65FF0">
      <w:pPr>
        <w:spacing w:beforeLines="50" w:before="156" w:line="360" w:lineRule="auto"/>
        <w:ind w:firstLineChars="200" w:firstLine="480"/>
        <w:rPr>
          <w:sz w:val="24"/>
          <w:szCs w:val="24"/>
        </w:rPr>
      </w:pPr>
      <w:r>
        <w:rPr>
          <w:sz w:val="24"/>
          <w:szCs w:val="24"/>
        </w:rPr>
        <w:t>公司于</w:t>
      </w:r>
      <w:r>
        <w:rPr>
          <w:sz w:val="24"/>
          <w:szCs w:val="24"/>
        </w:rPr>
        <w:t>2</w:t>
      </w:r>
      <w:r>
        <w:rPr>
          <w:sz w:val="24"/>
          <w:szCs w:val="24"/>
        </w:rPr>
        <w:t>024</w:t>
      </w:r>
      <w:r>
        <w:rPr>
          <w:sz w:val="24"/>
          <w:szCs w:val="24"/>
        </w:rPr>
        <w:t>年</w:t>
      </w:r>
      <w:r>
        <w:rPr>
          <w:sz w:val="24"/>
          <w:szCs w:val="24"/>
        </w:rPr>
        <w:t>12</w:t>
      </w:r>
      <w:r>
        <w:rPr>
          <w:sz w:val="24"/>
          <w:szCs w:val="24"/>
        </w:rPr>
        <w:t>月</w:t>
      </w:r>
      <w:r>
        <w:rPr>
          <w:sz w:val="24"/>
          <w:szCs w:val="24"/>
        </w:rPr>
        <w:t>11</w:t>
      </w:r>
      <w:r>
        <w:rPr>
          <w:sz w:val="24"/>
          <w:szCs w:val="24"/>
        </w:rPr>
        <w:t>日召开了第三届董事会第二十六次会议和第三届监事会第二十四次会议，审议通过了《关于使用部分超募资金永久补充流动资金的议案》，同意公司使用不超过</w:t>
      </w:r>
      <w:r>
        <w:rPr>
          <w:sz w:val="24"/>
          <w:szCs w:val="24"/>
        </w:rPr>
        <w:t>6,800</w:t>
      </w:r>
      <w:r>
        <w:rPr>
          <w:sz w:val="24"/>
          <w:szCs w:val="24"/>
        </w:rPr>
        <w:t>万元的超募资金永久性补充流动资金，用于主营业务相关的生产经营活动。</w:t>
      </w:r>
    </w:p>
    <w:p w:rsidR="00931C24" w:rsidRDefault="00B65FF0" w:rsidP="00B65FF0">
      <w:pPr>
        <w:spacing w:beforeLines="50" w:before="156" w:line="360" w:lineRule="auto"/>
        <w:ind w:firstLineChars="200" w:firstLine="480"/>
        <w:rPr>
          <w:sz w:val="24"/>
          <w:szCs w:val="24"/>
        </w:rPr>
      </w:pPr>
      <w:r>
        <w:rPr>
          <w:sz w:val="24"/>
          <w:szCs w:val="24"/>
        </w:rPr>
        <w:t>（二）监事会意见</w:t>
      </w:r>
    </w:p>
    <w:p w:rsidR="00931C24" w:rsidRDefault="00B65FF0" w:rsidP="00B65FF0">
      <w:pPr>
        <w:spacing w:beforeLines="50" w:before="156" w:line="360" w:lineRule="auto"/>
        <w:ind w:firstLineChars="200" w:firstLine="480"/>
        <w:rPr>
          <w:sz w:val="24"/>
          <w:szCs w:val="24"/>
        </w:rPr>
      </w:pPr>
      <w:r>
        <w:rPr>
          <w:sz w:val="24"/>
          <w:szCs w:val="24"/>
        </w:rPr>
        <w:t>经核查，监事会认为，本次使用部分超募资金永久补充流动资金有利于满足公司资金流动性需求，提高募集资金的使用效率，不会与募集资金投资项目实施计划相抵触，不影响募集资金投资项目的正常进行，也不存在变相改变募集资金投向和损害股东利益的情形。综上所述，监事会同意该议案</w:t>
      </w:r>
      <w:r>
        <w:rPr>
          <w:sz w:val="24"/>
          <w:szCs w:val="24"/>
        </w:rPr>
        <w:t>并同意将其提交至股东会审议</w:t>
      </w:r>
      <w:r>
        <w:rPr>
          <w:rFonts w:hint="eastAsia"/>
          <w:sz w:val="24"/>
          <w:szCs w:val="24"/>
        </w:rPr>
        <w:t>。</w:t>
      </w:r>
    </w:p>
    <w:p w:rsidR="00931C24" w:rsidRDefault="00B65FF0" w:rsidP="00B65FF0">
      <w:pPr>
        <w:spacing w:beforeLines="50" w:before="156" w:line="360" w:lineRule="auto"/>
        <w:rPr>
          <w:b/>
          <w:bCs/>
          <w:sz w:val="28"/>
          <w:szCs w:val="28"/>
        </w:rPr>
      </w:pPr>
      <w:r>
        <w:rPr>
          <w:rFonts w:hint="eastAsia"/>
          <w:b/>
          <w:bCs/>
          <w:sz w:val="28"/>
          <w:szCs w:val="28"/>
        </w:rPr>
        <w:t>六、</w:t>
      </w:r>
      <w:r>
        <w:rPr>
          <w:b/>
          <w:bCs/>
          <w:sz w:val="28"/>
          <w:szCs w:val="28"/>
        </w:rPr>
        <w:t>保荐机构核查意见</w:t>
      </w:r>
    </w:p>
    <w:p w:rsidR="00931C24" w:rsidRDefault="00B65FF0" w:rsidP="00B65FF0">
      <w:pPr>
        <w:spacing w:beforeLines="50" w:before="156" w:line="360" w:lineRule="auto"/>
        <w:ind w:firstLineChars="200" w:firstLine="480"/>
        <w:rPr>
          <w:sz w:val="24"/>
          <w:szCs w:val="24"/>
        </w:rPr>
      </w:pPr>
      <w:r>
        <w:rPr>
          <w:sz w:val="24"/>
          <w:szCs w:val="24"/>
        </w:rPr>
        <w:t>经核查，保荐机构认为</w:t>
      </w:r>
      <w:r>
        <w:rPr>
          <w:rFonts w:hint="eastAsia"/>
          <w:sz w:val="24"/>
          <w:szCs w:val="24"/>
        </w:rPr>
        <w:t>：</w:t>
      </w:r>
      <w:r>
        <w:rPr>
          <w:sz w:val="24"/>
          <w:szCs w:val="24"/>
        </w:rPr>
        <w:t>天亿马本次使用部分超募资金永久补充流动资金事项，不会与募集资金投资项目实施计划相抵触，不影响募集资金投资项目的正常实施，不存在变相改变募集资金投向和损害股东利益的情形，符合全体股东的利益；本次超募资金使用计划已经过公司董事会、监事会审议通过，尚需提交公司股东会审议，符合相关法律法规及公司《募集资金使用管理办法》对募集资金使用的相关规定。</w:t>
      </w:r>
    </w:p>
    <w:p w:rsidR="00931C24" w:rsidRDefault="00B65FF0" w:rsidP="00B65FF0">
      <w:pPr>
        <w:spacing w:beforeLines="50" w:before="156" w:line="360" w:lineRule="auto"/>
        <w:ind w:firstLineChars="200" w:firstLine="480"/>
        <w:rPr>
          <w:sz w:val="24"/>
          <w:szCs w:val="24"/>
        </w:rPr>
      </w:pPr>
      <w:r>
        <w:rPr>
          <w:rFonts w:hint="eastAsia"/>
          <w:sz w:val="24"/>
          <w:szCs w:val="24"/>
        </w:rPr>
        <w:t>综上，保荐机构对天亿马本次使用部分超募资金永久补充流动资金事项无异议。</w:t>
      </w:r>
    </w:p>
    <w:p w:rsidR="00931C24" w:rsidRDefault="00B65FF0" w:rsidP="00B65FF0">
      <w:pPr>
        <w:spacing w:beforeLines="50" w:before="156" w:line="360" w:lineRule="auto"/>
        <w:ind w:firstLineChars="200" w:firstLine="480"/>
        <w:rPr>
          <w:sz w:val="24"/>
          <w:szCs w:val="24"/>
        </w:rPr>
        <w:sectPr w:rsidR="00931C24">
          <w:pgSz w:w="11906" w:h="16838"/>
          <w:pgMar w:top="1440" w:right="1800" w:bottom="1440" w:left="1800" w:header="851" w:footer="992" w:gutter="0"/>
          <w:cols w:space="425"/>
          <w:docGrid w:type="lines" w:linePitch="312"/>
        </w:sectPr>
      </w:pPr>
      <w:r>
        <w:rPr>
          <w:rFonts w:hint="eastAsia"/>
          <w:sz w:val="24"/>
          <w:szCs w:val="24"/>
        </w:rPr>
        <w:t>（以下无正文）</w:t>
      </w:r>
    </w:p>
    <w:p w:rsidR="00931C24" w:rsidRDefault="00B65FF0" w:rsidP="00B65FF0">
      <w:pPr>
        <w:pStyle w:val="005"/>
        <w:spacing w:before="156"/>
        <w:ind w:firstLineChars="0" w:firstLine="0"/>
      </w:pPr>
      <w:r>
        <w:rPr>
          <w:rFonts w:hint="eastAsia"/>
        </w:rPr>
        <w:lastRenderedPageBreak/>
        <w:t>（本页无正文，为《五矿证券有限公司关于广东天亿马信息产业股份有限公司使用部分超募资金永久补充流动资金的核查意见》之签署页）</w:t>
      </w:r>
    </w:p>
    <w:p w:rsidR="00931C24" w:rsidRDefault="00931C24" w:rsidP="00B65FF0">
      <w:pPr>
        <w:pStyle w:val="005"/>
        <w:spacing w:before="156"/>
        <w:ind w:firstLine="480"/>
      </w:pPr>
    </w:p>
    <w:p w:rsidR="00931C24" w:rsidRDefault="00931C24" w:rsidP="00B65FF0">
      <w:pPr>
        <w:pStyle w:val="005"/>
        <w:spacing w:before="156"/>
        <w:ind w:firstLine="480"/>
        <w:rPr>
          <w:szCs w:val="24"/>
        </w:rPr>
      </w:pPr>
    </w:p>
    <w:p w:rsidR="00931C24" w:rsidRDefault="00931C24" w:rsidP="00B65FF0">
      <w:pPr>
        <w:pStyle w:val="005"/>
        <w:spacing w:before="156"/>
        <w:ind w:firstLineChars="0" w:firstLine="0"/>
        <w:rPr>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5"/>
        <w:gridCol w:w="1718"/>
        <w:gridCol w:w="1597"/>
        <w:gridCol w:w="1719"/>
        <w:gridCol w:w="1643"/>
      </w:tblGrid>
      <w:tr w:rsidR="00931C24">
        <w:tc>
          <w:tcPr>
            <w:tcW w:w="1980" w:type="dxa"/>
          </w:tcPr>
          <w:p w:rsidR="00931C24" w:rsidRDefault="00B65FF0" w:rsidP="00B65FF0">
            <w:pPr>
              <w:spacing w:beforeLines="50" w:before="156" w:line="360" w:lineRule="auto"/>
              <w:jc w:val="center"/>
              <w:rPr>
                <w:sz w:val="24"/>
                <w:szCs w:val="24"/>
                <w:lang w:bidi="ar"/>
              </w:rPr>
            </w:pPr>
            <w:r>
              <w:rPr>
                <w:sz w:val="24"/>
                <w:szCs w:val="24"/>
                <w:lang w:bidi="ar"/>
              </w:rPr>
              <w:t>保荐代表人：</w:t>
            </w:r>
          </w:p>
        </w:tc>
        <w:tc>
          <w:tcPr>
            <w:tcW w:w="1868" w:type="dxa"/>
            <w:tcBorders>
              <w:bottom w:val="single" w:sz="4" w:space="0" w:color="auto"/>
            </w:tcBorders>
          </w:tcPr>
          <w:p w:rsidR="00931C24" w:rsidRDefault="00931C24" w:rsidP="00B65FF0">
            <w:pPr>
              <w:spacing w:beforeLines="50" w:before="156" w:line="360" w:lineRule="auto"/>
              <w:jc w:val="center"/>
              <w:rPr>
                <w:sz w:val="24"/>
                <w:szCs w:val="24"/>
                <w:lang w:bidi="ar"/>
              </w:rPr>
            </w:pPr>
          </w:p>
        </w:tc>
        <w:tc>
          <w:tcPr>
            <w:tcW w:w="1760" w:type="dxa"/>
          </w:tcPr>
          <w:p w:rsidR="00931C24" w:rsidRDefault="00931C24" w:rsidP="00B65FF0">
            <w:pPr>
              <w:spacing w:beforeLines="50" w:before="156" w:line="360" w:lineRule="auto"/>
              <w:jc w:val="center"/>
              <w:rPr>
                <w:sz w:val="24"/>
                <w:szCs w:val="24"/>
                <w:lang w:bidi="ar"/>
              </w:rPr>
            </w:pPr>
          </w:p>
        </w:tc>
        <w:tc>
          <w:tcPr>
            <w:tcW w:w="1869" w:type="dxa"/>
            <w:tcBorders>
              <w:bottom w:val="single" w:sz="4" w:space="0" w:color="auto"/>
            </w:tcBorders>
          </w:tcPr>
          <w:p w:rsidR="00931C24" w:rsidRDefault="00931C24" w:rsidP="00B65FF0">
            <w:pPr>
              <w:spacing w:beforeLines="50" w:before="156" w:line="360" w:lineRule="auto"/>
              <w:jc w:val="center"/>
              <w:rPr>
                <w:sz w:val="24"/>
                <w:szCs w:val="24"/>
                <w:lang w:bidi="ar"/>
              </w:rPr>
            </w:pPr>
          </w:p>
        </w:tc>
        <w:tc>
          <w:tcPr>
            <w:tcW w:w="1812" w:type="dxa"/>
          </w:tcPr>
          <w:p w:rsidR="00931C24" w:rsidRDefault="00931C24" w:rsidP="00B65FF0">
            <w:pPr>
              <w:spacing w:beforeLines="50" w:before="156" w:line="360" w:lineRule="auto"/>
              <w:jc w:val="center"/>
              <w:rPr>
                <w:sz w:val="24"/>
                <w:szCs w:val="24"/>
                <w:lang w:bidi="ar"/>
              </w:rPr>
            </w:pPr>
          </w:p>
        </w:tc>
      </w:tr>
      <w:tr w:rsidR="00931C24">
        <w:tc>
          <w:tcPr>
            <w:tcW w:w="1980" w:type="dxa"/>
          </w:tcPr>
          <w:p w:rsidR="00931C24" w:rsidRDefault="00931C24" w:rsidP="00B65FF0">
            <w:pPr>
              <w:spacing w:beforeLines="50" w:before="156" w:line="360" w:lineRule="auto"/>
              <w:jc w:val="center"/>
              <w:rPr>
                <w:sz w:val="24"/>
                <w:szCs w:val="24"/>
                <w:lang w:bidi="ar"/>
              </w:rPr>
            </w:pPr>
          </w:p>
        </w:tc>
        <w:tc>
          <w:tcPr>
            <w:tcW w:w="1868" w:type="dxa"/>
            <w:tcBorders>
              <w:top w:val="single" w:sz="4" w:space="0" w:color="auto"/>
            </w:tcBorders>
          </w:tcPr>
          <w:p w:rsidR="00931C24" w:rsidRDefault="00B65FF0" w:rsidP="00B65FF0">
            <w:pPr>
              <w:spacing w:beforeLines="50" w:before="156" w:line="360" w:lineRule="auto"/>
              <w:jc w:val="center"/>
              <w:rPr>
                <w:sz w:val="24"/>
                <w:szCs w:val="24"/>
                <w:lang w:bidi="ar"/>
              </w:rPr>
            </w:pPr>
            <w:r>
              <w:rPr>
                <w:sz w:val="24"/>
                <w:szCs w:val="24"/>
                <w:lang w:bidi="ar"/>
              </w:rPr>
              <w:t>温波</w:t>
            </w:r>
          </w:p>
        </w:tc>
        <w:tc>
          <w:tcPr>
            <w:tcW w:w="1760" w:type="dxa"/>
          </w:tcPr>
          <w:p w:rsidR="00931C24" w:rsidRDefault="00931C24" w:rsidP="00B65FF0">
            <w:pPr>
              <w:spacing w:beforeLines="50" w:before="156" w:line="360" w:lineRule="auto"/>
              <w:jc w:val="center"/>
              <w:rPr>
                <w:sz w:val="24"/>
                <w:szCs w:val="24"/>
                <w:lang w:bidi="ar"/>
              </w:rPr>
            </w:pPr>
          </w:p>
        </w:tc>
        <w:tc>
          <w:tcPr>
            <w:tcW w:w="1869" w:type="dxa"/>
            <w:tcBorders>
              <w:top w:val="single" w:sz="4" w:space="0" w:color="auto"/>
            </w:tcBorders>
          </w:tcPr>
          <w:p w:rsidR="00931C24" w:rsidRDefault="00B65FF0" w:rsidP="00B65FF0">
            <w:pPr>
              <w:spacing w:beforeLines="50" w:before="156" w:line="360" w:lineRule="auto"/>
              <w:jc w:val="center"/>
              <w:rPr>
                <w:sz w:val="24"/>
                <w:szCs w:val="24"/>
                <w:lang w:bidi="ar"/>
              </w:rPr>
            </w:pPr>
            <w:r>
              <w:rPr>
                <w:sz w:val="24"/>
                <w:szCs w:val="24"/>
                <w:lang w:bidi="ar"/>
              </w:rPr>
              <w:t>宋平</w:t>
            </w:r>
          </w:p>
        </w:tc>
        <w:tc>
          <w:tcPr>
            <w:tcW w:w="1812" w:type="dxa"/>
          </w:tcPr>
          <w:p w:rsidR="00931C24" w:rsidRDefault="00931C24" w:rsidP="00B65FF0">
            <w:pPr>
              <w:spacing w:beforeLines="50" w:before="156" w:line="360" w:lineRule="auto"/>
              <w:jc w:val="center"/>
              <w:rPr>
                <w:sz w:val="24"/>
                <w:szCs w:val="24"/>
                <w:lang w:bidi="ar"/>
              </w:rPr>
            </w:pPr>
          </w:p>
        </w:tc>
      </w:tr>
    </w:tbl>
    <w:p w:rsidR="00931C24" w:rsidRDefault="00931C24" w:rsidP="00B65FF0">
      <w:pPr>
        <w:pStyle w:val="005"/>
        <w:spacing w:before="156"/>
        <w:ind w:firstLineChars="0" w:firstLine="0"/>
        <w:rPr>
          <w:szCs w:val="24"/>
        </w:rPr>
      </w:pPr>
    </w:p>
    <w:p w:rsidR="00931C24" w:rsidRDefault="00931C24" w:rsidP="00B65FF0">
      <w:pPr>
        <w:pStyle w:val="005"/>
        <w:spacing w:before="156"/>
        <w:ind w:firstLine="480"/>
        <w:rPr>
          <w:szCs w:val="24"/>
        </w:rPr>
      </w:pPr>
    </w:p>
    <w:p w:rsidR="00931C24" w:rsidRDefault="00B65FF0">
      <w:pPr>
        <w:spacing w:before="120" w:after="120"/>
        <w:ind w:firstLine="480"/>
        <w:jc w:val="right"/>
        <w:rPr>
          <w:sz w:val="24"/>
          <w:szCs w:val="24"/>
        </w:rPr>
      </w:pPr>
      <w:r>
        <w:rPr>
          <w:sz w:val="24"/>
          <w:szCs w:val="24"/>
        </w:rPr>
        <w:t>  </w:t>
      </w:r>
    </w:p>
    <w:p w:rsidR="00931C24" w:rsidRDefault="00931C24">
      <w:pPr>
        <w:spacing w:before="120" w:after="120"/>
        <w:ind w:firstLine="480"/>
        <w:jc w:val="right"/>
        <w:rPr>
          <w:sz w:val="24"/>
          <w:szCs w:val="24"/>
        </w:rPr>
      </w:pPr>
    </w:p>
    <w:p w:rsidR="00931C24" w:rsidRDefault="00931C24">
      <w:pPr>
        <w:spacing w:before="120" w:after="120"/>
        <w:ind w:firstLine="480"/>
        <w:jc w:val="right"/>
        <w:rPr>
          <w:sz w:val="24"/>
          <w:szCs w:val="24"/>
        </w:rPr>
      </w:pPr>
    </w:p>
    <w:p w:rsidR="00931C24" w:rsidRDefault="00B65FF0">
      <w:pPr>
        <w:spacing w:before="120" w:after="120"/>
        <w:ind w:firstLine="480"/>
        <w:jc w:val="right"/>
        <w:rPr>
          <w:sz w:val="24"/>
          <w:szCs w:val="24"/>
        </w:rPr>
      </w:pPr>
      <w:r>
        <w:rPr>
          <w:rFonts w:hint="eastAsia"/>
          <w:sz w:val="24"/>
          <w:szCs w:val="24"/>
        </w:rPr>
        <w:t>五矿证券有限公司</w:t>
      </w:r>
    </w:p>
    <w:p w:rsidR="00931C24" w:rsidRDefault="00931C24">
      <w:pPr>
        <w:spacing w:before="120" w:after="120"/>
        <w:ind w:firstLine="480"/>
        <w:jc w:val="right"/>
        <w:rPr>
          <w:sz w:val="24"/>
          <w:szCs w:val="24"/>
        </w:rPr>
      </w:pPr>
    </w:p>
    <w:p w:rsidR="00931C24" w:rsidRDefault="00B65FF0">
      <w:pPr>
        <w:spacing w:before="120" w:after="120"/>
        <w:ind w:firstLine="480"/>
        <w:jc w:val="right"/>
        <w:rPr>
          <w:sz w:val="24"/>
          <w:szCs w:val="24"/>
        </w:rPr>
      </w:pPr>
      <w:r>
        <w:rPr>
          <w:sz w:val="24"/>
          <w:szCs w:val="24"/>
        </w:rPr>
        <w:t>  </w:t>
      </w:r>
      <w:r>
        <w:rPr>
          <w:rFonts w:hint="eastAsia"/>
          <w:sz w:val="24"/>
          <w:szCs w:val="24"/>
        </w:rPr>
        <w:t>2024</w:t>
      </w:r>
      <w:r>
        <w:rPr>
          <w:rFonts w:hint="eastAsia"/>
          <w:sz w:val="24"/>
          <w:szCs w:val="24"/>
        </w:rPr>
        <w:t>年</w:t>
      </w:r>
      <w:r>
        <w:rPr>
          <w:rFonts w:hint="eastAsia"/>
          <w:sz w:val="24"/>
          <w:szCs w:val="24"/>
        </w:rPr>
        <w:t>12</w:t>
      </w:r>
      <w:r>
        <w:rPr>
          <w:rFonts w:hint="eastAsia"/>
          <w:sz w:val="24"/>
          <w:szCs w:val="24"/>
        </w:rPr>
        <w:t>月</w:t>
      </w:r>
      <w:r>
        <w:rPr>
          <w:rFonts w:hint="eastAsia"/>
          <w:sz w:val="24"/>
          <w:szCs w:val="24"/>
        </w:rPr>
        <w:t>12</w:t>
      </w:r>
      <w:bookmarkStart w:id="0" w:name="_GoBack"/>
      <w:bookmarkEnd w:id="0"/>
      <w:r>
        <w:rPr>
          <w:rFonts w:hint="eastAsia"/>
          <w:sz w:val="24"/>
          <w:szCs w:val="24"/>
        </w:rPr>
        <w:t>日</w:t>
      </w:r>
    </w:p>
    <w:p w:rsidR="00931C24" w:rsidRDefault="00931C24" w:rsidP="00931C24">
      <w:pPr>
        <w:spacing w:beforeLines="50" w:before="156" w:line="360" w:lineRule="auto"/>
        <w:ind w:firstLineChars="200" w:firstLine="480"/>
        <w:rPr>
          <w:sz w:val="24"/>
          <w:szCs w:val="24"/>
        </w:rPr>
      </w:pPr>
    </w:p>
    <w:sectPr w:rsidR="00931C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9A6967"/>
    <w:rsid w:val="00931C24"/>
    <w:rsid w:val="00B65FF0"/>
    <w:rsid w:val="00E65681"/>
    <w:rsid w:val="03F359AA"/>
    <w:rsid w:val="06796A2D"/>
    <w:rsid w:val="069074E0"/>
    <w:rsid w:val="113012D9"/>
    <w:rsid w:val="145E6E6F"/>
    <w:rsid w:val="2EFF7C10"/>
    <w:rsid w:val="4F2868E5"/>
    <w:rsid w:val="514C70D7"/>
    <w:rsid w:val="559A6967"/>
    <w:rsid w:val="61AE661D"/>
    <w:rsid w:val="730F1FF1"/>
    <w:rsid w:val="73832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5">
    <w:name w:val="005正文"/>
    <w:basedOn w:val="a"/>
    <w:qFormat/>
    <w:pPr>
      <w:spacing w:beforeLines="50" w:before="50" w:line="360" w:lineRule="auto"/>
      <w:ind w:firstLineChars="200" w:firstLine="200"/>
    </w:pPr>
    <w:rPr>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5">
    <w:name w:val="005正文"/>
    <w:basedOn w:val="a"/>
    <w:qFormat/>
    <w:pPr>
      <w:spacing w:beforeLines="50" w:before="50" w:line="360" w:lineRule="auto"/>
      <w:ind w:firstLineChars="200" w:firstLine="200"/>
    </w:pPr>
    <w:rPr>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467</Words>
  <Characters>2666</Characters>
  <Application>Microsoft Office Word</Application>
  <DocSecurity>0</DocSecurity>
  <Lines>22</Lines>
  <Paragraphs>6</Paragraphs>
  <ScaleCrop>false</ScaleCrop>
  <Company>Microsoft</Company>
  <LinksUpToDate>false</LinksUpToDate>
  <CharactersWithSpaces>3127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dc:creator>
  <cp:lastModifiedBy>hsq</cp:lastModifiedBy>
  <cp:revision>2</cp:revision>
  <cp:lastPrinted>2024-12-10T04:19:00Z</cp:lastPrinted>
  <dcterms:created xsi:type="dcterms:W3CDTF">2024-12-07T12:32:00Z</dcterms:created>
  <dcterms:modified xsi:type="dcterms:W3CDTF">2024-12-11T08:11:00Z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E684A373C389415989E83873B874191F_11</vt:lpwstr>
  </property>
</Properties>
</file>