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3A2" w:rsidRDefault="00100C1E" w:rsidP="00100C1E">
      <w:pPr>
        <w:autoSpaceDE w:val="0"/>
        <w:autoSpaceDN w:val="0"/>
        <w:adjustRightInd w:val="0"/>
        <w:spacing w:beforeLines="50" w:before="156" w:line="360" w:lineRule="auto"/>
        <w:jc w:val="center"/>
        <w:rPr>
          <w:rFonts w:ascii="黑体" w:eastAsia="黑体" w:hAnsi="黑体"/>
          <w:b/>
          <w:bCs/>
          <w:sz w:val="32"/>
          <w:szCs w:val="32"/>
        </w:rPr>
      </w:pPr>
      <w:r>
        <w:rPr>
          <w:rFonts w:ascii="黑体" w:eastAsia="黑体" w:hAnsi="黑体" w:hint="eastAsia"/>
          <w:b/>
          <w:bCs/>
          <w:sz w:val="32"/>
          <w:szCs w:val="32"/>
        </w:rPr>
        <w:t>五矿证券有限公司</w:t>
      </w:r>
    </w:p>
    <w:p w:rsidR="005973A2" w:rsidRDefault="00100C1E" w:rsidP="00100C1E">
      <w:pPr>
        <w:autoSpaceDE w:val="0"/>
        <w:autoSpaceDN w:val="0"/>
        <w:adjustRightInd w:val="0"/>
        <w:spacing w:beforeLines="50" w:before="156" w:line="360" w:lineRule="auto"/>
        <w:jc w:val="center"/>
        <w:rPr>
          <w:rFonts w:ascii="黑体" w:eastAsia="黑体" w:hAnsi="黑体"/>
          <w:b/>
          <w:bCs/>
          <w:sz w:val="32"/>
          <w:szCs w:val="32"/>
        </w:rPr>
      </w:pPr>
      <w:r>
        <w:rPr>
          <w:rFonts w:ascii="黑体" w:eastAsia="黑体" w:hAnsi="黑体" w:hint="eastAsia"/>
          <w:b/>
          <w:bCs/>
          <w:sz w:val="32"/>
          <w:szCs w:val="32"/>
        </w:rPr>
        <w:t>关于广东天亿马信息产业股份有限公司</w:t>
      </w:r>
    </w:p>
    <w:p w:rsidR="005973A2" w:rsidRDefault="00100C1E" w:rsidP="00100C1E">
      <w:pPr>
        <w:autoSpaceDE w:val="0"/>
        <w:autoSpaceDN w:val="0"/>
        <w:adjustRightInd w:val="0"/>
        <w:spacing w:beforeLines="50" w:before="156" w:line="360" w:lineRule="auto"/>
        <w:jc w:val="center"/>
        <w:rPr>
          <w:rFonts w:ascii="黑体" w:eastAsia="黑体" w:hAnsi="黑体"/>
          <w:b/>
          <w:bCs/>
          <w:sz w:val="32"/>
          <w:szCs w:val="32"/>
        </w:rPr>
      </w:pPr>
      <w:r>
        <w:rPr>
          <w:rFonts w:ascii="黑体" w:eastAsia="黑体" w:hAnsi="黑体" w:hint="eastAsia"/>
          <w:b/>
          <w:bCs/>
          <w:sz w:val="32"/>
          <w:szCs w:val="32"/>
        </w:rPr>
        <w:t>使用部分闲置募集资金（含超募资金）进行现金管理</w:t>
      </w:r>
    </w:p>
    <w:p w:rsidR="005973A2" w:rsidRDefault="00100C1E" w:rsidP="00100C1E">
      <w:pPr>
        <w:autoSpaceDE w:val="0"/>
        <w:autoSpaceDN w:val="0"/>
        <w:adjustRightInd w:val="0"/>
        <w:spacing w:beforeLines="50" w:before="156" w:line="360" w:lineRule="auto"/>
        <w:jc w:val="center"/>
        <w:rPr>
          <w:b/>
          <w:bCs/>
          <w:sz w:val="32"/>
          <w:szCs w:val="32"/>
        </w:rPr>
      </w:pPr>
      <w:r>
        <w:rPr>
          <w:rFonts w:ascii="黑体" w:eastAsia="黑体" w:hAnsi="黑体" w:hint="eastAsia"/>
          <w:b/>
          <w:bCs/>
          <w:sz w:val="32"/>
          <w:szCs w:val="32"/>
        </w:rPr>
        <w:t>的核查意见</w:t>
      </w:r>
    </w:p>
    <w:p w:rsidR="005973A2" w:rsidRDefault="00100C1E" w:rsidP="00100C1E">
      <w:pPr>
        <w:widowControl/>
        <w:spacing w:beforeLines="50" w:before="156" w:line="360" w:lineRule="auto"/>
        <w:ind w:firstLineChars="200" w:firstLine="480"/>
        <w:jc w:val="left"/>
        <w:rPr>
          <w:color w:val="000000"/>
          <w:sz w:val="24"/>
          <w:szCs w:val="24"/>
        </w:rPr>
      </w:pPr>
      <w:r>
        <w:rPr>
          <w:rFonts w:ascii="宋体" w:hAnsi="宋体" w:cs="宋体" w:hint="eastAsia"/>
          <w:color w:val="000000"/>
          <w:kern w:val="0"/>
          <w:sz w:val="24"/>
          <w:szCs w:val="24"/>
          <w:lang w:bidi="ar"/>
        </w:rPr>
        <w:t>五矿证券有限公司</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以下简称“保荐机构”</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作为广东天亿马信息产业股份有限公司</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以下简称“公司”或“天亿马”</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首次公开发行股票并在创业板上市保荐机构，根据《证券发行上市保荐业务管理办法</w:t>
      </w:r>
      <w:r>
        <w:rPr>
          <w:rFonts w:ascii="宋体" w:hAnsi="宋体" w:cs="宋体" w:hint="eastAsia"/>
          <w:color w:val="000000"/>
          <w:kern w:val="0"/>
          <w:sz w:val="24"/>
          <w:szCs w:val="24"/>
          <w:lang w:bidi="ar"/>
        </w:rPr>
        <w:t>》《</w:t>
      </w:r>
      <w:r>
        <w:rPr>
          <w:rFonts w:ascii="宋体" w:hAnsi="宋体" w:cs="宋体" w:hint="eastAsia"/>
          <w:color w:val="000000"/>
          <w:kern w:val="0"/>
          <w:sz w:val="24"/>
          <w:szCs w:val="24"/>
          <w:lang w:bidi="ar"/>
        </w:rPr>
        <w:t>上市公司监管指引第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上市公司募集资金管理和使用的监管要求</w:t>
      </w:r>
      <w:r>
        <w:rPr>
          <w:rFonts w:hint="eastAsia"/>
          <w:color w:val="000000"/>
          <w:kern w:val="0"/>
          <w:sz w:val="24"/>
          <w:szCs w:val="24"/>
          <w:lang w:bidi="ar"/>
        </w:rPr>
        <w:t>》《</w:t>
      </w:r>
      <w:r>
        <w:rPr>
          <w:color w:val="000000"/>
          <w:kern w:val="0"/>
          <w:sz w:val="24"/>
          <w:szCs w:val="24"/>
          <w:lang w:bidi="ar"/>
        </w:rPr>
        <w:t>深圳证券交易所创业板股票上市规则</w:t>
      </w:r>
      <w:r>
        <w:rPr>
          <w:rFonts w:hint="eastAsia"/>
          <w:color w:val="000000"/>
          <w:kern w:val="0"/>
          <w:sz w:val="24"/>
          <w:szCs w:val="24"/>
          <w:lang w:bidi="ar"/>
        </w:rPr>
        <w:t>》《</w:t>
      </w:r>
      <w:r>
        <w:rPr>
          <w:color w:val="000000"/>
          <w:kern w:val="0"/>
          <w:sz w:val="24"/>
          <w:szCs w:val="24"/>
          <w:lang w:bidi="ar"/>
        </w:rPr>
        <w:t>深圳证券交易所上市公司自律监管指引第</w:t>
      </w:r>
      <w:r>
        <w:rPr>
          <w:color w:val="000000"/>
          <w:kern w:val="0"/>
          <w:sz w:val="24"/>
          <w:szCs w:val="24"/>
          <w:lang w:bidi="ar"/>
        </w:rPr>
        <w:t>2</w:t>
      </w:r>
      <w:r>
        <w:rPr>
          <w:color w:val="000000"/>
          <w:kern w:val="0"/>
          <w:sz w:val="24"/>
          <w:szCs w:val="24"/>
          <w:lang w:bidi="ar"/>
        </w:rPr>
        <w:t>号</w:t>
      </w:r>
      <w:r>
        <w:rPr>
          <w:color w:val="000000"/>
          <w:kern w:val="0"/>
          <w:sz w:val="24"/>
          <w:szCs w:val="24"/>
          <w:lang w:bidi="ar"/>
        </w:rPr>
        <w:t>——</w:t>
      </w:r>
      <w:r>
        <w:rPr>
          <w:color w:val="000000"/>
          <w:kern w:val="0"/>
          <w:sz w:val="24"/>
          <w:szCs w:val="24"/>
          <w:lang w:bidi="ar"/>
        </w:rPr>
        <w:t>创业板上</w:t>
      </w:r>
      <w:r>
        <w:rPr>
          <w:rFonts w:ascii="宋体" w:hAnsi="宋体" w:cs="宋体" w:hint="eastAsia"/>
          <w:color w:val="000000"/>
          <w:kern w:val="0"/>
          <w:sz w:val="24"/>
          <w:szCs w:val="24"/>
          <w:lang w:bidi="ar"/>
        </w:rPr>
        <w:t>市公司规范</w:t>
      </w:r>
      <w:r>
        <w:rPr>
          <w:color w:val="000000"/>
          <w:kern w:val="0"/>
          <w:sz w:val="24"/>
          <w:szCs w:val="24"/>
          <w:lang w:bidi="ar"/>
        </w:rPr>
        <w:t>运作》等相关规范性文件的规定，对天亿马使用部分闲置募集资金（含超募资金）进行现金管理</w:t>
      </w:r>
      <w:r>
        <w:rPr>
          <w:color w:val="000000"/>
          <w:kern w:val="0"/>
          <w:sz w:val="24"/>
          <w:szCs w:val="24"/>
          <w:lang w:bidi="ar"/>
        </w:rPr>
        <w:t>的</w:t>
      </w:r>
      <w:r>
        <w:rPr>
          <w:color w:val="000000"/>
          <w:kern w:val="0"/>
          <w:sz w:val="24"/>
          <w:szCs w:val="24"/>
          <w:lang w:bidi="ar"/>
        </w:rPr>
        <w:t>事项</w:t>
      </w:r>
      <w:r>
        <w:rPr>
          <w:color w:val="000000"/>
          <w:kern w:val="0"/>
          <w:sz w:val="24"/>
          <w:szCs w:val="24"/>
          <w:lang w:bidi="ar"/>
        </w:rPr>
        <w:t>进行了核查，并出具核查意见如下：</w:t>
      </w:r>
    </w:p>
    <w:p w:rsidR="005973A2" w:rsidRDefault="00100C1E" w:rsidP="00100C1E">
      <w:pPr>
        <w:spacing w:beforeLines="50" w:before="156" w:line="360" w:lineRule="auto"/>
        <w:rPr>
          <w:b/>
          <w:bCs/>
          <w:sz w:val="28"/>
          <w:szCs w:val="28"/>
        </w:rPr>
      </w:pPr>
      <w:r>
        <w:rPr>
          <w:b/>
          <w:bCs/>
          <w:sz w:val="28"/>
          <w:szCs w:val="28"/>
        </w:rPr>
        <w:t>一、募集资金基本情况</w:t>
      </w:r>
    </w:p>
    <w:p w:rsidR="005973A2" w:rsidRDefault="00100C1E" w:rsidP="00100C1E">
      <w:pPr>
        <w:spacing w:beforeLines="50" w:before="156" w:line="360" w:lineRule="auto"/>
        <w:ind w:firstLineChars="200" w:firstLine="480"/>
        <w:rPr>
          <w:sz w:val="24"/>
          <w:szCs w:val="24"/>
        </w:rPr>
      </w:pPr>
      <w:r>
        <w:rPr>
          <w:sz w:val="24"/>
          <w:szCs w:val="24"/>
        </w:rPr>
        <w:t>公司经中国证券监督管理委员会《关于同意广东天亿马信息产业股份有限公司首次公开发行股票注册的批复》（证监许可</w:t>
      </w:r>
      <w:r>
        <w:rPr>
          <w:rFonts w:hint="eastAsia"/>
          <w:sz w:val="24"/>
          <w:szCs w:val="24"/>
        </w:rPr>
        <w:t>〔</w:t>
      </w:r>
      <w:r>
        <w:rPr>
          <w:rFonts w:hint="eastAsia"/>
          <w:sz w:val="24"/>
          <w:szCs w:val="24"/>
        </w:rPr>
        <w:t>2021</w:t>
      </w:r>
      <w:r>
        <w:rPr>
          <w:rFonts w:hint="eastAsia"/>
          <w:sz w:val="24"/>
          <w:szCs w:val="24"/>
        </w:rPr>
        <w:t>〕</w:t>
      </w:r>
      <w:r>
        <w:rPr>
          <w:rFonts w:hint="eastAsia"/>
          <w:sz w:val="24"/>
          <w:szCs w:val="24"/>
        </w:rPr>
        <w:t>2937</w:t>
      </w:r>
      <w:r>
        <w:rPr>
          <w:rFonts w:hint="eastAsia"/>
          <w:sz w:val="24"/>
          <w:szCs w:val="24"/>
        </w:rPr>
        <w:t>号</w:t>
      </w:r>
      <w:r>
        <w:rPr>
          <w:sz w:val="24"/>
          <w:szCs w:val="24"/>
        </w:rPr>
        <w:t>）同意，并经深圳证券交易所同意，公司首次向社会公众发行人民币普通股（</w:t>
      </w:r>
      <w:r>
        <w:rPr>
          <w:sz w:val="24"/>
          <w:szCs w:val="24"/>
        </w:rPr>
        <w:t>A</w:t>
      </w:r>
      <w:r>
        <w:rPr>
          <w:sz w:val="24"/>
          <w:szCs w:val="24"/>
        </w:rPr>
        <w:t>股）股票</w:t>
      </w:r>
      <w:r>
        <w:rPr>
          <w:sz w:val="24"/>
          <w:szCs w:val="24"/>
        </w:rPr>
        <w:t>1,177.80</w:t>
      </w:r>
      <w:r>
        <w:rPr>
          <w:sz w:val="24"/>
          <w:szCs w:val="24"/>
        </w:rPr>
        <w:t>万股，每股面值人民币</w:t>
      </w:r>
      <w:r>
        <w:rPr>
          <w:sz w:val="24"/>
          <w:szCs w:val="24"/>
        </w:rPr>
        <w:t>1.00</w:t>
      </w:r>
      <w:r>
        <w:rPr>
          <w:sz w:val="24"/>
          <w:szCs w:val="24"/>
        </w:rPr>
        <w:t>元，每股发行价格为</w:t>
      </w:r>
      <w:r>
        <w:rPr>
          <w:sz w:val="24"/>
          <w:szCs w:val="24"/>
        </w:rPr>
        <w:t>48.66</w:t>
      </w:r>
      <w:r>
        <w:rPr>
          <w:sz w:val="24"/>
          <w:szCs w:val="24"/>
        </w:rPr>
        <w:t>元。本次募集资金总额为人民币</w:t>
      </w:r>
      <w:r>
        <w:rPr>
          <w:sz w:val="24"/>
          <w:szCs w:val="24"/>
        </w:rPr>
        <w:t>573,117,480.00</w:t>
      </w:r>
      <w:r>
        <w:rPr>
          <w:sz w:val="24"/>
          <w:szCs w:val="24"/>
        </w:rPr>
        <w:t>元，扣除发行费用人民币</w:t>
      </w:r>
      <w:r>
        <w:rPr>
          <w:sz w:val="24"/>
          <w:szCs w:val="24"/>
        </w:rPr>
        <w:t>62,856,828.00</w:t>
      </w:r>
      <w:r>
        <w:rPr>
          <w:sz w:val="24"/>
          <w:szCs w:val="24"/>
        </w:rPr>
        <w:t>元（不含增值税），实际募集资金净额为人民币</w:t>
      </w:r>
      <w:r>
        <w:rPr>
          <w:sz w:val="24"/>
          <w:szCs w:val="24"/>
        </w:rPr>
        <w:t>510,260,652.00</w:t>
      </w:r>
      <w:r>
        <w:rPr>
          <w:sz w:val="24"/>
          <w:szCs w:val="24"/>
        </w:rPr>
        <w:t>元。中审众环会计师事务所（特殊普通合伙）已于</w:t>
      </w:r>
      <w:r>
        <w:rPr>
          <w:sz w:val="24"/>
          <w:szCs w:val="24"/>
        </w:rPr>
        <w:t>2021</w:t>
      </w:r>
      <w:r>
        <w:rPr>
          <w:sz w:val="24"/>
          <w:szCs w:val="24"/>
        </w:rPr>
        <w:t>年</w:t>
      </w:r>
      <w:r>
        <w:rPr>
          <w:sz w:val="24"/>
          <w:szCs w:val="24"/>
        </w:rPr>
        <w:t>11</w:t>
      </w:r>
      <w:r>
        <w:rPr>
          <w:sz w:val="24"/>
          <w:szCs w:val="24"/>
        </w:rPr>
        <w:t>月</w:t>
      </w:r>
      <w:r>
        <w:rPr>
          <w:sz w:val="24"/>
          <w:szCs w:val="24"/>
        </w:rPr>
        <w:t>5</w:t>
      </w:r>
      <w:r>
        <w:rPr>
          <w:sz w:val="24"/>
          <w:szCs w:val="24"/>
        </w:rPr>
        <w:t>日对上述资金到位情况进行审验，并出具了《验资报告》（众环验字</w:t>
      </w:r>
      <w:r>
        <w:rPr>
          <w:rFonts w:hint="eastAsia"/>
          <w:sz w:val="24"/>
          <w:szCs w:val="24"/>
        </w:rPr>
        <w:t>〔</w:t>
      </w:r>
      <w:r>
        <w:rPr>
          <w:sz w:val="24"/>
          <w:szCs w:val="24"/>
        </w:rPr>
        <w:t>2021</w:t>
      </w:r>
      <w:r>
        <w:rPr>
          <w:rFonts w:hint="eastAsia"/>
          <w:sz w:val="24"/>
          <w:szCs w:val="24"/>
        </w:rPr>
        <w:t>〕</w:t>
      </w:r>
      <w:r>
        <w:rPr>
          <w:sz w:val="24"/>
          <w:szCs w:val="24"/>
        </w:rPr>
        <w:t>0600012</w:t>
      </w:r>
      <w:r>
        <w:rPr>
          <w:sz w:val="24"/>
          <w:szCs w:val="24"/>
        </w:rPr>
        <w:t>号）。</w:t>
      </w:r>
    </w:p>
    <w:p w:rsidR="005973A2" w:rsidRDefault="00100C1E" w:rsidP="00100C1E">
      <w:pPr>
        <w:spacing w:beforeLines="50" w:before="156" w:line="360" w:lineRule="auto"/>
        <w:ind w:firstLineChars="200" w:firstLine="480"/>
        <w:rPr>
          <w:sz w:val="24"/>
          <w:szCs w:val="24"/>
        </w:rPr>
      </w:pPr>
      <w:r>
        <w:rPr>
          <w:sz w:val="24"/>
          <w:szCs w:val="24"/>
        </w:rPr>
        <w:t>经公司第三届董事会第十四次会议、</w:t>
      </w:r>
      <w:r>
        <w:rPr>
          <w:sz w:val="24"/>
          <w:szCs w:val="24"/>
        </w:rPr>
        <w:t>第三届监事会第十二次会议，并经公司</w:t>
      </w:r>
      <w:r>
        <w:rPr>
          <w:sz w:val="24"/>
          <w:szCs w:val="24"/>
        </w:rPr>
        <w:t>2023</w:t>
      </w:r>
      <w:r>
        <w:rPr>
          <w:sz w:val="24"/>
          <w:szCs w:val="24"/>
        </w:rPr>
        <w:t>年第三次临时股东大会审议通过，将原募投项目中</w:t>
      </w:r>
      <w:r>
        <w:rPr>
          <w:sz w:val="24"/>
          <w:szCs w:val="24"/>
        </w:rPr>
        <w:t>“</w:t>
      </w:r>
      <w:r>
        <w:rPr>
          <w:sz w:val="24"/>
          <w:szCs w:val="24"/>
        </w:rPr>
        <w:t>大数据应用技术中心建设项目</w:t>
      </w:r>
      <w:r>
        <w:rPr>
          <w:sz w:val="24"/>
          <w:szCs w:val="24"/>
        </w:rPr>
        <w:t>”</w:t>
      </w:r>
      <w:r>
        <w:rPr>
          <w:sz w:val="24"/>
          <w:szCs w:val="24"/>
        </w:rPr>
        <w:t>扩展升级为</w:t>
      </w:r>
      <w:r>
        <w:rPr>
          <w:sz w:val="24"/>
          <w:szCs w:val="24"/>
        </w:rPr>
        <w:t>“</w:t>
      </w:r>
      <w:r>
        <w:rPr>
          <w:sz w:val="24"/>
          <w:szCs w:val="24"/>
        </w:rPr>
        <w:t>深圳综合运营中心项目</w:t>
      </w:r>
      <w:r>
        <w:rPr>
          <w:sz w:val="24"/>
          <w:szCs w:val="24"/>
        </w:rPr>
        <w:t>”</w:t>
      </w:r>
      <w:r>
        <w:rPr>
          <w:sz w:val="24"/>
          <w:szCs w:val="24"/>
        </w:rPr>
        <w:t>，将实施地点变更为深圳市南山区；同时取消原</w:t>
      </w:r>
      <w:r>
        <w:rPr>
          <w:sz w:val="24"/>
          <w:szCs w:val="24"/>
        </w:rPr>
        <w:t>“</w:t>
      </w:r>
      <w:r>
        <w:rPr>
          <w:sz w:val="24"/>
          <w:szCs w:val="24"/>
        </w:rPr>
        <w:t>营销服务体系升级建设项目</w:t>
      </w:r>
      <w:r>
        <w:rPr>
          <w:sz w:val="24"/>
          <w:szCs w:val="24"/>
        </w:rPr>
        <w:t>”</w:t>
      </w:r>
      <w:r>
        <w:rPr>
          <w:sz w:val="24"/>
          <w:szCs w:val="24"/>
        </w:rPr>
        <w:t>并将其募集资金合并用于</w:t>
      </w:r>
      <w:r>
        <w:rPr>
          <w:sz w:val="24"/>
          <w:szCs w:val="24"/>
        </w:rPr>
        <w:t>“</w:t>
      </w:r>
      <w:r>
        <w:rPr>
          <w:sz w:val="24"/>
          <w:szCs w:val="24"/>
        </w:rPr>
        <w:t>深圳综合运营中心项目</w:t>
      </w:r>
      <w:r>
        <w:rPr>
          <w:sz w:val="24"/>
          <w:szCs w:val="24"/>
        </w:rPr>
        <w:t>”</w:t>
      </w:r>
      <w:r>
        <w:rPr>
          <w:sz w:val="24"/>
          <w:szCs w:val="24"/>
        </w:rPr>
        <w:t>的建设；募投项目实施主体变更为公司全资子公司深圳市互联精英</w:t>
      </w:r>
      <w:r>
        <w:rPr>
          <w:sz w:val="24"/>
          <w:szCs w:val="24"/>
        </w:rPr>
        <w:lastRenderedPageBreak/>
        <w:t>信息技术有限公司（以下简称</w:t>
      </w:r>
      <w:r>
        <w:rPr>
          <w:sz w:val="24"/>
          <w:szCs w:val="24"/>
        </w:rPr>
        <w:t>“</w:t>
      </w:r>
      <w:r>
        <w:rPr>
          <w:sz w:val="24"/>
          <w:szCs w:val="24"/>
        </w:rPr>
        <w:t>互联精英</w:t>
      </w:r>
      <w:r>
        <w:rPr>
          <w:sz w:val="24"/>
          <w:szCs w:val="24"/>
        </w:rPr>
        <w:t>”</w:t>
      </w:r>
      <w:r>
        <w:rPr>
          <w:sz w:val="24"/>
          <w:szCs w:val="24"/>
        </w:rPr>
        <w:t>）。具体内容详见公司于</w:t>
      </w:r>
      <w:r>
        <w:rPr>
          <w:sz w:val="24"/>
          <w:szCs w:val="24"/>
        </w:rPr>
        <w:t>2023</w:t>
      </w:r>
      <w:r>
        <w:rPr>
          <w:sz w:val="24"/>
          <w:szCs w:val="24"/>
        </w:rPr>
        <w:t>年</w:t>
      </w:r>
      <w:r>
        <w:rPr>
          <w:sz w:val="24"/>
          <w:szCs w:val="24"/>
        </w:rPr>
        <w:t>8</w:t>
      </w:r>
      <w:r>
        <w:rPr>
          <w:sz w:val="24"/>
          <w:szCs w:val="24"/>
        </w:rPr>
        <w:t>月</w:t>
      </w:r>
      <w:r>
        <w:rPr>
          <w:sz w:val="24"/>
          <w:szCs w:val="24"/>
        </w:rPr>
        <w:t>3</w:t>
      </w:r>
      <w:r>
        <w:rPr>
          <w:sz w:val="24"/>
          <w:szCs w:val="24"/>
        </w:rPr>
        <w:t>日披露于巨潮资讯网（</w:t>
      </w:r>
      <w:r>
        <w:rPr>
          <w:sz w:val="24"/>
          <w:szCs w:val="24"/>
        </w:rPr>
        <w:t>www.cninfo.com.cn</w:t>
      </w:r>
      <w:r>
        <w:rPr>
          <w:sz w:val="24"/>
          <w:szCs w:val="24"/>
        </w:rPr>
        <w:t>）的《广东天亿马信息产业股份有限公司关于变更募投项目实施主</w:t>
      </w:r>
      <w:r>
        <w:rPr>
          <w:sz w:val="24"/>
          <w:szCs w:val="24"/>
        </w:rPr>
        <w:t>体、实施地点及部分募集资金用途的公告》（公告编号：</w:t>
      </w:r>
      <w:r>
        <w:rPr>
          <w:sz w:val="24"/>
          <w:szCs w:val="24"/>
        </w:rPr>
        <w:t>2023-080</w:t>
      </w:r>
      <w:r>
        <w:rPr>
          <w:sz w:val="24"/>
          <w:szCs w:val="24"/>
        </w:rPr>
        <w:t>）。公司及子公司互联精英对募集资金进行了专户存储，并与保荐机构、募集资金存放银行签订了《募集资金三方监管协议》《募集资金四方监管协议》。</w:t>
      </w:r>
    </w:p>
    <w:p w:rsidR="005973A2" w:rsidRDefault="00100C1E" w:rsidP="00100C1E">
      <w:pPr>
        <w:spacing w:beforeLines="50" w:before="156" w:line="360" w:lineRule="auto"/>
        <w:rPr>
          <w:b/>
          <w:bCs/>
          <w:sz w:val="28"/>
          <w:szCs w:val="28"/>
        </w:rPr>
      </w:pPr>
      <w:r>
        <w:rPr>
          <w:b/>
          <w:bCs/>
          <w:sz w:val="28"/>
          <w:szCs w:val="28"/>
        </w:rPr>
        <w:t>二、募集资金投资项目情况</w:t>
      </w:r>
    </w:p>
    <w:p w:rsidR="005973A2" w:rsidRDefault="00100C1E" w:rsidP="00100C1E">
      <w:pPr>
        <w:spacing w:beforeLines="50" w:before="156" w:line="360" w:lineRule="auto"/>
        <w:ind w:firstLineChars="200" w:firstLine="480"/>
        <w:rPr>
          <w:sz w:val="24"/>
          <w:szCs w:val="24"/>
        </w:rPr>
      </w:pPr>
      <w:r>
        <w:rPr>
          <w:sz w:val="24"/>
          <w:szCs w:val="24"/>
        </w:rPr>
        <w:t>根据《公司首次公开发行股票并在创业板上市招股说明书》（以下简称</w:t>
      </w:r>
      <w:r>
        <w:rPr>
          <w:sz w:val="24"/>
          <w:szCs w:val="24"/>
        </w:rPr>
        <w:t>“</w:t>
      </w:r>
      <w:r>
        <w:rPr>
          <w:sz w:val="24"/>
          <w:szCs w:val="24"/>
        </w:rPr>
        <w:t>招股说明书</w:t>
      </w:r>
      <w:r>
        <w:rPr>
          <w:sz w:val="24"/>
          <w:szCs w:val="24"/>
        </w:rPr>
        <w:t>”</w:t>
      </w:r>
      <w:r>
        <w:rPr>
          <w:sz w:val="24"/>
          <w:szCs w:val="24"/>
        </w:rPr>
        <w:t>），公司首次公开发行股票实际募集资金净额为人民币</w:t>
      </w:r>
      <w:r>
        <w:rPr>
          <w:sz w:val="24"/>
          <w:szCs w:val="24"/>
        </w:rPr>
        <w:t>51,026.07</w:t>
      </w:r>
      <w:r>
        <w:rPr>
          <w:sz w:val="24"/>
          <w:szCs w:val="24"/>
        </w:rPr>
        <w:t>万元，扣除募集资金投资项目资金需求后，超出部分募集资金为</w:t>
      </w:r>
      <w:r>
        <w:rPr>
          <w:sz w:val="24"/>
          <w:szCs w:val="24"/>
        </w:rPr>
        <w:t>23,089.92</w:t>
      </w:r>
      <w:r>
        <w:rPr>
          <w:sz w:val="24"/>
          <w:szCs w:val="24"/>
        </w:rPr>
        <w:t>万元。公司于</w:t>
      </w:r>
      <w:r>
        <w:rPr>
          <w:sz w:val="24"/>
          <w:szCs w:val="24"/>
        </w:rPr>
        <w:t>2022</w:t>
      </w:r>
      <w:r>
        <w:rPr>
          <w:sz w:val="24"/>
          <w:szCs w:val="24"/>
        </w:rPr>
        <w:t>年</w:t>
      </w:r>
      <w:r>
        <w:rPr>
          <w:sz w:val="24"/>
          <w:szCs w:val="24"/>
        </w:rPr>
        <w:t>8</w:t>
      </w:r>
      <w:r>
        <w:rPr>
          <w:sz w:val="24"/>
          <w:szCs w:val="24"/>
        </w:rPr>
        <w:t>月使用不超过</w:t>
      </w:r>
      <w:r>
        <w:rPr>
          <w:sz w:val="24"/>
          <w:szCs w:val="24"/>
        </w:rPr>
        <w:t>6,500</w:t>
      </w:r>
      <w:r>
        <w:rPr>
          <w:sz w:val="24"/>
          <w:szCs w:val="24"/>
        </w:rPr>
        <w:t>万元的超募资金永久补</w:t>
      </w:r>
      <w:r>
        <w:rPr>
          <w:sz w:val="24"/>
          <w:szCs w:val="24"/>
        </w:rPr>
        <w:t>充流动资金；另于</w:t>
      </w:r>
      <w:r>
        <w:rPr>
          <w:sz w:val="24"/>
          <w:szCs w:val="24"/>
        </w:rPr>
        <w:t>2023</w:t>
      </w:r>
      <w:r>
        <w:rPr>
          <w:sz w:val="24"/>
          <w:szCs w:val="24"/>
        </w:rPr>
        <w:t>年</w:t>
      </w:r>
      <w:r>
        <w:rPr>
          <w:sz w:val="24"/>
          <w:szCs w:val="24"/>
        </w:rPr>
        <w:t>9</w:t>
      </w:r>
      <w:r>
        <w:rPr>
          <w:sz w:val="24"/>
          <w:szCs w:val="24"/>
        </w:rPr>
        <w:t>月使用</w:t>
      </w:r>
      <w:r>
        <w:rPr>
          <w:sz w:val="24"/>
          <w:szCs w:val="24"/>
        </w:rPr>
        <w:t>9,956.36</w:t>
      </w:r>
      <w:r>
        <w:rPr>
          <w:sz w:val="24"/>
          <w:szCs w:val="24"/>
        </w:rPr>
        <w:t>万元向互联精英增资，用于建设深圳综合运营中心项目</w:t>
      </w:r>
      <w:r>
        <w:rPr>
          <w:rFonts w:hint="eastAsia"/>
          <w:sz w:val="24"/>
          <w:szCs w:val="24"/>
        </w:rPr>
        <w:t>，</w:t>
      </w:r>
      <w:r>
        <w:rPr>
          <w:sz w:val="24"/>
          <w:szCs w:val="24"/>
        </w:rPr>
        <w:t>其中募集资金</w:t>
      </w:r>
      <w:r>
        <w:rPr>
          <w:sz w:val="24"/>
          <w:szCs w:val="24"/>
        </w:rPr>
        <w:t>5,569.67</w:t>
      </w:r>
      <w:r>
        <w:rPr>
          <w:sz w:val="24"/>
          <w:szCs w:val="24"/>
        </w:rPr>
        <w:t>万元，超募资金</w:t>
      </w:r>
      <w:r>
        <w:rPr>
          <w:sz w:val="24"/>
          <w:szCs w:val="24"/>
        </w:rPr>
        <w:t>4,186.69</w:t>
      </w:r>
      <w:r>
        <w:rPr>
          <w:sz w:val="24"/>
          <w:szCs w:val="24"/>
        </w:rPr>
        <w:t>万元。变更后公司募集资金投资用途如下：</w:t>
      </w:r>
    </w:p>
    <w:tbl>
      <w:tblPr>
        <w:tblStyle w:val="a3"/>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548"/>
        <w:gridCol w:w="1822"/>
        <w:gridCol w:w="2076"/>
        <w:gridCol w:w="2076"/>
      </w:tblGrid>
      <w:tr w:rsidR="005973A2">
        <w:trPr>
          <w:trHeight w:val="340"/>
        </w:trPr>
        <w:tc>
          <w:tcPr>
            <w:tcW w:w="1495" w:type="pct"/>
            <w:tcBorders>
              <w:tl2br w:val="nil"/>
              <w:tr2bl w:val="nil"/>
            </w:tcBorders>
            <w:vAlign w:val="center"/>
          </w:tcPr>
          <w:p w:rsidR="005973A2" w:rsidRDefault="00100C1E">
            <w:pPr>
              <w:tabs>
                <w:tab w:val="center" w:pos="4153"/>
                <w:tab w:val="right" w:pos="8306"/>
              </w:tabs>
              <w:jc w:val="center"/>
              <w:rPr>
                <w:b/>
                <w:bCs/>
                <w:sz w:val="18"/>
                <w:szCs w:val="18"/>
              </w:rPr>
            </w:pPr>
            <w:r>
              <w:rPr>
                <w:b/>
                <w:bCs/>
                <w:sz w:val="18"/>
                <w:szCs w:val="18"/>
              </w:rPr>
              <w:t>项目名称</w:t>
            </w:r>
          </w:p>
        </w:tc>
        <w:tc>
          <w:tcPr>
            <w:tcW w:w="1069" w:type="pct"/>
            <w:tcBorders>
              <w:tl2br w:val="nil"/>
              <w:tr2bl w:val="nil"/>
            </w:tcBorders>
            <w:vAlign w:val="center"/>
          </w:tcPr>
          <w:p w:rsidR="005973A2" w:rsidRDefault="00100C1E">
            <w:pPr>
              <w:tabs>
                <w:tab w:val="center" w:pos="4153"/>
                <w:tab w:val="right" w:pos="8306"/>
              </w:tabs>
              <w:jc w:val="center"/>
              <w:rPr>
                <w:b/>
                <w:bCs/>
                <w:sz w:val="18"/>
                <w:szCs w:val="18"/>
              </w:rPr>
            </w:pPr>
            <w:r>
              <w:rPr>
                <w:b/>
                <w:bCs/>
                <w:sz w:val="18"/>
                <w:szCs w:val="18"/>
              </w:rPr>
              <w:t>项目总投资额（万元）</w:t>
            </w:r>
          </w:p>
        </w:tc>
        <w:tc>
          <w:tcPr>
            <w:tcW w:w="1218" w:type="pct"/>
            <w:tcBorders>
              <w:tl2br w:val="nil"/>
              <w:tr2bl w:val="nil"/>
            </w:tcBorders>
            <w:vAlign w:val="center"/>
          </w:tcPr>
          <w:p w:rsidR="005973A2" w:rsidRDefault="00100C1E">
            <w:pPr>
              <w:tabs>
                <w:tab w:val="center" w:pos="4153"/>
                <w:tab w:val="right" w:pos="8306"/>
              </w:tabs>
              <w:jc w:val="center"/>
              <w:rPr>
                <w:b/>
                <w:bCs/>
                <w:sz w:val="18"/>
                <w:szCs w:val="18"/>
              </w:rPr>
            </w:pPr>
            <w:r>
              <w:rPr>
                <w:b/>
                <w:bCs/>
                <w:sz w:val="18"/>
                <w:szCs w:val="18"/>
              </w:rPr>
              <w:t>运用募集资金投资金额（万元）</w:t>
            </w:r>
          </w:p>
        </w:tc>
        <w:tc>
          <w:tcPr>
            <w:tcW w:w="1218" w:type="pct"/>
            <w:tcBorders>
              <w:tl2br w:val="nil"/>
              <w:tr2bl w:val="nil"/>
            </w:tcBorders>
            <w:vAlign w:val="center"/>
          </w:tcPr>
          <w:p w:rsidR="005973A2" w:rsidRDefault="00100C1E">
            <w:pPr>
              <w:tabs>
                <w:tab w:val="center" w:pos="4153"/>
                <w:tab w:val="right" w:pos="8306"/>
              </w:tabs>
              <w:jc w:val="center"/>
              <w:rPr>
                <w:b/>
                <w:bCs/>
                <w:sz w:val="18"/>
                <w:szCs w:val="18"/>
              </w:rPr>
            </w:pPr>
            <w:r>
              <w:rPr>
                <w:b/>
                <w:bCs/>
                <w:sz w:val="18"/>
                <w:szCs w:val="18"/>
              </w:rPr>
              <w:t>运用超募资金投资金额（万元）</w:t>
            </w:r>
          </w:p>
        </w:tc>
      </w:tr>
      <w:tr w:rsidR="005973A2">
        <w:trPr>
          <w:trHeight w:val="340"/>
        </w:trPr>
        <w:tc>
          <w:tcPr>
            <w:tcW w:w="1495" w:type="pct"/>
            <w:tcBorders>
              <w:tl2br w:val="nil"/>
              <w:tr2bl w:val="nil"/>
            </w:tcBorders>
            <w:vAlign w:val="center"/>
          </w:tcPr>
          <w:p w:rsidR="005973A2" w:rsidRDefault="00100C1E">
            <w:pPr>
              <w:tabs>
                <w:tab w:val="center" w:pos="4153"/>
                <w:tab w:val="right" w:pos="8306"/>
              </w:tabs>
              <w:rPr>
                <w:bCs/>
                <w:sz w:val="18"/>
                <w:szCs w:val="18"/>
              </w:rPr>
            </w:pPr>
            <w:r>
              <w:rPr>
                <w:sz w:val="18"/>
                <w:szCs w:val="18"/>
              </w:rPr>
              <w:t>智慧城市综合解决方案升级项目</w:t>
            </w:r>
          </w:p>
        </w:tc>
        <w:tc>
          <w:tcPr>
            <w:tcW w:w="1069" w:type="pct"/>
            <w:tcBorders>
              <w:tl2br w:val="nil"/>
              <w:tr2bl w:val="nil"/>
            </w:tcBorders>
            <w:vAlign w:val="center"/>
          </w:tcPr>
          <w:p w:rsidR="005973A2" w:rsidRDefault="00100C1E">
            <w:pPr>
              <w:tabs>
                <w:tab w:val="center" w:pos="4153"/>
                <w:tab w:val="right" w:pos="8306"/>
              </w:tabs>
              <w:jc w:val="right"/>
              <w:rPr>
                <w:bCs/>
                <w:sz w:val="18"/>
                <w:szCs w:val="18"/>
              </w:rPr>
            </w:pPr>
            <w:r>
              <w:rPr>
                <w:sz w:val="18"/>
                <w:szCs w:val="18"/>
              </w:rPr>
              <w:t>12,572.70</w:t>
            </w:r>
          </w:p>
        </w:tc>
        <w:tc>
          <w:tcPr>
            <w:tcW w:w="1218" w:type="pct"/>
            <w:tcBorders>
              <w:tl2br w:val="nil"/>
              <w:tr2bl w:val="nil"/>
            </w:tcBorders>
            <w:vAlign w:val="center"/>
          </w:tcPr>
          <w:p w:rsidR="005973A2" w:rsidRDefault="00100C1E">
            <w:pPr>
              <w:tabs>
                <w:tab w:val="center" w:pos="4153"/>
                <w:tab w:val="right" w:pos="8306"/>
              </w:tabs>
              <w:jc w:val="right"/>
              <w:rPr>
                <w:bCs/>
                <w:sz w:val="18"/>
                <w:szCs w:val="18"/>
              </w:rPr>
            </w:pPr>
            <w:r>
              <w:rPr>
                <w:sz w:val="18"/>
                <w:szCs w:val="18"/>
              </w:rPr>
              <w:t>12,572.70</w:t>
            </w:r>
          </w:p>
        </w:tc>
        <w:tc>
          <w:tcPr>
            <w:tcW w:w="1218" w:type="pct"/>
            <w:tcBorders>
              <w:tl2br w:val="nil"/>
              <w:tr2bl w:val="nil"/>
            </w:tcBorders>
            <w:vAlign w:val="center"/>
          </w:tcPr>
          <w:p w:rsidR="005973A2" w:rsidRDefault="005973A2">
            <w:pPr>
              <w:tabs>
                <w:tab w:val="center" w:pos="4153"/>
                <w:tab w:val="right" w:pos="8306"/>
              </w:tabs>
              <w:jc w:val="right"/>
              <w:rPr>
                <w:sz w:val="18"/>
                <w:szCs w:val="18"/>
              </w:rPr>
            </w:pPr>
          </w:p>
        </w:tc>
      </w:tr>
      <w:tr w:rsidR="005973A2">
        <w:trPr>
          <w:trHeight w:val="340"/>
        </w:trPr>
        <w:tc>
          <w:tcPr>
            <w:tcW w:w="1495" w:type="pct"/>
            <w:tcBorders>
              <w:tl2br w:val="nil"/>
              <w:tr2bl w:val="nil"/>
            </w:tcBorders>
            <w:vAlign w:val="center"/>
          </w:tcPr>
          <w:p w:rsidR="005973A2" w:rsidRDefault="00100C1E">
            <w:pPr>
              <w:tabs>
                <w:tab w:val="center" w:pos="4153"/>
                <w:tab w:val="right" w:pos="8306"/>
              </w:tabs>
              <w:rPr>
                <w:bCs/>
                <w:sz w:val="18"/>
                <w:szCs w:val="18"/>
              </w:rPr>
            </w:pPr>
            <w:r>
              <w:rPr>
                <w:color w:val="000000"/>
                <w:kern w:val="0"/>
                <w:sz w:val="18"/>
                <w:szCs w:val="18"/>
              </w:rPr>
              <w:t>深圳综合运营中心项目</w:t>
            </w:r>
          </w:p>
        </w:tc>
        <w:tc>
          <w:tcPr>
            <w:tcW w:w="1069" w:type="pct"/>
            <w:tcBorders>
              <w:tl2br w:val="nil"/>
              <w:tr2bl w:val="nil"/>
            </w:tcBorders>
            <w:vAlign w:val="center"/>
          </w:tcPr>
          <w:p w:rsidR="005973A2" w:rsidRDefault="00100C1E">
            <w:pPr>
              <w:tabs>
                <w:tab w:val="center" w:pos="4153"/>
                <w:tab w:val="right" w:pos="8306"/>
              </w:tabs>
              <w:jc w:val="right"/>
              <w:rPr>
                <w:bCs/>
                <w:sz w:val="18"/>
                <w:szCs w:val="18"/>
              </w:rPr>
            </w:pPr>
            <w:r>
              <w:rPr>
                <w:bCs/>
                <w:sz w:val="18"/>
                <w:szCs w:val="18"/>
              </w:rPr>
              <w:t>9,956.36</w:t>
            </w:r>
          </w:p>
        </w:tc>
        <w:tc>
          <w:tcPr>
            <w:tcW w:w="1218" w:type="pct"/>
            <w:tcBorders>
              <w:tl2br w:val="nil"/>
              <w:tr2bl w:val="nil"/>
            </w:tcBorders>
            <w:vAlign w:val="center"/>
          </w:tcPr>
          <w:p w:rsidR="005973A2" w:rsidRDefault="00100C1E">
            <w:pPr>
              <w:tabs>
                <w:tab w:val="center" w:pos="4153"/>
                <w:tab w:val="right" w:pos="8306"/>
              </w:tabs>
              <w:jc w:val="right"/>
              <w:rPr>
                <w:bCs/>
                <w:sz w:val="18"/>
                <w:szCs w:val="18"/>
              </w:rPr>
            </w:pPr>
            <w:r>
              <w:rPr>
                <w:sz w:val="18"/>
                <w:szCs w:val="18"/>
              </w:rPr>
              <w:t>5,569.67</w:t>
            </w:r>
          </w:p>
        </w:tc>
        <w:tc>
          <w:tcPr>
            <w:tcW w:w="1218" w:type="pct"/>
            <w:tcBorders>
              <w:tl2br w:val="nil"/>
              <w:tr2bl w:val="nil"/>
            </w:tcBorders>
            <w:vAlign w:val="center"/>
          </w:tcPr>
          <w:p w:rsidR="005973A2" w:rsidRDefault="00100C1E">
            <w:pPr>
              <w:tabs>
                <w:tab w:val="center" w:pos="4153"/>
                <w:tab w:val="right" w:pos="8306"/>
              </w:tabs>
              <w:jc w:val="right"/>
              <w:rPr>
                <w:sz w:val="18"/>
                <w:szCs w:val="18"/>
              </w:rPr>
            </w:pPr>
            <w:r>
              <w:rPr>
                <w:sz w:val="18"/>
                <w:szCs w:val="18"/>
              </w:rPr>
              <w:t>4,186.69</w:t>
            </w:r>
          </w:p>
        </w:tc>
      </w:tr>
      <w:tr w:rsidR="005973A2">
        <w:trPr>
          <w:trHeight w:val="340"/>
        </w:trPr>
        <w:tc>
          <w:tcPr>
            <w:tcW w:w="1495" w:type="pct"/>
            <w:tcBorders>
              <w:tl2br w:val="nil"/>
              <w:tr2bl w:val="nil"/>
            </w:tcBorders>
            <w:vAlign w:val="center"/>
          </w:tcPr>
          <w:p w:rsidR="005973A2" w:rsidRDefault="00100C1E">
            <w:pPr>
              <w:tabs>
                <w:tab w:val="center" w:pos="4153"/>
                <w:tab w:val="right" w:pos="8306"/>
              </w:tabs>
              <w:rPr>
                <w:bCs/>
                <w:sz w:val="18"/>
                <w:szCs w:val="18"/>
              </w:rPr>
            </w:pPr>
            <w:r>
              <w:rPr>
                <w:sz w:val="18"/>
                <w:szCs w:val="18"/>
              </w:rPr>
              <w:t>补充流动资金</w:t>
            </w:r>
          </w:p>
        </w:tc>
        <w:tc>
          <w:tcPr>
            <w:tcW w:w="1069" w:type="pct"/>
            <w:tcBorders>
              <w:tl2br w:val="nil"/>
              <w:tr2bl w:val="nil"/>
            </w:tcBorders>
            <w:vAlign w:val="center"/>
          </w:tcPr>
          <w:p w:rsidR="005973A2" w:rsidRDefault="00100C1E">
            <w:pPr>
              <w:tabs>
                <w:tab w:val="center" w:pos="4153"/>
                <w:tab w:val="right" w:pos="8306"/>
              </w:tabs>
              <w:jc w:val="right"/>
              <w:rPr>
                <w:bCs/>
                <w:sz w:val="18"/>
                <w:szCs w:val="18"/>
              </w:rPr>
            </w:pPr>
            <w:r>
              <w:rPr>
                <w:sz w:val="18"/>
                <w:szCs w:val="18"/>
              </w:rPr>
              <w:t>10,000.00</w:t>
            </w:r>
          </w:p>
        </w:tc>
        <w:tc>
          <w:tcPr>
            <w:tcW w:w="1218" w:type="pct"/>
            <w:tcBorders>
              <w:tl2br w:val="nil"/>
              <w:tr2bl w:val="nil"/>
            </w:tcBorders>
            <w:vAlign w:val="center"/>
          </w:tcPr>
          <w:p w:rsidR="005973A2" w:rsidRDefault="00100C1E">
            <w:pPr>
              <w:tabs>
                <w:tab w:val="center" w:pos="4153"/>
                <w:tab w:val="right" w:pos="8306"/>
              </w:tabs>
              <w:jc w:val="right"/>
              <w:rPr>
                <w:bCs/>
                <w:sz w:val="18"/>
                <w:szCs w:val="18"/>
              </w:rPr>
            </w:pPr>
            <w:r>
              <w:rPr>
                <w:sz w:val="18"/>
                <w:szCs w:val="18"/>
              </w:rPr>
              <w:t>10,000.00</w:t>
            </w:r>
          </w:p>
        </w:tc>
        <w:tc>
          <w:tcPr>
            <w:tcW w:w="1218" w:type="pct"/>
            <w:tcBorders>
              <w:tl2br w:val="nil"/>
              <w:tr2bl w:val="nil"/>
            </w:tcBorders>
            <w:vAlign w:val="center"/>
          </w:tcPr>
          <w:p w:rsidR="005973A2" w:rsidRDefault="005973A2">
            <w:pPr>
              <w:tabs>
                <w:tab w:val="center" w:pos="4153"/>
                <w:tab w:val="right" w:pos="8306"/>
              </w:tabs>
              <w:jc w:val="right"/>
              <w:rPr>
                <w:sz w:val="18"/>
                <w:szCs w:val="18"/>
              </w:rPr>
            </w:pPr>
          </w:p>
        </w:tc>
      </w:tr>
      <w:tr w:rsidR="005973A2">
        <w:trPr>
          <w:trHeight w:val="340"/>
        </w:trPr>
        <w:tc>
          <w:tcPr>
            <w:tcW w:w="1495" w:type="pct"/>
            <w:tcBorders>
              <w:tl2br w:val="nil"/>
              <w:tr2bl w:val="nil"/>
            </w:tcBorders>
            <w:vAlign w:val="center"/>
          </w:tcPr>
          <w:p w:rsidR="005973A2" w:rsidRDefault="00100C1E">
            <w:pPr>
              <w:tabs>
                <w:tab w:val="center" w:pos="4153"/>
                <w:tab w:val="right" w:pos="8306"/>
              </w:tabs>
              <w:rPr>
                <w:b/>
                <w:bCs/>
                <w:sz w:val="18"/>
                <w:szCs w:val="18"/>
              </w:rPr>
            </w:pPr>
            <w:r>
              <w:rPr>
                <w:b/>
                <w:bCs/>
                <w:sz w:val="18"/>
                <w:szCs w:val="18"/>
              </w:rPr>
              <w:t>合计</w:t>
            </w:r>
          </w:p>
        </w:tc>
        <w:tc>
          <w:tcPr>
            <w:tcW w:w="1069" w:type="pct"/>
            <w:tcBorders>
              <w:tl2br w:val="nil"/>
              <w:tr2bl w:val="nil"/>
            </w:tcBorders>
            <w:vAlign w:val="center"/>
          </w:tcPr>
          <w:p w:rsidR="005973A2" w:rsidRDefault="00100C1E">
            <w:pPr>
              <w:jc w:val="right"/>
              <w:rPr>
                <w:b/>
                <w:bCs/>
                <w:color w:val="000000"/>
                <w:sz w:val="18"/>
                <w:szCs w:val="18"/>
              </w:rPr>
            </w:pPr>
            <w:r>
              <w:rPr>
                <w:b/>
                <w:bCs/>
                <w:color w:val="000000"/>
                <w:sz w:val="18"/>
                <w:szCs w:val="18"/>
              </w:rPr>
              <w:t>32,529.06</w:t>
            </w:r>
          </w:p>
        </w:tc>
        <w:tc>
          <w:tcPr>
            <w:tcW w:w="1218" w:type="pct"/>
            <w:tcBorders>
              <w:tl2br w:val="nil"/>
              <w:tr2bl w:val="nil"/>
            </w:tcBorders>
            <w:vAlign w:val="center"/>
          </w:tcPr>
          <w:p w:rsidR="005973A2" w:rsidRDefault="00100C1E">
            <w:pPr>
              <w:jc w:val="right"/>
              <w:rPr>
                <w:b/>
                <w:bCs/>
                <w:color w:val="000000"/>
                <w:sz w:val="18"/>
                <w:szCs w:val="18"/>
              </w:rPr>
            </w:pPr>
            <w:r>
              <w:rPr>
                <w:b/>
                <w:bCs/>
                <w:color w:val="000000"/>
                <w:sz w:val="18"/>
                <w:szCs w:val="18"/>
              </w:rPr>
              <w:t>28,142.37</w:t>
            </w:r>
          </w:p>
        </w:tc>
        <w:tc>
          <w:tcPr>
            <w:tcW w:w="1218" w:type="pct"/>
            <w:tcBorders>
              <w:tl2br w:val="nil"/>
              <w:tr2bl w:val="nil"/>
            </w:tcBorders>
            <w:vAlign w:val="center"/>
          </w:tcPr>
          <w:p w:rsidR="005973A2" w:rsidRDefault="00100C1E">
            <w:pPr>
              <w:jc w:val="right"/>
              <w:rPr>
                <w:b/>
                <w:bCs/>
                <w:color w:val="000000"/>
                <w:sz w:val="18"/>
                <w:szCs w:val="18"/>
              </w:rPr>
            </w:pPr>
            <w:r>
              <w:rPr>
                <w:b/>
                <w:bCs/>
                <w:color w:val="000000"/>
                <w:sz w:val="18"/>
                <w:szCs w:val="18"/>
              </w:rPr>
              <w:t>4,186.69</w:t>
            </w:r>
          </w:p>
        </w:tc>
      </w:tr>
    </w:tbl>
    <w:p w:rsidR="005973A2" w:rsidRDefault="00100C1E" w:rsidP="00100C1E">
      <w:pPr>
        <w:spacing w:beforeLines="50" w:before="156" w:line="360" w:lineRule="auto"/>
        <w:rPr>
          <w:b/>
          <w:bCs/>
          <w:sz w:val="28"/>
          <w:szCs w:val="28"/>
        </w:rPr>
      </w:pPr>
      <w:r>
        <w:rPr>
          <w:b/>
          <w:bCs/>
          <w:sz w:val="28"/>
          <w:szCs w:val="28"/>
        </w:rPr>
        <w:t>三、募集资金闲置情况</w:t>
      </w:r>
    </w:p>
    <w:p w:rsidR="005973A2" w:rsidRDefault="00100C1E" w:rsidP="00100C1E">
      <w:pPr>
        <w:spacing w:beforeLines="50" w:before="156" w:line="360" w:lineRule="auto"/>
        <w:ind w:firstLineChars="200" w:firstLine="480"/>
        <w:rPr>
          <w:sz w:val="24"/>
          <w:szCs w:val="24"/>
        </w:rPr>
      </w:pPr>
      <w:r>
        <w:rPr>
          <w:sz w:val="24"/>
          <w:szCs w:val="24"/>
        </w:rPr>
        <w:t>由于募集资金投资项目建设需要一定周期</w:t>
      </w:r>
      <w:r>
        <w:rPr>
          <w:rFonts w:hint="eastAsia"/>
          <w:sz w:val="24"/>
          <w:szCs w:val="24"/>
        </w:rPr>
        <w:t>，</w:t>
      </w:r>
      <w:r>
        <w:rPr>
          <w:sz w:val="24"/>
          <w:szCs w:val="24"/>
        </w:rPr>
        <w:t>现阶段募集资金（含超募资金）在短期内将出现部分闲置的情况，为提高公司资金使用效率，在不影响募集资金投资项目建设和公司正常经营的前提下，合理利用部分暂时闲置的募集资金（含超募资金）进行现金管理，以增加资金收益，为公司和股东获取回报。</w:t>
      </w:r>
    </w:p>
    <w:p w:rsidR="005973A2" w:rsidRDefault="00100C1E" w:rsidP="00100C1E">
      <w:pPr>
        <w:spacing w:beforeLines="50" w:before="156" w:line="360" w:lineRule="auto"/>
        <w:rPr>
          <w:b/>
          <w:bCs/>
          <w:sz w:val="28"/>
          <w:szCs w:val="28"/>
        </w:rPr>
      </w:pPr>
      <w:r>
        <w:rPr>
          <w:b/>
          <w:bCs/>
          <w:sz w:val="28"/>
          <w:szCs w:val="28"/>
        </w:rPr>
        <w:t>四、本次使用闲置募集资金进行现金管理的基本情况</w:t>
      </w:r>
    </w:p>
    <w:p w:rsidR="005973A2" w:rsidRDefault="00100C1E" w:rsidP="00100C1E">
      <w:pPr>
        <w:spacing w:beforeLines="50" w:before="156" w:line="360" w:lineRule="auto"/>
        <w:ind w:firstLineChars="200" w:firstLine="480"/>
        <w:rPr>
          <w:sz w:val="24"/>
          <w:szCs w:val="24"/>
        </w:rPr>
      </w:pPr>
      <w:r>
        <w:rPr>
          <w:sz w:val="24"/>
          <w:szCs w:val="24"/>
        </w:rPr>
        <w:t>（一）投资目的</w:t>
      </w:r>
    </w:p>
    <w:p w:rsidR="005973A2" w:rsidRDefault="00100C1E" w:rsidP="00100C1E">
      <w:pPr>
        <w:spacing w:beforeLines="50" w:before="156" w:line="360" w:lineRule="auto"/>
        <w:ind w:firstLineChars="200" w:firstLine="480"/>
        <w:rPr>
          <w:sz w:val="24"/>
          <w:szCs w:val="24"/>
        </w:rPr>
      </w:pPr>
      <w:r>
        <w:rPr>
          <w:sz w:val="24"/>
          <w:szCs w:val="24"/>
        </w:rPr>
        <w:lastRenderedPageBreak/>
        <w:t>为提高公司资金使用效率，在不影响募集资金投资项目建设和公司正常运营的前提下，合理利用部分暂时闲置的募集资金（含超募资金及进行现金管理后所产生的利息）进行现金管理，以增加资金收益，为公司和股东获取回报。</w:t>
      </w:r>
    </w:p>
    <w:p w:rsidR="005973A2" w:rsidRDefault="00100C1E" w:rsidP="00100C1E">
      <w:pPr>
        <w:spacing w:beforeLines="50" w:before="156" w:line="360" w:lineRule="auto"/>
        <w:ind w:firstLineChars="200" w:firstLine="480"/>
        <w:rPr>
          <w:sz w:val="24"/>
          <w:szCs w:val="24"/>
        </w:rPr>
      </w:pPr>
      <w:r>
        <w:rPr>
          <w:sz w:val="24"/>
          <w:szCs w:val="24"/>
        </w:rPr>
        <w:t>（二）投资金额</w:t>
      </w:r>
    </w:p>
    <w:p w:rsidR="005973A2" w:rsidRDefault="00100C1E" w:rsidP="00100C1E">
      <w:pPr>
        <w:spacing w:beforeLines="50" w:before="156" w:line="360" w:lineRule="auto"/>
        <w:ind w:firstLineChars="200" w:firstLine="480"/>
        <w:rPr>
          <w:sz w:val="24"/>
          <w:szCs w:val="24"/>
        </w:rPr>
      </w:pPr>
      <w:r>
        <w:rPr>
          <w:sz w:val="24"/>
          <w:szCs w:val="24"/>
        </w:rPr>
        <w:t>公司使用不超过人民币</w:t>
      </w:r>
      <w:r>
        <w:rPr>
          <w:sz w:val="24"/>
          <w:szCs w:val="24"/>
        </w:rPr>
        <w:t>1.8</w:t>
      </w:r>
      <w:r>
        <w:rPr>
          <w:sz w:val="24"/>
          <w:szCs w:val="24"/>
        </w:rPr>
        <w:t>亿元的部分暂时闲置的募集资金（含超募资金及进行现金管理后所产生的利息）进行现金管理，上述资金额度自股东会审议通过之日起</w:t>
      </w:r>
      <w:r>
        <w:rPr>
          <w:sz w:val="24"/>
          <w:szCs w:val="24"/>
        </w:rPr>
        <w:t>12</w:t>
      </w:r>
      <w:r>
        <w:rPr>
          <w:sz w:val="24"/>
          <w:szCs w:val="24"/>
        </w:rPr>
        <w:t>个月内可循环滚动使用。</w:t>
      </w:r>
    </w:p>
    <w:p w:rsidR="005973A2" w:rsidRDefault="00100C1E" w:rsidP="00100C1E">
      <w:pPr>
        <w:spacing w:beforeLines="50" w:before="156" w:line="360" w:lineRule="auto"/>
        <w:ind w:firstLineChars="200" w:firstLine="480"/>
        <w:rPr>
          <w:sz w:val="24"/>
          <w:szCs w:val="24"/>
        </w:rPr>
      </w:pPr>
      <w:r>
        <w:rPr>
          <w:sz w:val="24"/>
          <w:szCs w:val="24"/>
        </w:rPr>
        <w:t>（三）投资品种</w:t>
      </w:r>
    </w:p>
    <w:p w:rsidR="005973A2" w:rsidRDefault="00100C1E" w:rsidP="00100C1E">
      <w:pPr>
        <w:spacing w:beforeLines="50" w:before="156" w:line="360" w:lineRule="auto"/>
        <w:ind w:firstLineChars="200" w:firstLine="480"/>
        <w:rPr>
          <w:sz w:val="24"/>
          <w:szCs w:val="24"/>
        </w:rPr>
      </w:pPr>
      <w:r>
        <w:rPr>
          <w:sz w:val="24"/>
          <w:szCs w:val="24"/>
        </w:rPr>
        <w:t>公司将严格按照相关规定控制风险，对投资产品进行严格评估，将上述资金投资于安全性高、流动性好且投资期限不超过</w:t>
      </w:r>
      <w:r>
        <w:rPr>
          <w:sz w:val="24"/>
          <w:szCs w:val="24"/>
        </w:rPr>
        <w:t>12</w:t>
      </w:r>
      <w:r>
        <w:rPr>
          <w:sz w:val="24"/>
          <w:szCs w:val="24"/>
        </w:rPr>
        <w:t>个月的产品（包括但不限于协定性存款、结构性存款、定期存款、通知存款、大额存单等）。该等现金管理产品不得用于质押，产品专用结算账户不得存放非募集资金或作其他用途。开立或注销产品专用结算账户的，公司将及时报深圳证券交易所备案并公告。</w:t>
      </w:r>
    </w:p>
    <w:p w:rsidR="005973A2" w:rsidRDefault="00100C1E" w:rsidP="00100C1E">
      <w:pPr>
        <w:spacing w:beforeLines="50" w:before="156" w:line="360" w:lineRule="auto"/>
        <w:ind w:firstLineChars="200" w:firstLine="480"/>
        <w:rPr>
          <w:sz w:val="24"/>
          <w:szCs w:val="24"/>
        </w:rPr>
      </w:pPr>
      <w:r>
        <w:rPr>
          <w:sz w:val="24"/>
          <w:szCs w:val="24"/>
        </w:rPr>
        <w:t>（四）实施方式</w:t>
      </w:r>
    </w:p>
    <w:p w:rsidR="005973A2" w:rsidRDefault="00100C1E" w:rsidP="00100C1E">
      <w:pPr>
        <w:spacing w:beforeLines="50" w:before="156" w:line="360" w:lineRule="auto"/>
        <w:ind w:firstLineChars="200" w:firstLine="480"/>
        <w:rPr>
          <w:sz w:val="24"/>
          <w:szCs w:val="24"/>
        </w:rPr>
      </w:pPr>
      <w:r>
        <w:rPr>
          <w:sz w:val="24"/>
          <w:szCs w:val="24"/>
        </w:rPr>
        <w:t>在公司股东会审议通过后，授权董事长或其指定授权对象，在上述额度内签署相关合同文件，并负责办理公司使用闲置募集资金进行现金管理的相关事宜，具体事项由财务部门负</w:t>
      </w:r>
      <w:r>
        <w:rPr>
          <w:sz w:val="24"/>
          <w:szCs w:val="24"/>
        </w:rPr>
        <w:t>责组织实施。</w:t>
      </w:r>
    </w:p>
    <w:p w:rsidR="005973A2" w:rsidRDefault="00100C1E" w:rsidP="00100C1E">
      <w:pPr>
        <w:spacing w:beforeLines="50" w:before="156" w:line="360" w:lineRule="auto"/>
        <w:ind w:firstLineChars="200" w:firstLine="480"/>
        <w:rPr>
          <w:sz w:val="24"/>
          <w:szCs w:val="24"/>
        </w:rPr>
      </w:pPr>
      <w:r>
        <w:rPr>
          <w:sz w:val="24"/>
          <w:szCs w:val="24"/>
        </w:rPr>
        <w:t>（五）信息披露</w:t>
      </w:r>
    </w:p>
    <w:p w:rsidR="005973A2" w:rsidRDefault="00100C1E" w:rsidP="00100C1E">
      <w:pPr>
        <w:spacing w:beforeLines="50" w:before="156" w:line="360" w:lineRule="auto"/>
        <w:ind w:firstLineChars="200" w:firstLine="480"/>
        <w:rPr>
          <w:sz w:val="24"/>
          <w:szCs w:val="24"/>
        </w:rPr>
      </w:pPr>
      <w:r>
        <w:rPr>
          <w:sz w:val="24"/>
          <w:szCs w:val="24"/>
        </w:rPr>
        <w:t>公司将按照《上市公司监管指引第</w:t>
      </w:r>
      <w:r>
        <w:rPr>
          <w:sz w:val="24"/>
          <w:szCs w:val="24"/>
        </w:rPr>
        <w:t>2</w:t>
      </w:r>
      <w:r>
        <w:rPr>
          <w:sz w:val="24"/>
          <w:szCs w:val="24"/>
        </w:rPr>
        <w:t>号</w:t>
      </w:r>
      <w:r>
        <w:rPr>
          <w:sz w:val="24"/>
          <w:szCs w:val="24"/>
        </w:rPr>
        <w:t>——</w:t>
      </w:r>
      <w:r>
        <w:rPr>
          <w:sz w:val="24"/>
          <w:szCs w:val="24"/>
        </w:rPr>
        <w:t>上市公司募集资金管理和使用的监管要求》《深圳证券交易所上市公司自律监管指引第</w:t>
      </w:r>
      <w:r>
        <w:rPr>
          <w:sz w:val="24"/>
          <w:szCs w:val="24"/>
        </w:rPr>
        <w:t>2</w:t>
      </w:r>
      <w:r>
        <w:rPr>
          <w:sz w:val="24"/>
          <w:szCs w:val="24"/>
        </w:rPr>
        <w:t>号</w:t>
      </w:r>
      <w:r>
        <w:rPr>
          <w:sz w:val="24"/>
          <w:szCs w:val="24"/>
        </w:rPr>
        <w:t>——</w:t>
      </w:r>
      <w:r>
        <w:rPr>
          <w:sz w:val="24"/>
          <w:szCs w:val="24"/>
        </w:rPr>
        <w:t>创业板上市公司规范运作》等相关要求及时履行信息披露义务。</w:t>
      </w:r>
    </w:p>
    <w:p w:rsidR="005973A2" w:rsidRDefault="00100C1E" w:rsidP="00100C1E">
      <w:pPr>
        <w:spacing w:beforeLines="50" w:before="156" w:line="360" w:lineRule="auto"/>
        <w:ind w:firstLineChars="200" w:firstLine="480"/>
        <w:rPr>
          <w:sz w:val="24"/>
          <w:szCs w:val="24"/>
        </w:rPr>
      </w:pPr>
      <w:r>
        <w:rPr>
          <w:sz w:val="24"/>
          <w:szCs w:val="24"/>
        </w:rPr>
        <w:t>（六）决议有效期</w:t>
      </w:r>
    </w:p>
    <w:p w:rsidR="005973A2" w:rsidRDefault="00100C1E" w:rsidP="00100C1E">
      <w:pPr>
        <w:spacing w:beforeLines="50" w:before="156" w:line="360" w:lineRule="auto"/>
        <w:ind w:firstLineChars="200" w:firstLine="480"/>
        <w:rPr>
          <w:sz w:val="24"/>
          <w:szCs w:val="24"/>
        </w:rPr>
      </w:pPr>
      <w:r>
        <w:rPr>
          <w:sz w:val="24"/>
          <w:szCs w:val="24"/>
        </w:rPr>
        <w:t>自公司股东会审议通过之日起</w:t>
      </w:r>
      <w:r>
        <w:rPr>
          <w:sz w:val="24"/>
          <w:szCs w:val="24"/>
        </w:rPr>
        <w:t>12</w:t>
      </w:r>
      <w:r>
        <w:rPr>
          <w:sz w:val="24"/>
          <w:szCs w:val="24"/>
        </w:rPr>
        <w:t>个月内有效。</w:t>
      </w:r>
    </w:p>
    <w:p w:rsidR="005973A2" w:rsidRDefault="00100C1E" w:rsidP="00100C1E">
      <w:pPr>
        <w:spacing w:beforeLines="50" w:before="156" w:line="360" w:lineRule="auto"/>
        <w:rPr>
          <w:b/>
          <w:bCs/>
          <w:sz w:val="28"/>
          <w:szCs w:val="28"/>
        </w:rPr>
      </w:pPr>
      <w:r>
        <w:rPr>
          <w:b/>
          <w:bCs/>
          <w:sz w:val="28"/>
          <w:szCs w:val="28"/>
        </w:rPr>
        <w:t>五、投资风险分析及风险控制措施</w:t>
      </w:r>
    </w:p>
    <w:p w:rsidR="005973A2" w:rsidRDefault="00100C1E" w:rsidP="00100C1E">
      <w:pPr>
        <w:spacing w:beforeLines="50" w:before="156" w:line="360" w:lineRule="auto"/>
        <w:ind w:firstLineChars="200" w:firstLine="480"/>
        <w:rPr>
          <w:sz w:val="24"/>
          <w:szCs w:val="24"/>
        </w:rPr>
      </w:pPr>
      <w:r>
        <w:rPr>
          <w:sz w:val="24"/>
          <w:szCs w:val="24"/>
        </w:rPr>
        <w:t>（一）投资风险分析</w:t>
      </w:r>
    </w:p>
    <w:p w:rsidR="005973A2" w:rsidRDefault="00100C1E" w:rsidP="00100C1E">
      <w:pPr>
        <w:spacing w:beforeLines="50" w:before="156" w:line="360" w:lineRule="auto"/>
        <w:ind w:firstLineChars="200" w:firstLine="480"/>
        <w:rPr>
          <w:sz w:val="24"/>
          <w:szCs w:val="24"/>
        </w:rPr>
      </w:pPr>
      <w:r>
        <w:rPr>
          <w:sz w:val="24"/>
          <w:szCs w:val="24"/>
        </w:rPr>
        <w:lastRenderedPageBreak/>
        <w:t>尽管公司选择安全性高、流动性好的低风险投资品种现金管理产品，但鉴于金融市场受宏观经济的影响较大，公司将根据经济形势以及金融市场的变化适时适量介入，不排除该项投资受市场波动的影响导致实际收益</w:t>
      </w:r>
      <w:r>
        <w:rPr>
          <w:sz w:val="24"/>
          <w:szCs w:val="24"/>
        </w:rPr>
        <w:t>不可预期的风险。</w:t>
      </w:r>
    </w:p>
    <w:p w:rsidR="005973A2" w:rsidRDefault="00100C1E" w:rsidP="00100C1E">
      <w:pPr>
        <w:spacing w:beforeLines="50" w:before="156" w:line="360" w:lineRule="auto"/>
        <w:ind w:firstLineChars="200" w:firstLine="480"/>
        <w:rPr>
          <w:sz w:val="24"/>
          <w:szCs w:val="24"/>
        </w:rPr>
      </w:pPr>
      <w:r>
        <w:rPr>
          <w:sz w:val="24"/>
          <w:szCs w:val="24"/>
        </w:rPr>
        <w:t>（二）风险控制措施</w:t>
      </w:r>
    </w:p>
    <w:p w:rsidR="005973A2" w:rsidRDefault="00100C1E" w:rsidP="00100C1E">
      <w:pPr>
        <w:spacing w:beforeLines="50" w:before="156" w:line="360" w:lineRule="auto"/>
        <w:ind w:firstLineChars="200" w:firstLine="480"/>
        <w:rPr>
          <w:sz w:val="24"/>
          <w:szCs w:val="24"/>
        </w:rPr>
      </w:pPr>
      <w:r>
        <w:rPr>
          <w:sz w:val="24"/>
          <w:szCs w:val="24"/>
        </w:rPr>
        <w:t>1.</w:t>
      </w:r>
      <w:r>
        <w:rPr>
          <w:sz w:val="24"/>
          <w:szCs w:val="24"/>
        </w:rPr>
        <w:t>公司将严格遵守审慎投资原则，选择低风险投资品种，不得将募集资金用于其他证券投资，不得购买股票及其衍生品和无担保债券为投资标的的银行理财产品等。</w:t>
      </w:r>
    </w:p>
    <w:p w:rsidR="005973A2" w:rsidRDefault="00100C1E" w:rsidP="00100C1E">
      <w:pPr>
        <w:spacing w:beforeLines="50" w:before="156" w:line="360" w:lineRule="auto"/>
        <w:ind w:firstLineChars="200" w:firstLine="480"/>
        <w:rPr>
          <w:sz w:val="24"/>
          <w:szCs w:val="24"/>
        </w:rPr>
      </w:pPr>
      <w:r>
        <w:rPr>
          <w:sz w:val="24"/>
          <w:szCs w:val="24"/>
        </w:rPr>
        <w:t>2.</w:t>
      </w:r>
      <w:r>
        <w:rPr>
          <w:sz w:val="24"/>
          <w:szCs w:val="24"/>
        </w:rPr>
        <w:t>公司财务部门将及时分析和跟踪理财产品投向。在上述理财产品理财期间，公司将与相关金融机构保持密切联系，及时跟踪理财资金的运作情况，加强风险控制和监督，严格控制资金的安全。</w:t>
      </w:r>
    </w:p>
    <w:p w:rsidR="005973A2" w:rsidRDefault="00100C1E" w:rsidP="00100C1E">
      <w:pPr>
        <w:spacing w:beforeLines="50" w:before="156" w:line="360" w:lineRule="auto"/>
        <w:ind w:firstLineChars="200" w:firstLine="480"/>
        <w:rPr>
          <w:sz w:val="24"/>
          <w:szCs w:val="24"/>
        </w:rPr>
      </w:pPr>
      <w:r>
        <w:rPr>
          <w:sz w:val="24"/>
          <w:szCs w:val="24"/>
        </w:rPr>
        <w:t>3.</w:t>
      </w:r>
      <w:r>
        <w:rPr>
          <w:sz w:val="24"/>
          <w:szCs w:val="24"/>
        </w:rPr>
        <w:t>公司审计部门对理财资金使用和保管情况进行日常监督，定期对理财资金使用情况进行审计、核实。</w:t>
      </w:r>
    </w:p>
    <w:p w:rsidR="005973A2" w:rsidRDefault="00100C1E" w:rsidP="00100C1E">
      <w:pPr>
        <w:spacing w:beforeLines="50" w:before="156" w:line="360" w:lineRule="auto"/>
        <w:ind w:firstLineChars="200" w:firstLine="480"/>
        <w:rPr>
          <w:sz w:val="24"/>
          <w:szCs w:val="24"/>
        </w:rPr>
      </w:pPr>
      <w:r>
        <w:rPr>
          <w:sz w:val="24"/>
          <w:szCs w:val="24"/>
        </w:rPr>
        <w:t>4.</w:t>
      </w:r>
      <w:r>
        <w:rPr>
          <w:sz w:val="24"/>
          <w:szCs w:val="24"/>
        </w:rPr>
        <w:t>公司监事会、独立董事有权对资金使用情况进行监督与核查，</w:t>
      </w:r>
      <w:r>
        <w:rPr>
          <w:sz w:val="24"/>
          <w:szCs w:val="24"/>
        </w:rPr>
        <w:t>必要时可以聘请专业机构进行审计。</w:t>
      </w:r>
    </w:p>
    <w:p w:rsidR="005973A2" w:rsidRDefault="00100C1E" w:rsidP="00100C1E">
      <w:pPr>
        <w:spacing w:beforeLines="50" w:before="156" w:line="360" w:lineRule="auto"/>
        <w:ind w:firstLineChars="200" w:firstLine="480"/>
        <w:rPr>
          <w:sz w:val="24"/>
          <w:szCs w:val="24"/>
        </w:rPr>
      </w:pPr>
      <w:r>
        <w:rPr>
          <w:sz w:val="24"/>
          <w:szCs w:val="24"/>
        </w:rPr>
        <w:t>5.</w:t>
      </w:r>
      <w:r>
        <w:rPr>
          <w:sz w:val="24"/>
          <w:szCs w:val="24"/>
        </w:rPr>
        <w:t>公司将依据深圳证券交易所的相关规定，及时做好相关信息披露工作。</w:t>
      </w:r>
    </w:p>
    <w:p w:rsidR="005973A2" w:rsidRDefault="00100C1E" w:rsidP="00100C1E">
      <w:pPr>
        <w:spacing w:beforeLines="50" w:before="156" w:line="360" w:lineRule="auto"/>
        <w:rPr>
          <w:b/>
          <w:bCs/>
          <w:sz w:val="28"/>
          <w:szCs w:val="28"/>
        </w:rPr>
      </w:pPr>
      <w:r>
        <w:rPr>
          <w:b/>
          <w:bCs/>
          <w:sz w:val="28"/>
          <w:szCs w:val="28"/>
        </w:rPr>
        <w:t>六、本次现金管理事项对公司的影响</w:t>
      </w:r>
    </w:p>
    <w:p w:rsidR="005973A2" w:rsidRDefault="00100C1E" w:rsidP="00100C1E">
      <w:pPr>
        <w:spacing w:beforeLines="50" w:before="156" w:line="360" w:lineRule="auto"/>
        <w:ind w:firstLineChars="200" w:firstLine="480"/>
        <w:rPr>
          <w:sz w:val="24"/>
          <w:szCs w:val="24"/>
        </w:rPr>
      </w:pPr>
      <w:r>
        <w:rPr>
          <w:sz w:val="24"/>
          <w:szCs w:val="24"/>
        </w:rPr>
        <w:t>公司使用部分闲置募集资金（含超募资金）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rsidR="005973A2" w:rsidRDefault="00100C1E" w:rsidP="00100C1E">
      <w:pPr>
        <w:spacing w:beforeLines="50" w:before="156" w:line="360" w:lineRule="auto"/>
        <w:ind w:firstLineChars="200" w:firstLine="480"/>
        <w:rPr>
          <w:sz w:val="24"/>
          <w:szCs w:val="24"/>
        </w:rPr>
      </w:pPr>
      <w:r>
        <w:rPr>
          <w:sz w:val="24"/>
          <w:szCs w:val="24"/>
        </w:rPr>
        <w:t>通过对部分暂时闲置募集资金进行适度、适时的现金管理，可以提高资金的使用效率，为公司和股东获取更多投资回报。</w:t>
      </w:r>
    </w:p>
    <w:p w:rsidR="005973A2" w:rsidRDefault="00100C1E" w:rsidP="00100C1E">
      <w:pPr>
        <w:spacing w:beforeLines="50" w:before="156" w:line="360" w:lineRule="auto"/>
        <w:rPr>
          <w:b/>
          <w:bCs/>
          <w:sz w:val="28"/>
          <w:szCs w:val="28"/>
        </w:rPr>
      </w:pPr>
      <w:r>
        <w:rPr>
          <w:b/>
          <w:bCs/>
          <w:sz w:val="28"/>
          <w:szCs w:val="28"/>
        </w:rPr>
        <w:t>七、相关审核程序及意见</w:t>
      </w:r>
    </w:p>
    <w:p w:rsidR="005973A2" w:rsidRDefault="00100C1E" w:rsidP="00100C1E">
      <w:pPr>
        <w:spacing w:beforeLines="50" w:before="156" w:line="360" w:lineRule="auto"/>
        <w:ind w:firstLineChars="200" w:firstLine="480"/>
        <w:rPr>
          <w:sz w:val="24"/>
          <w:szCs w:val="24"/>
        </w:rPr>
      </w:pPr>
      <w:r>
        <w:rPr>
          <w:sz w:val="24"/>
          <w:szCs w:val="24"/>
        </w:rPr>
        <w:t>公</w:t>
      </w:r>
      <w:r>
        <w:rPr>
          <w:sz w:val="24"/>
          <w:szCs w:val="24"/>
        </w:rPr>
        <w:t>司于</w:t>
      </w:r>
      <w:r>
        <w:rPr>
          <w:sz w:val="24"/>
          <w:szCs w:val="24"/>
        </w:rPr>
        <w:t>2024</w:t>
      </w:r>
      <w:r>
        <w:rPr>
          <w:sz w:val="24"/>
          <w:szCs w:val="24"/>
        </w:rPr>
        <w:t>年</w:t>
      </w:r>
      <w:r>
        <w:rPr>
          <w:sz w:val="24"/>
          <w:szCs w:val="24"/>
        </w:rPr>
        <w:t>12</w:t>
      </w:r>
      <w:r>
        <w:rPr>
          <w:sz w:val="24"/>
          <w:szCs w:val="24"/>
        </w:rPr>
        <w:t>月</w:t>
      </w:r>
      <w:r>
        <w:rPr>
          <w:sz w:val="24"/>
          <w:szCs w:val="24"/>
        </w:rPr>
        <w:t>11</w:t>
      </w:r>
      <w:r>
        <w:rPr>
          <w:sz w:val="24"/>
          <w:szCs w:val="24"/>
        </w:rPr>
        <w:t>日召开第三届董事会第二十六次会议、第三届监事会第二十四次会议，审议通过了《关于使用部分闲置募集资金（含超募资金）进</w:t>
      </w:r>
      <w:r>
        <w:rPr>
          <w:sz w:val="24"/>
          <w:szCs w:val="24"/>
        </w:rPr>
        <w:lastRenderedPageBreak/>
        <w:t>行现金管理的议案》。本事项尚需提交公司股东会审议</w:t>
      </w:r>
      <w:r>
        <w:rPr>
          <w:sz w:val="24"/>
          <w:szCs w:val="24"/>
        </w:rPr>
        <w:t>,</w:t>
      </w:r>
      <w:r>
        <w:rPr>
          <w:sz w:val="24"/>
          <w:szCs w:val="24"/>
        </w:rPr>
        <w:t>经股东会审议通过后方可实施。具体如下</w:t>
      </w:r>
      <w:r>
        <w:rPr>
          <w:rFonts w:hint="eastAsia"/>
          <w:sz w:val="24"/>
          <w:szCs w:val="24"/>
        </w:rPr>
        <w:t>：</w:t>
      </w:r>
    </w:p>
    <w:p w:rsidR="005973A2" w:rsidRDefault="00100C1E" w:rsidP="00100C1E">
      <w:pPr>
        <w:spacing w:beforeLines="50" w:before="156" w:line="360" w:lineRule="auto"/>
        <w:ind w:firstLineChars="200" w:firstLine="480"/>
        <w:rPr>
          <w:sz w:val="24"/>
          <w:szCs w:val="24"/>
        </w:rPr>
      </w:pPr>
      <w:r>
        <w:rPr>
          <w:sz w:val="24"/>
          <w:szCs w:val="24"/>
        </w:rPr>
        <w:t>（一）董事会审议情况</w:t>
      </w:r>
    </w:p>
    <w:p w:rsidR="005973A2" w:rsidRDefault="00100C1E" w:rsidP="00100C1E">
      <w:pPr>
        <w:spacing w:beforeLines="50" w:before="156" w:line="360" w:lineRule="auto"/>
        <w:ind w:firstLineChars="200" w:firstLine="480"/>
        <w:rPr>
          <w:sz w:val="24"/>
          <w:szCs w:val="24"/>
        </w:rPr>
      </w:pPr>
      <w:r>
        <w:rPr>
          <w:sz w:val="24"/>
          <w:szCs w:val="24"/>
        </w:rPr>
        <w:t>公司于</w:t>
      </w:r>
      <w:r>
        <w:rPr>
          <w:sz w:val="24"/>
          <w:szCs w:val="24"/>
        </w:rPr>
        <w:t>2024</w:t>
      </w:r>
      <w:r>
        <w:rPr>
          <w:sz w:val="24"/>
          <w:szCs w:val="24"/>
        </w:rPr>
        <w:t>年</w:t>
      </w:r>
      <w:r>
        <w:rPr>
          <w:sz w:val="24"/>
          <w:szCs w:val="24"/>
        </w:rPr>
        <w:t>12</w:t>
      </w:r>
      <w:r>
        <w:rPr>
          <w:sz w:val="24"/>
          <w:szCs w:val="24"/>
        </w:rPr>
        <w:t>月</w:t>
      </w:r>
      <w:r>
        <w:rPr>
          <w:sz w:val="24"/>
          <w:szCs w:val="24"/>
        </w:rPr>
        <w:t>11</w:t>
      </w:r>
      <w:r>
        <w:rPr>
          <w:sz w:val="24"/>
          <w:szCs w:val="24"/>
        </w:rPr>
        <w:t>日召开第三届董事会第二十六次会议，以</w:t>
      </w:r>
      <w:r>
        <w:rPr>
          <w:sz w:val="24"/>
          <w:szCs w:val="24"/>
        </w:rPr>
        <w:t>8</w:t>
      </w:r>
      <w:r>
        <w:rPr>
          <w:sz w:val="24"/>
          <w:szCs w:val="24"/>
        </w:rPr>
        <w:t>票同意、</w:t>
      </w:r>
      <w:r>
        <w:rPr>
          <w:sz w:val="24"/>
          <w:szCs w:val="24"/>
        </w:rPr>
        <w:t>0</w:t>
      </w:r>
      <w:r>
        <w:rPr>
          <w:sz w:val="24"/>
          <w:szCs w:val="24"/>
        </w:rPr>
        <w:t>票反对、</w:t>
      </w:r>
      <w:r>
        <w:rPr>
          <w:sz w:val="24"/>
          <w:szCs w:val="24"/>
        </w:rPr>
        <w:t>0</w:t>
      </w:r>
      <w:r>
        <w:rPr>
          <w:sz w:val="24"/>
          <w:szCs w:val="24"/>
        </w:rPr>
        <w:t>票弃权审议通过了《关于使用部分闲置募集资金（含超募资金）进行现金管理的议案》，同意公司使用不超过人民币</w:t>
      </w:r>
      <w:r>
        <w:rPr>
          <w:sz w:val="24"/>
          <w:szCs w:val="24"/>
        </w:rPr>
        <w:t>1.8</w:t>
      </w:r>
      <w:r>
        <w:rPr>
          <w:sz w:val="24"/>
          <w:szCs w:val="24"/>
        </w:rPr>
        <w:t>亿元的部分暂时闲置的募集资金（含超募资金及进行现金管理后所产生的利息）</w:t>
      </w:r>
      <w:r>
        <w:rPr>
          <w:sz w:val="24"/>
          <w:szCs w:val="24"/>
        </w:rPr>
        <w:t>进行现金管理。该事项尚需提交股东会审议。</w:t>
      </w:r>
    </w:p>
    <w:p w:rsidR="005973A2" w:rsidRDefault="00100C1E" w:rsidP="00100C1E">
      <w:pPr>
        <w:spacing w:beforeLines="50" w:before="156" w:line="360" w:lineRule="auto"/>
        <w:ind w:firstLineChars="200" w:firstLine="480"/>
        <w:rPr>
          <w:sz w:val="24"/>
          <w:szCs w:val="24"/>
        </w:rPr>
      </w:pPr>
      <w:r>
        <w:rPr>
          <w:sz w:val="24"/>
          <w:szCs w:val="24"/>
        </w:rPr>
        <w:t>（二）监事会意见</w:t>
      </w:r>
    </w:p>
    <w:p w:rsidR="005973A2" w:rsidRDefault="00100C1E" w:rsidP="00100C1E">
      <w:pPr>
        <w:spacing w:beforeLines="50" w:before="156" w:line="360" w:lineRule="auto"/>
        <w:ind w:firstLineChars="200" w:firstLine="480"/>
        <w:rPr>
          <w:sz w:val="24"/>
          <w:szCs w:val="24"/>
        </w:rPr>
      </w:pPr>
      <w:r>
        <w:rPr>
          <w:sz w:val="24"/>
          <w:szCs w:val="24"/>
        </w:rPr>
        <w:t>经审议，监事会认为，公司本次使用闲置募集资金（含超募资金）进行现金管理的决策程序符合相关规定，该事项在确保不影响公司正常经营和募集资金投资计划正常进行的前提下开展，有利于提高资金使用效率，不存在变相改变募集资金投向或损害股东利益的情形。综上所述，监事会同意该议案并同意将其提交至股东会审议。</w:t>
      </w:r>
    </w:p>
    <w:p w:rsidR="005973A2" w:rsidRDefault="00100C1E" w:rsidP="00100C1E">
      <w:pPr>
        <w:spacing w:beforeLines="50" w:before="156" w:line="360" w:lineRule="auto"/>
        <w:ind w:firstLineChars="200" w:firstLine="562"/>
        <w:rPr>
          <w:b/>
          <w:bCs/>
          <w:sz w:val="28"/>
          <w:szCs w:val="28"/>
        </w:rPr>
      </w:pPr>
      <w:r>
        <w:rPr>
          <w:rFonts w:hint="eastAsia"/>
          <w:b/>
          <w:bCs/>
          <w:sz w:val="28"/>
          <w:szCs w:val="28"/>
        </w:rPr>
        <w:t>八、</w:t>
      </w:r>
      <w:r>
        <w:rPr>
          <w:b/>
          <w:bCs/>
          <w:sz w:val="28"/>
          <w:szCs w:val="28"/>
        </w:rPr>
        <w:t>保荐机构核查意见</w:t>
      </w:r>
    </w:p>
    <w:p w:rsidR="005973A2" w:rsidRDefault="00100C1E" w:rsidP="00100C1E">
      <w:pPr>
        <w:spacing w:beforeLines="50" w:before="156" w:line="360" w:lineRule="auto"/>
        <w:ind w:firstLineChars="200" w:firstLine="480"/>
        <w:rPr>
          <w:sz w:val="24"/>
          <w:szCs w:val="24"/>
        </w:rPr>
      </w:pPr>
      <w:r>
        <w:rPr>
          <w:sz w:val="24"/>
          <w:szCs w:val="24"/>
        </w:rPr>
        <w:t>经核查，保荐机构认为：公司本次使用部分闲置募集资金</w:t>
      </w:r>
      <w:r>
        <w:rPr>
          <w:rFonts w:hint="eastAsia"/>
          <w:sz w:val="24"/>
          <w:szCs w:val="24"/>
        </w:rPr>
        <w:t>（</w:t>
      </w:r>
      <w:r>
        <w:rPr>
          <w:rFonts w:hint="eastAsia"/>
          <w:sz w:val="24"/>
          <w:szCs w:val="24"/>
        </w:rPr>
        <w:t>含超募资金</w:t>
      </w:r>
      <w:r>
        <w:rPr>
          <w:rFonts w:hint="eastAsia"/>
          <w:sz w:val="24"/>
          <w:szCs w:val="24"/>
        </w:rPr>
        <w:t>）</w:t>
      </w:r>
      <w:r>
        <w:rPr>
          <w:sz w:val="24"/>
          <w:szCs w:val="24"/>
        </w:rPr>
        <w:t>进行现金管理的事项已经公司第三届董事会第二十六次会议和第三届监事会第二十四次会议审议通过，履行了必要的法律程序，符合相关法律法规的要求，尚需提交公司股东会审议，自股东会审议通过后方可实施。</w:t>
      </w:r>
    </w:p>
    <w:p w:rsidR="005973A2" w:rsidRDefault="00100C1E" w:rsidP="00100C1E">
      <w:pPr>
        <w:spacing w:beforeLines="50" w:before="156" w:line="360" w:lineRule="auto"/>
        <w:ind w:firstLineChars="200" w:firstLine="480"/>
        <w:rPr>
          <w:sz w:val="24"/>
          <w:szCs w:val="24"/>
        </w:rPr>
      </w:pPr>
      <w:r>
        <w:rPr>
          <w:sz w:val="24"/>
          <w:szCs w:val="24"/>
        </w:rPr>
        <w:t>公司本次使用部分闲置募集资金</w:t>
      </w:r>
      <w:r>
        <w:rPr>
          <w:rFonts w:hint="eastAsia"/>
          <w:sz w:val="24"/>
          <w:szCs w:val="24"/>
        </w:rPr>
        <w:t>（</w:t>
      </w:r>
      <w:r>
        <w:rPr>
          <w:rFonts w:hint="eastAsia"/>
          <w:sz w:val="24"/>
          <w:szCs w:val="24"/>
        </w:rPr>
        <w:t>含超募资金</w:t>
      </w:r>
      <w:r>
        <w:rPr>
          <w:rFonts w:hint="eastAsia"/>
          <w:sz w:val="24"/>
          <w:szCs w:val="24"/>
        </w:rPr>
        <w:t>）</w:t>
      </w:r>
      <w:r>
        <w:rPr>
          <w:sz w:val="24"/>
          <w:szCs w:val="24"/>
        </w:rPr>
        <w:t>进行现金管理的事项符合《深圳证券交易所股票上市规则》《上市公司监管指引第</w:t>
      </w:r>
      <w:r>
        <w:rPr>
          <w:sz w:val="24"/>
          <w:szCs w:val="24"/>
        </w:rPr>
        <w:t>2</w:t>
      </w:r>
      <w:r>
        <w:rPr>
          <w:sz w:val="24"/>
          <w:szCs w:val="24"/>
        </w:rPr>
        <w:t>号</w:t>
      </w:r>
      <w:r>
        <w:rPr>
          <w:sz w:val="24"/>
          <w:szCs w:val="24"/>
        </w:rPr>
        <w:t>——</w:t>
      </w:r>
      <w:r>
        <w:rPr>
          <w:sz w:val="24"/>
          <w:szCs w:val="24"/>
        </w:rPr>
        <w:t>上市公司募集资金管理和使用的监管要求》《深圳证券交易所上市公司自律监管指引第</w:t>
      </w:r>
      <w:r>
        <w:rPr>
          <w:sz w:val="24"/>
          <w:szCs w:val="24"/>
        </w:rPr>
        <w:t>2</w:t>
      </w:r>
      <w:r>
        <w:rPr>
          <w:sz w:val="24"/>
          <w:szCs w:val="24"/>
        </w:rPr>
        <w:t>号</w:t>
      </w:r>
      <w:r>
        <w:rPr>
          <w:sz w:val="24"/>
          <w:szCs w:val="24"/>
        </w:rPr>
        <w:t>——</w:t>
      </w:r>
      <w:r>
        <w:rPr>
          <w:sz w:val="24"/>
          <w:szCs w:val="24"/>
        </w:rPr>
        <w:t>创业板上市公司规范运作》等相关</w:t>
      </w:r>
      <w:r>
        <w:rPr>
          <w:rFonts w:hint="eastAsia"/>
          <w:sz w:val="24"/>
          <w:szCs w:val="24"/>
        </w:rPr>
        <w:t>法律法规</w:t>
      </w:r>
      <w:r>
        <w:rPr>
          <w:sz w:val="24"/>
          <w:szCs w:val="24"/>
        </w:rPr>
        <w:t>、规范性文件的要求</w:t>
      </w:r>
      <w:r>
        <w:rPr>
          <w:rFonts w:hint="eastAsia"/>
          <w:sz w:val="24"/>
          <w:szCs w:val="24"/>
        </w:rPr>
        <w:t>，</w:t>
      </w:r>
      <w:r>
        <w:rPr>
          <w:sz w:val="24"/>
          <w:szCs w:val="24"/>
        </w:rPr>
        <w:t>不存在损害公司股东利益的情形，符合公司发展利益的需要。</w:t>
      </w:r>
    </w:p>
    <w:p w:rsidR="005973A2" w:rsidRDefault="00100C1E" w:rsidP="00100C1E">
      <w:pPr>
        <w:spacing w:beforeLines="50" w:before="156" w:line="360" w:lineRule="auto"/>
        <w:ind w:firstLineChars="200" w:firstLine="480"/>
        <w:rPr>
          <w:sz w:val="24"/>
          <w:szCs w:val="24"/>
        </w:rPr>
      </w:pPr>
      <w:r>
        <w:rPr>
          <w:sz w:val="24"/>
          <w:szCs w:val="24"/>
        </w:rPr>
        <w:t>综</w:t>
      </w:r>
      <w:r>
        <w:rPr>
          <w:sz w:val="24"/>
          <w:szCs w:val="24"/>
        </w:rPr>
        <w:t>上所述，保荐机构对公司本次使用部分闲置募集资金（含超募资金）进行现金管理事项无异议。</w:t>
      </w:r>
    </w:p>
    <w:p w:rsidR="005973A2" w:rsidRDefault="005973A2" w:rsidP="00100C1E">
      <w:pPr>
        <w:pStyle w:val="005"/>
        <w:spacing w:before="156"/>
        <w:ind w:firstLineChars="0" w:firstLine="0"/>
        <w:sectPr w:rsidR="005973A2">
          <w:pgSz w:w="11906" w:h="16838"/>
          <w:pgMar w:top="1440" w:right="1800" w:bottom="1440" w:left="1800" w:header="851" w:footer="992" w:gutter="0"/>
          <w:cols w:space="425"/>
          <w:docGrid w:type="lines" w:linePitch="312"/>
        </w:sectPr>
      </w:pPr>
    </w:p>
    <w:p w:rsidR="005973A2" w:rsidRDefault="00100C1E" w:rsidP="00100C1E">
      <w:pPr>
        <w:pStyle w:val="005"/>
        <w:spacing w:before="156"/>
        <w:ind w:firstLineChars="0" w:firstLine="0"/>
      </w:pPr>
      <w:r>
        <w:rPr>
          <w:rFonts w:hint="eastAsia"/>
        </w:rPr>
        <w:lastRenderedPageBreak/>
        <w:t>（本页无正文，为《五矿证券有限公司关于广东天亿马信息产业股份有限公司使用部分闲置募集资金（含超募资金）进行现金管理的核查意见》之签署页）</w:t>
      </w:r>
    </w:p>
    <w:p w:rsidR="005973A2" w:rsidRDefault="005973A2" w:rsidP="00100C1E">
      <w:pPr>
        <w:pStyle w:val="005"/>
        <w:spacing w:before="156"/>
        <w:ind w:firstLine="480"/>
      </w:pPr>
    </w:p>
    <w:p w:rsidR="005973A2" w:rsidRDefault="005973A2" w:rsidP="00100C1E">
      <w:pPr>
        <w:pStyle w:val="005"/>
        <w:spacing w:before="156"/>
        <w:ind w:firstLine="480"/>
        <w:rPr>
          <w:szCs w:val="24"/>
        </w:rPr>
      </w:pPr>
    </w:p>
    <w:p w:rsidR="005973A2" w:rsidRDefault="005973A2" w:rsidP="00100C1E">
      <w:pPr>
        <w:pStyle w:val="005"/>
        <w:spacing w:before="156"/>
        <w:ind w:firstLineChars="0" w:firstLine="0"/>
        <w:rPr>
          <w:szCs w:val="24"/>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5"/>
        <w:gridCol w:w="1718"/>
        <w:gridCol w:w="1597"/>
        <w:gridCol w:w="1719"/>
        <w:gridCol w:w="1643"/>
      </w:tblGrid>
      <w:tr w:rsidR="005973A2">
        <w:tc>
          <w:tcPr>
            <w:tcW w:w="1980" w:type="dxa"/>
          </w:tcPr>
          <w:p w:rsidR="005973A2" w:rsidRDefault="00100C1E" w:rsidP="00100C1E">
            <w:pPr>
              <w:spacing w:beforeLines="50" w:before="156" w:line="360" w:lineRule="auto"/>
              <w:jc w:val="center"/>
              <w:rPr>
                <w:sz w:val="24"/>
                <w:szCs w:val="24"/>
                <w:lang w:bidi="ar"/>
              </w:rPr>
            </w:pPr>
            <w:r>
              <w:rPr>
                <w:sz w:val="24"/>
                <w:szCs w:val="24"/>
                <w:lang w:bidi="ar"/>
              </w:rPr>
              <w:t>保荐代表人：</w:t>
            </w:r>
          </w:p>
        </w:tc>
        <w:tc>
          <w:tcPr>
            <w:tcW w:w="1868" w:type="dxa"/>
            <w:tcBorders>
              <w:bottom w:val="single" w:sz="4" w:space="0" w:color="auto"/>
            </w:tcBorders>
          </w:tcPr>
          <w:p w:rsidR="005973A2" w:rsidRDefault="005973A2" w:rsidP="00100C1E">
            <w:pPr>
              <w:spacing w:beforeLines="50" w:before="156" w:line="360" w:lineRule="auto"/>
              <w:jc w:val="center"/>
              <w:rPr>
                <w:sz w:val="24"/>
                <w:szCs w:val="24"/>
                <w:lang w:bidi="ar"/>
              </w:rPr>
            </w:pPr>
          </w:p>
        </w:tc>
        <w:tc>
          <w:tcPr>
            <w:tcW w:w="1760" w:type="dxa"/>
          </w:tcPr>
          <w:p w:rsidR="005973A2" w:rsidRDefault="005973A2" w:rsidP="00100C1E">
            <w:pPr>
              <w:spacing w:beforeLines="50" w:before="156" w:line="360" w:lineRule="auto"/>
              <w:jc w:val="center"/>
              <w:rPr>
                <w:sz w:val="24"/>
                <w:szCs w:val="24"/>
                <w:lang w:bidi="ar"/>
              </w:rPr>
            </w:pPr>
          </w:p>
        </w:tc>
        <w:tc>
          <w:tcPr>
            <w:tcW w:w="1869" w:type="dxa"/>
            <w:tcBorders>
              <w:bottom w:val="single" w:sz="4" w:space="0" w:color="auto"/>
            </w:tcBorders>
          </w:tcPr>
          <w:p w:rsidR="005973A2" w:rsidRDefault="005973A2" w:rsidP="00100C1E">
            <w:pPr>
              <w:spacing w:beforeLines="50" w:before="156" w:line="360" w:lineRule="auto"/>
              <w:jc w:val="center"/>
              <w:rPr>
                <w:sz w:val="24"/>
                <w:szCs w:val="24"/>
                <w:lang w:bidi="ar"/>
              </w:rPr>
            </w:pPr>
          </w:p>
        </w:tc>
        <w:tc>
          <w:tcPr>
            <w:tcW w:w="1812" w:type="dxa"/>
          </w:tcPr>
          <w:p w:rsidR="005973A2" w:rsidRDefault="005973A2" w:rsidP="00100C1E">
            <w:pPr>
              <w:spacing w:beforeLines="50" w:before="156" w:line="360" w:lineRule="auto"/>
              <w:jc w:val="center"/>
              <w:rPr>
                <w:sz w:val="24"/>
                <w:szCs w:val="24"/>
                <w:lang w:bidi="ar"/>
              </w:rPr>
            </w:pPr>
          </w:p>
        </w:tc>
      </w:tr>
      <w:tr w:rsidR="005973A2">
        <w:tc>
          <w:tcPr>
            <w:tcW w:w="1980" w:type="dxa"/>
          </w:tcPr>
          <w:p w:rsidR="005973A2" w:rsidRDefault="005973A2" w:rsidP="00100C1E">
            <w:pPr>
              <w:spacing w:beforeLines="50" w:before="156" w:line="360" w:lineRule="auto"/>
              <w:jc w:val="center"/>
              <w:rPr>
                <w:sz w:val="24"/>
                <w:szCs w:val="24"/>
                <w:lang w:bidi="ar"/>
              </w:rPr>
            </w:pPr>
          </w:p>
        </w:tc>
        <w:tc>
          <w:tcPr>
            <w:tcW w:w="1868" w:type="dxa"/>
            <w:tcBorders>
              <w:top w:val="single" w:sz="4" w:space="0" w:color="auto"/>
            </w:tcBorders>
          </w:tcPr>
          <w:p w:rsidR="005973A2" w:rsidRDefault="00100C1E" w:rsidP="00100C1E">
            <w:pPr>
              <w:spacing w:beforeLines="50" w:before="156" w:line="360" w:lineRule="auto"/>
              <w:jc w:val="center"/>
              <w:rPr>
                <w:sz w:val="24"/>
                <w:szCs w:val="24"/>
                <w:lang w:bidi="ar"/>
              </w:rPr>
            </w:pPr>
            <w:r>
              <w:rPr>
                <w:sz w:val="24"/>
                <w:szCs w:val="24"/>
                <w:lang w:bidi="ar"/>
              </w:rPr>
              <w:t>温波</w:t>
            </w:r>
          </w:p>
        </w:tc>
        <w:tc>
          <w:tcPr>
            <w:tcW w:w="1760" w:type="dxa"/>
          </w:tcPr>
          <w:p w:rsidR="005973A2" w:rsidRDefault="005973A2" w:rsidP="00100C1E">
            <w:pPr>
              <w:spacing w:beforeLines="50" w:before="156" w:line="360" w:lineRule="auto"/>
              <w:jc w:val="center"/>
              <w:rPr>
                <w:sz w:val="24"/>
                <w:szCs w:val="24"/>
                <w:lang w:bidi="ar"/>
              </w:rPr>
            </w:pPr>
          </w:p>
        </w:tc>
        <w:tc>
          <w:tcPr>
            <w:tcW w:w="1869" w:type="dxa"/>
            <w:tcBorders>
              <w:top w:val="single" w:sz="4" w:space="0" w:color="auto"/>
            </w:tcBorders>
          </w:tcPr>
          <w:p w:rsidR="005973A2" w:rsidRDefault="00100C1E" w:rsidP="00100C1E">
            <w:pPr>
              <w:spacing w:beforeLines="50" w:before="156" w:line="360" w:lineRule="auto"/>
              <w:jc w:val="center"/>
              <w:rPr>
                <w:sz w:val="24"/>
                <w:szCs w:val="24"/>
                <w:lang w:bidi="ar"/>
              </w:rPr>
            </w:pPr>
            <w:r>
              <w:rPr>
                <w:sz w:val="24"/>
                <w:szCs w:val="24"/>
                <w:lang w:bidi="ar"/>
              </w:rPr>
              <w:t>宋平</w:t>
            </w:r>
          </w:p>
        </w:tc>
        <w:tc>
          <w:tcPr>
            <w:tcW w:w="1812" w:type="dxa"/>
          </w:tcPr>
          <w:p w:rsidR="005973A2" w:rsidRDefault="005973A2" w:rsidP="00100C1E">
            <w:pPr>
              <w:spacing w:beforeLines="50" w:before="156" w:line="360" w:lineRule="auto"/>
              <w:jc w:val="center"/>
              <w:rPr>
                <w:sz w:val="24"/>
                <w:szCs w:val="24"/>
                <w:lang w:bidi="ar"/>
              </w:rPr>
            </w:pPr>
          </w:p>
        </w:tc>
      </w:tr>
    </w:tbl>
    <w:p w:rsidR="005973A2" w:rsidRDefault="005973A2" w:rsidP="00100C1E">
      <w:pPr>
        <w:pStyle w:val="005"/>
        <w:spacing w:before="156"/>
        <w:ind w:firstLineChars="0" w:firstLine="0"/>
        <w:rPr>
          <w:szCs w:val="24"/>
        </w:rPr>
      </w:pPr>
    </w:p>
    <w:p w:rsidR="005973A2" w:rsidRDefault="005973A2" w:rsidP="00100C1E">
      <w:pPr>
        <w:pStyle w:val="005"/>
        <w:spacing w:before="156"/>
        <w:ind w:firstLine="480"/>
        <w:rPr>
          <w:szCs w:val="24"/>
        </w:rPr>
      </w:pPr>
    </w:p>
    <w:p w:rsidR="005973A2" w:rsidRDefault="00100C1E">
      <w:pPr>
        <w:spacing w:before="120" w:after="120"/>
        <w:ind w:firstLine="480"/>
        <w:jc w:val="right"/>
        <w:rPr>
          <w:sz w:val="24"/>
          <w:szCs w:val="24"/>
        </w:rPr>
      </w:pPr>
      <w:r>
        <w:rPr>
          <w:sz w:val="24"/>
          <w:szCs w:val="24"/>
        </w:rPr>
        <w:t>  </w:t>
      </w:r>
    </w:p>
    <w:p w:rsidR="005973A2" w:rsidRDefault="005973A2">
      <w:pPr>
        <w:spacing w:before="120" w:after="120"/>
        <w:ind w:firstLine="480"/>
        <w:jc w:val="right"/>
        <w:rPr>
          <w:sz w:val="24"/>
          <w:szCs w:val="24"/>
        </w:rPr>
      </w:pPr>
    </w:p>
    <w:p w:rsidR="005973A2" w:rsidRDefault="005973A2">
      <w:pPr>
        <w:spacing w:before="120" w:after="120"/>
        <w:ind w:firstLine="480"/>
        <w:jc w:val="right"/>
        <w:rPr>
          <w:sz w:val="24"/>
          <w:szCs w:val="24"/>
        </w:rPr>
      </w:pPr>
    </w:p>
    <w:p w:rsidR="005973A2" w:rsidRDefault="00100C1E">
      <w:pPr>
        <w:spacing w:before="120" w:after="120"/>
        <w:ind w:firstLine="480"/>
        <w:jc w:val="right"/>
        <w:rPr>
          <w:sz w:val="24"/>
          <w:szCs w:val="24"/>
        </w:rPr>
      </w:pPr>
      <w:r>
        <w:rPr>
          <w:rFonts w:hint="eastAsia"/>
          <w:sz w:val="24"/>
          <w:szCs w:val="24"/>
        </w:rPr>
        <w:t>五矿证券有限公司</w:t>
      </w:r>
    </w:p>
    <w:p w:rsidR="005973A2" w:rsidRDefault="005973A2">
      <w:pPr>
        <w:spacing w:before="120" w:after="120"/>
        <w:ind w:firstLine="480"/>
        <w:jc w:val="right"/>
        <w:rPr>
          <w:sz w:val="24"/>
          <w:szCs w:val="24"/>
        </w:rPr>
      </w:pPr>
    </w:p>
    <w:p w:rsidR="005973A2" w:rsidRDefault="00100C1E">
      <w:pPr>
        <w:spacing w:before="120" w:after="120"/>
        <w:ind w:firstLine="480"/>
        <w:jc w:val="right"/>
        <w:rPr>
          <w:sz w:val="24"/>
          <w:szCs w:val="24"/>
        </w:rPr>
      </w:pPr>
      <w:r>
        <w:rPr>
          <w:sz w:val="24"/>
          <w:szCs w:val="24"/>
        </w:rPr>
        <w:t>  </w:t>
      </w:r>
      <w:r>
        <w:rPr>
          <w:rFonts w:hint="eastAsia"/>
          <w:sz w:val="24"/>
          <w:szCs w:val="24"/>
        </w:rPr>
        <w:t>2024</w:t>
      </w:r>
      <w:r>
        <w:rPr>
          <w:rFonts w:hint="eastAsia"/>
          <w:sz w:val="24"/>
          <w:szCs w:val="24"/>
        </w:rPr>
        <w:t>年</w:t>
      </w:r>
      <w:r>
        <w:rPr>
          <w:rFonts w:hint="eastAsia"/>
          <w:sz w:val="24"/>
          <w:szCs w:val="24"/>
        </w:rPr>
        <w:t>12</w:t>
      </w:r>
      <w:r>
        <w:rPr>
          <w:rFonts w:hint="eastAsia"/>
          <w:sz w:val="24"/>
          <w:szCs w:val="24"/>
        </w:rPr>
        <w:t>月</w:t>
      </w:r>
      <w:r>
        <w:rPr>
          <w:rFonts w:hint="eastAsia"/>
          <w:sz w:val="24"/>
          <w:szCs w:val="24"/>
        </w:rPr>
        <w:t>12</w:t>
      </w:r>
      <w:bookmarkStart w:id="0" w:name="_GoBack"/>
      <w:bookmarkEnd w:id="0"/>
      <w:r>
        <w:rPr>
          <w:rFonts w:hint="eastAsia"/>
          <w:sz w:val="24"/>
          <w:szCs w:val="24"/>
        </w:rPr>
        <w:t>日</w:t>
      </w:r>
    </w:p>
    <w:p w:rsidR="005973A2" w:rsidRDefault="005973A2">
      <w:pPr>
        <w:widowControl/>
        <w:spacing w:beforeLines="50" w:before="156" w:afterLines="50" w:after="156" w:line="360" w:lineRule="auto"/>
        <w:ind w:firstLineChars="200" w:firstLine="480"/>
        <w:jc w:val="left"/>
        <w:rPr>
          <w:color w:val="000000"/>
          <w:kern w:val="0"/>
          <w:sz w:val="24"/>
          <w:szCs w:val="24"/>
          <w:lang w:bidi="ar"/>
        </w:rPr>
      </w:pPr>
    </w:p>
    <w:p w:rsidR="005973A2" w:rsidRDefault="005973A2" w:rsidP="005973A2">
      <w:pPr>
        <w:spacing w:beforeLines="50" w:before="156" w:line="360" w:lineRule="auto"/>
        <w:rPr>
          <w:sz w:val="24"/>
          <w:szCs w:val="24"/>
        </w:rPr>
      </w:pPr>
    </w:p>
    <w:sectPr w:rsidR="005973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CE704E"/>
    <w:rsid w:val="00100C1E"/>
    <w:rsid w:val="005973A2"/>
    <w:rsid w:val="063A24E0"/>
    <w:rsid w:val="0E1E5215"/>
    <w:rsid w:val="22D71754"/>
    <w:rsid w:val="24CB7BAF"/>
    <w:rsid w:val="30355826"/>
    <w:rsid w:val="377A119A"/>
    <w:rsid w:val="49416B79"/>
    <w:rsid w:val="4C9F53E8"/>
    <w:rsid w:val="64581FCE"/>
    <w:rsid w:val="6CCE7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5">
    <w:name w:val="005正文"/>
    <w:basedOn w:val="a"/>
    <w:qFormat/>
    <w:pPr>
      <w:spacing w:beforeLines="50" w:before="50" w:line="360" w:lineRule="auto"/>
      <w:ind w:firstLineChars="200" w:firstLine="200"/>
    </w:pPr>
    <w:rPr>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05">
    <w:name w:val="005正文"/>
    <w:basedOn w:val="a"/>
    <w:qFormat/>
    <w:pPr>
      <w:spacing w:beforeLines="50" w:before="50" w:line="360" w:lineRule="auto"/>
      <w:ind w:firstLineChars="200" w:firstLine="200"/>
    </w:pPr>
    <w:rPr>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556</Words>
  <Characters>3171</Characters>
  <Application>Microsoft Office Word</Application>
  <DocSecurity>0</DocSecurity>
  <Lines>26</Lines>
  <Paragraphs>7</Paragraphs>
  <ScaleCrop>false</ScaleCrop>
  <Company>Microsoft</Company>
  <LinksUpToDate>false</LinksUpToDate>
  <CharactersWithSpaces>3720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dc:creator>
  <cp:lastModifiedBy>hsq</cp:lastModifiedBy>
  <cp:revision>2</cp:revision>
  <dcterms:created xsi:type="dcterms:W3CDTF">2024-12-07T12:13:00Z</dcterms:created>
  <dcterms:modified xsi:type="dcterms:W3CDTF">2024-12-11T08:11:00Z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1A5F6BABE1FC4C9AAF7FB534951E6542_11</vt:lpwstr>
  </property>
</Properties>
</file>