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16925" w:rsidRDefault="00816925">
      <w:pPr>
        <w:spacing w:beforeLines="50" w:before="156" w:line="300" w:lineRule="auto"/>
        <w:jc w:val="center"/>
        <w:rPr>
          <w:b/>
          <w:sz w:val="30"/>
          <w:szCs w:val="30"/>
        </w:rPr>
      </w:pPr>
      <w:bookmarkStart w:id="0" w:name="_GoBack"/>
      <w:bookmarkEnd w:id="0"/>
      <w:r>
        <w:rPr>
          <w:b/>
          <w:sz w:val="30"/>
          <w:szCs w:val="30"/>
        </w:rPr>
        <w:t>广东天亿马信息产业股份有限公司</w:t>
      </w:r>
      <w:r>
        <w:rPr>
          <w:b/>
          <w:sz w:val="30"/>
          <w:szCs w:val="30"/>
        </w:rPr>
        <w:br/>
      </w:r>
      <w:r>
        <w:rPr>
          <w:rFonts w:hint="eastAsia"/>
          <w:b/>
          <w:sz w:val="30"/>
          <w:szCs w:val="30"/>
        </w:rPr>
        <w:t>募集资金使用管理办法</w:t>
      </w:r>
    </w:p>
    <w:p w:rsidR="00816925" w:rsidRDefault="00816925">
      <w:pPr>
        <w:pStyle w:val="1"/>
        <w:spacing w:afterLines="50" w:after="156"/>
        <w:ind w:firstLine="0"/>
        <w:rPr>
          <w:rFonts w:ascii="宋体" w:hAnsi="宋体"/>
        </w:rPr>
      </w:pPr>
      <w:r>
        <w:rPr>
          <w:rFonts w:ascii="宋体" w:hAnsi="宋体" w:hint="eastAsia"/>
        </w:rPr>
        <w:t>第一章  总则</w:t>
      </w:r>
    </w:p>
    <w:p w:rsidR="00816925" w:rsidRDefault="00816925">
      <w:pPr>
        <w:tabs>
          <w:tab w:val="left" w:pos="1480"/>
        </w:tabs>
        <w:spacing w:beforeLines="50" w:before="156" w:afterLines="50" w:after="156" w:line="300" w:lineRule="auto"/>
        <w:ind w:firstLineChars="200" w:firstLine="480"/>
        <w:rPr>
          <w:rFonts w:ascii="宋体" w:hAnsi="宋体"/>
          <w:sz w:val="24"/>
        </w:rPr>
      </w:pPr>
      <w:r>
        <w:rPr>
          <w:rFonts w:ascii="宋体" w:hAnsi="宋体" w:hint="eastAsia"/>
          <w:sz w:val="24"/>
        </w:rPr>
        <w:t>为规范</w:t>
      </w:r>
      <w:r>
        <w:rPr>
          <w:rFonts w:ascii="宋体" w:hAnsi="宋体"/>
          <w:sz w:val="24"/>
        </w:rPr>
        <w:t>广东天亿马信息产业股份有限公司</w:t>
      </w:r>
      <w:r>
        <w:rPr>
          <w:rFonts w:ascii="宋体" w:hAnsi="宋体" w:hint="eastAsia"/>
          <w:sz w:val="24"/>
        </w:rPr>
        <w:t>下称（“公司”）募集资金的管理和使用，提高募集资金使用效率，保护投资者的合法权益，根据《中华人民共和国公司法》（“《公司法》”）《中华人民共和国证券法》（“《证券法》”）《深圳证券交易所创业板股票上市规则》（“《上市规则》”）《</w:t>
      </w:r>
      <w:r>
        <w:rPr>
          <w:rFonts w:ascii="宋体" w:hAnsi="宋体"/>
          <w:sz w:val="24"/>
        </w:rPr>
        <w:t>深圳证券交易所上市公司自律监管指引第2号——创业板上市公司规范运作</w:t>
      </w:r>
      <w:r>
        <w:rPr>
          <w:rFonts w:ascii="宋体" w:hAnsi="宋体" w:hint="eastAsia"/>
          <w:sz w:val="24"/>
        </w:rPr>
        <w:t>》《上市公司监管指引第2号——上市公司募集资金管理和使用的监管要求》等相关法律法规及《</w:t>
      </w:r>
      <w:r>
        <w:rPr>
          <w:rFonts w:ascii="宋体" w:hAnsi="宋体"/>
          <w:sz w:val="24"/>
        </w:rPr>
        <w:t>广东天亿马信息产业股份有限公司</w:t>
      </w:r>
      <w:r>
        <w:rPr>
          <w:rFonts w:ascii="宋体" w:hAnsi="宋体" w:hint="eastAsia"/>
          <w:sz w:val="24"/>
        </w:rPr>
        <w:t>章程》（“《公司章程》”）的规定，制订本制度。</w:t>
      </w:r>
    </w:p>
    <w:p w:rsidR="00816925" w:rsidRDefault="00816925">
      <w:pPr>
        <w:numPr>
          <w:ilvl w:val="0"/>
          <w:numId w:val="1"/>
        </w:numPr>
        <w:tabs>
          <w:tab w:val="left" w:pos="426"/>
          <w:tab w:val="left" w:pos="1480"/>
        </w:tabs>
        <w:spacing w:beforeLines="50" w:before="156" w:afterLines="50" w:after="156" w:line="300" w:lineRule="auto"/>
        <w:ind w:left="0" w:firstLineChars="200" w:firstLine="480"/>
        <w:rPr>
          <w:rFonts w:ascii="宋体" w:hAnsi="宋体"/>
          <w:sz w:val="24"/>
        </w:rPr>
      </w:pPr>
      <w:r>
        <w:rPr>
          <w:rFonts w:ascii="宋体" w:hAnsi="宋体" w:hint="eastAsia"/>
          <w:sz w:val="24"/>
        </w:rPr>
        <w:t>本制度所称募集资金，是指公司通过向不特定对象发行证券或者向特定对象发行证券（包括股票、可转换公司债券等）募集并用于特定用途的资金，但不包括公司实施股权激励计划募集的资金。</w:t>
      </w:r>
    </w:p>
    <w:p w:rsidR="00816925" w:rsidRDefault="00816925">
      <w:pPr>
        <w:numPr>
          <w:ilvl w:val="0"/>
          <w:numId w:val="1"/>
        </w:numPr>
        <w:tabs>
          <w:tab w:val="left" w:pos="1480"/>
        </w:tabs>
        <w:spacing w:beforeLines="50" w:before="156" w:afterLines="50" w:after="156" w:line="300" w:lineRule="auto"/>
        <w:ind w:left="0" w:firstLine="454"/>
        <w:rPr>
          <w:rFonts w:ascii="宋体" w:hAnsi="宋体"/>
          <w:sz w:val="24"/>
        </w:rPr>
      </w:pPr>
      <w:r>
        <w:rPr>
          <w:rFonts w:ascii="宋体" w:hAnsi="宋体"/>
          <w:sz w:val="24"/>
        </w:rPr>
        <w:t>公司应当审慎使用募集资金，保证募集资金的使用与招股说明书或 募集资金说明书的承诺相一致，不得随意改变募集资金的投向。公司应当真实、 准确、完整地披露募集资金的实际使用情况，并在年度审计的同时聘请会计师事 务所对募集资金存放与使用情况进行鉴证</w:t>
      </w:r>
      <w:r>
        <w:rPr>
          <w:rFonts w:ascii="宋体" w:hAnsi="宋体" w:hint="eastAsia"/>
          <w:sz w:val="24"/>
        </w:rPr>
        <w:t>。</w:t>
      </w:r>
    </w:p>
    <w:p w:rsidR="00816925" w:rsidRDefault="00816925">
      <w:pPr>
        <w:numPr>
          <w:ilvl w:val="0"/>
          <w:numId w:val="1"/>
        </w:numPr>
        <w:tabs>
          <w:tab w:val="left" w:pos="1480"/>
        </w:tabs>
        <w:spacing w:beforeLines="50" w:before="156" w:afterLines="50" w:after="156" w:line="300" w:lineRule="auto"/>
        <w:ind w:left="0" w:firstLine="454"/>
        <w:rPr>
          <w:rFonts w:ascii="宋体" w:hAnsi="宋体"/>
          <w:sz w:val="24"/>
        </w:rPr>
      </w:pPr>
      <w:r>
        <w:rPr>
          <w:rFonts w:ascii="宋体" w:hAnsi="宋体" w:hint="eastAsia"/>
          <w:sz w:val="24"/>
        </w:rPr>
        <w:t>公司募集的资金实行严格的专户管理，并限于募集文件所明确的投资项目和计划使用，变更募集资金的用途，必须经过</w:t>
      </w:r>
      <w:r w:rsidR="00D17201">
        <w:rPr>
          <w:rFonts w:ascii="宋体" w:hAnsi="宋体" w:hint="eastAsia"/>
          <w:sz w:val="24"/>
        </w:rPr>
        <w:t>股东会</w:t>
      </w:r>
      <w:r>
        <w:rPr>
          <w:rFonts w:ascii="宋体" w:hAnsi="宋体" w:hint="eastAsia"/>
          <w:sz w:val="24"/>
        </w:rPr>
        <w:t>批准，并履行信息披露义务和其他相关法律义务。</w:t>
      </w:r>
    </w:p>
    <w:p w:rsidR="00816925" w:rsidRDefault="00816925">
      <w:pPr>
        <w:numPr>
          <w:ilvl w:val="0"/>
          <w:numId w:val="1"/>
        </w:numPr>
        <w:tabs>
          <w:tab w:val="left" w:pos="1480"/>
        </w:tabs>
        <w:spacing w:beforeLines="50" w:before="156" w:afterLines="50" w:after="156" w:line="300" w:lineRule="auto"/>
        <w:ind w:left="0" w:firstLine="454"/>
        <w:rPr>
          <w:rFonts w:ascii="宋体" w:hAnsi="宋体"/>
          <w:sz w:val="24"/>
        </w:rPr>
      </w:pPr>
      <w:r>
        <w:rPr>
          <w:rFonts w:ascii="宋体" w:hAnsi="宋体" w:hint="eastAsia"/>
          <w:sz w:val="24"/>
        </w:rPr>
        <w:t>公司董事会负责建立健全募集资金管理制度，并确保本制度的有效实施，公司应当制定募集资金的详细使用计划，组织募集资金运用项目的具体实施，做到募集资金使用的公开、透明和规范。</w:t>
      </w:r>
    </w:p>
    <w:p w:rsidR="00816925" w:rsidRDefault="00816925">
      <w:pPr>
        <w:tabs>
          <w:tab w:val="left" w:pos="1480"/>
        </w:tabs>
        <w:spacing w:beforeLines="50" w:before="156" w:afterLines="50" w:after="156" w:line="300" w:lineRule="auto"/>
        <w:ind w:firstLineChars="200" w:firstLine="480"/>
        <w:rPr>
          <w:rFonts w:ascii="宋体" w:hAnsi="宋体"/>
          <w:sz w:val="24"/>
        </w:rPr>
      </w:pPr>
      <w:r>
        <w:rPr>
          <w:rFonts w:ascii="宋体" w:hAnsi="宋体" w:hint="eastAsia"/>
          <w:sz w:val="24"/>
        </w:rPr>
        <w:t>募集资金运用项目（以下简称“募投项目”）通过公司子公司或公司控制的其他企业实施的，公司应当采取适当措施保证该子公司或被控制的其他企业遵守本制度的各项规定。</w:t>
      </w:r>
    </w:p>
    <w:p w:rsidR="00816925" w:rsidRDefault="00816925">
      <w:pPr>
        <w:numPr>
          <w:ilvl w:val="0"/>
          <w:numId w:val="1"/>
        </w:numPr>
        <w:tabs>
          <w:tab w:val="left" w:pos="1480"/>
        </w:tabs>
        <w:spacing w:beforeLines="50" w:before="156" w:afterLines="50" w:after="156" w:line="300" w:lineRule="auto"/>
        <w:ind w:left="0" w:firstLine="454"/>
        <w:rPr>
          <w:rFonts w:ascii="宋体" w:hAnsi="宋体"/>
          <w:sz w:val="24"/>
        </w:rPr>
      </w:pPr>
      <w:r>
        <w:rPr>
          <w:rFonts w:ascii="宋体" w:hAnsi="宋体" w:hint="eastAsia"/>
          <w:sz w:val="24"/>
        </w:rPr>
        <w:t>公司应根据《公司法》《证券法》等法律、法规和规范性文件的规定，及时披露募集资金使用情况，履行信息披露义务。</w:t>
      </w:r>
    </w:p>
    <w:p w:rsidR="00816925" w:rsidRDefault="00816925">
      <w:pPr>
        <w:numPr>
          <w:ilvl w:val="0"/>
          <w:numId w:val="1"/>
        </w:numPr>
        <w:tabs>
          <w:tab w:val="left" w:pos="1480"/>
        </w:tabs>
        <w:spacing w:beforeLines="50" w:before="156" w:afterLines="50" w:after="156" w:line="300" w:lineRule="auto"/>
        <w:ind w:left="0" w:firstLine="454"/>
        <w:rPr>
          <w:rFonts w:ascii="宋体" w:hAnsi="宋体"/>
          <w:sz w:val="24"/>
        </w:rPr>
      </w:pPr>
      <w:r>
        <w:rPr>
          <w:rFonts w:ascii="宋体" w:hAnsi="宋体" w:hint="eastAsia"/>
          <w:sz w:val="24"/>
        </w:rPr>
        <w:t>违反国家法律、法规及《公司章程》等规定使用募集资金，致使公</w:t>
      </w:r>
      <w:r>
        <w:rPr>
          <w:rFonts w:ascii="宋体" w:hAnsi="宋体" w:hint="eastAsia"/>
          <w:sz w:val="24"/>
        </w:rPr>
        <w:lastRenderedPageBreak/>
        <w:t>司遭受损失的，相关责任人员应承担包括但不限于民事赔偿在内的法律责任。</w:t>
      </w:r>
    </w:p>
    <w:p w:rsidR="00816925" w:rsidRDefault="00816925">
      <w:pPr>
        <w:pStyle w:val="1"/>
        <w:spacing w:afterLines="50" w:after="156"/>
        <w:rPr>
          <w:rFonts w:ascii="宋体" w:hAnsi="宋体"/>
        </w:rPr>
      </w:pPr>
      <w:r>
        <w:rPr>
          <w:rFonts w:ascii="宋体" w:hAnsi="宋体" w:hint="eastAsia"/>
        </w:rPr>
        <w:t>第二章</w:t>
      </w:r>
      <w:bookmarkStart w:id="1" w:name="_Toc415730538"/>
      <w:r>
        <w:rPr>
          <w:rFonts w:ascii="宋体" w:hAnsi="宋体" w:hint="eastAsia"/>
        </w:rPr>
        <w:t xml:space="preserve">  募集资金专户存储</w:t>
      </w:r>
      <w:bookmarkEnd w:id="1"/>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公司实行募集资金的集中专户存储制度，公司募集资金应存放于董事会决定的</w:t>
      </w:r>
      <w:r>
        <w:rPr>
          <w:rFonts w:ascii="宋体" w:hAnsi="宋体"/>
          <w:sz w:val="24"/>
        </w:rPr>
        <w:t>在依法具有资质的商业银行开立的</w:t>
      </w:r>
      <w:r>
        <w:rPr>
          <w:rFonts w:ascii="宋体" w:hAnsi="宋体" w:hint="eastAsia"/>
          <w:sz w:val="24"/>
        </w:rPr>
        <w:t>专项账户（以下简称“专户”）集中管理，专户不得存放非募集资金或者用作其他用途。公司存在两次以上融资的，应当分别独立设置募集资金专户。</w:t>
      </w:r>
    </w:p>
    <w:p w:rsidR="00816925" w:rsidRDefault="00816925">
      <w:pPr>
        <w:tabs>
          <w:tab w:val="left" w:pos="1680"/>
        </w:tabs>
        <w:spacing w:beforeLines="50" w:before="156" w:afterLines="50" w:after="156" w:line="300" w:lineRule="auto"/>
        <w:ind w:left="454"/>
        <w:rPr>
          <w:rFonts w:ascii="宋体" w:hAnsi="宋体"/>
          <w:sz w:val="24"/>
        </w:rPr>
      </w:pPr>
      <w:r>
        <w:rPr>
          <w:rFonts w:ascii="宋体" w:hAnsi="宋体" w:hint="eastAsia"/>
          <w:sz w:val="24"/>
        </w:rPr>
        <w:t>实际募集资金净额超过计划募集资金金额也应当存放于募集资金专户管理。</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募集资金的存放坚持安全、专户存储和便于监督管理的原则。公司设立专户事宜由公司董事会批准，并在公司申请公开募集资金时，将该账户的设立情况及材料报相关监管部门备案。对于专户派生且接受同样监管的定期存款账户，董事会可授权公司管理层批准设立。</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除募集资金专用账户和该账户派生且接受同样监管的定期存款账户外，公司不得将募集的资金存放于其他银行账户（包括但不限于基本账户、其他专用账户、临时账户）；公司亦不得将生产经营资金、银行借款等其他资金存储于募集资金专用账户。</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 xml:space="preserve">募集资金专户数量（包括公司的子公司或公司控制的其他企业设置的专户）原则上不得超过募集资金投资项目的个数。   </w:t>
      </w:r>
    </w:p>
    <w:p w:rsidR="00816925" w:rsidRDefault="00816925">
      <w:pPr>
        <w:tabs>
          <w:tab w:val="left" w:pos="1680"/>
        </w:tabs>
        <w:spacing w:beforeLines="50" w:before="156" w:afterLines="50" w:after="156" w:line="300" w:lineRule="auto"/>
        <w:ind w:firstLineChars="200" w:firstLine="480"/>
        <w:rPr>
          <w:rFonts w:ascii="宋体" w:hAnsi="宋体"/>
          <w:sz w:val="24"/>
        </w:rPr>
      </w:pPr>
      <w:r>
        <w:rPr>
          <w:rFonts w:ascii="宋体" w:hAnsi="宋体" w:hint="eastAsia"/>
          <w:sz w:val="24"/>
        </w:rPr>
        <w:t>如公司因募集资金投资项目个数过少等原因拟增加募集资金专户数量的，应事先向深圳证券交易所提交书面申请并征得深圳证券交易所同意。</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公司应当在募集资金到位后1个月内与保荐机构、存放募集资金的商业银行（“商业银行”）签订三方监管协议（“协议”）。协议至少应当包括以下内容：</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本公司应当将募集资金集中存放于专户；</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确定募集资金专户账号、该专户涉及的募集资金项目、存放金额和期限；</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本公司一次或12个月内累计从专户中支取的金额超过</w:t>
      </w:r>
      <w:r>
        <w:rPr>
          <w:rFonts w:ascii="宋体" w:hAnsi="宋体"/>
          <w:sz w:val="24"/>
        </w:rPr>
        <w:t>5</w:t>
      </w:r>
      <w:r>
        <w:rPr>
          <w:rFonts w:ascii="宋体" w:hAnsi="宋体" w:hint="eastAsia"/>
          <w:sz w:val="24"/>
        </w:rPr>
        <w:t>000万元或募集资金净额的</w:t>
      </w:r>
      <w:r>
        <w:rPr>
          <w:rFonts w:ascii="宋体" w:hAnsi="宋体"/>
          <w:sz w:val="24"/>
        </w:rPr>
        <w:t>2</w:t>
      </w:r>
      <w:r>
        <w:rPr>
          <w:rFonts w:ascii="宋体" w:hAnsi="宋体" w:hint="eastAsia"/>
          <w:sz w:val="24"/>
        </w:rPr>
        <w:t>0%的，本公司及商业银行应当及时通知保荐机构或者独立财务顾问；</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商业银行每月向本公司出具银行对账单，并抄送保荐机构或者独立财务顾问；</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lastRenderedPageBreak/>
        <w:t>保荐机构或者独立财务顾问可以随时到商业银行查询专户资料；</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商业银行三次未及时向保荐机构或者独立财务顾问出具银行对账单或通知专户大额支取情况，以及存在未配合保荐机构或者独立财务顾问查询与调查专户资料情形的，</w:t>
      </w:r>
      <w:r>
        <w:rPr>
          <w:rFonts w:ascii="宋体" w:hAnsi="宋体"/>
          <w:sz w:val="24"/>
        </w:rPr>
        <w:t>公司可以终止协议并注销该募集资金专户</w:t>
      </w:r>
      <w:r>
        <w:rPr>
          <w:rFonts w:ascii="宋体" w:hAnsi="宋体" w:hint="eastAsia"/>
          <w:sz w:val="24"/>
        </w:rPr>
        <w:t>；</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保荐机构或者独立财务顾问的督导职责、商业银行的告知、配合职责、保荐机构或者独立财务顾问和商业银行对公司募集资金使用的监管方式；</w:t>
      </w:r>
    </w:p>
    <w:p w:rsidR="00816925" w:rsidRDefault="00816925">
      <w:pPr>
        <w:numPr>
          <w:ilvl w:val="0"/>
          <w:numId w:val="2"/>
        </w:numPr>
        <w:tabs>
          <w:tab w:val="left" w:pos="960"/>
        </w:tabs>
        <w:spacing w:beforeLines="50" w:before="156" w:afterLines="50" w:after="156" w:line="300" w:lineRule="auto"/>
        <w:rPr>
          <w:rFonts w:ascii="宋体" w:hAnsi="宋体"/>
          <w:sz w:val="24"/>
        </w:rPr>
      </w:pPr>
      <w:r>
        <w:rPr>
          <w:rFonts w:ascii="宋体" w:hAnsi="宋体" w:hint="eastAsia"/>
          <w:sz w:val="24"/>
        </w:rPr>
        <w:t>公司、商业银行、保荐机构或者独立财务顾问的权利、义务及违约责任。</w:t>
      </w:r>
    </w:p>
    <w:p w:rsidR="00816925" w:rsidRDefault="00816925">
      <w:pPr>
        <w:tabs>
          <w:tab w:val="left" w:pos="1680"/>
        </w:tabs>
        <w:spacing w:beforeLines="50" w:before="156" w:afterLines="50" w:after="156" w:line="300" w:lineRule="auto"/>
        <w:ind w:firstLineChars="200" w:firstLine="480"/>
        <w:rPr>
          <w:rFonts w:ascii="宋体" w:hAnsi="宋体"/>
          <w:sz w:val="24"/>
        </w:rPr>
      </w:pPr>
      <w:r>
        <w:rPr>
          <w:rFonts w:ascii="宋体" w:hAnsi="宋体" w:hint="eastAsia"/>
          <w:sz w:val="24"/>
        </w:rPr>
        <w:t>公司应当在全部协议签订后及时报深圳证券交易所备案并公告协议主要内容。</w:t>
      </w:r>
      <w:r>
        <w:rPr>
          <w:rFonts w:ascii="宋体" w:hAnsi="宋体"/>
          <w:sz w:val="24"/>
        </w:rPr>
        <w:t>设置多个募集资金专户的，公司还应当说明原因并提出保证高效使用募集资金、有效确保募集资金安全的措施。</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sz w:val="24"/>
        </w:rPr>
        <w:t>公司通过控股子公司实施募投项目的，应当由公司、实施募投项目的控股子公司、商业银行和保荐机构共同签署三方监管协议，公司及其控股子公司应当视为共同一方。</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上述协议在有效期届满前提前终止的，公司应当自协议终止之日起一个月内与相关当事人签订新的协议，并及时报深圳证券交易所备案后公告。</w:t>
      </w:r>
    </w:p>
    <w:p w:rsidR="00816925" w:rsidRDefault="00816925">
      <w:pPr>
        <w:pStyle w:val="1"/>
        <w:spacing w:afterLines="50" w:after="156"/>
        <w:rPr>
          <w:rFonts w:ascii="宋体" w:hAnsi="宋体"/>
        </w:rPr>
      </w:pPr>
      <w:r>
        <w:rPr>
          <w:rFonts w:ascii="宋体" w:hAnsi="宋体" w:hint="eastAsia"/>
        </w:rPr>
        <w:t xml:space="preserve">第三章  </w:t>
      </w:r>
      <w:bookmarkStart w:id="2" w:name="_Toc415730539"/>
      <w:r>
        <w:rPr>
          <w:rFonts w:ascii="宋体" w:hAnsi="宋体" w:hint="eastAsia"/>
        </w:rPr>
        <w:t>募集资金使用</w:t>
      </w:r>
      <w:bookmarkEnd w:id="2"/>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公司应当审慎使用募集资金，保证募集资金的使用与招股说明书或者募集说明书的承诺一致，不得随意改变募集资金投向，不得变相改变募集资金用途。公司应当真实、准确、完整地披露募集资金的实际使用情况。出现严重影响募集资金投资计划正常进行的情形时，公司应当及时报告深圳证券交易所并公告。</w:t>
      </w:r>
    </w:p>
    <w:p w:rsidR="00816925" w:rsidRDefault="00816925">
      <w:pPr>
        <w:numPr>
          <w:ilvl w:val="0"/>
          <w:numId w:val="1"/>
        </w:numPr>
        <w:tabs>
          <w:tab w:val="left" w:pos="1680"/>
        </w:tabs>
        <w:spacing w:beforeLines="50" w:before="156" w:afterLines="50" w:after="156" w:line="300" w:lineRule="auto"/>
        <w:ind w:left="0" w:firstLine="454"/>
        <w:rPr>
          <w:rFonts w:ascii="宋体" w:hAnsi="宋体"/>
          <w:sz w:val="24"/>
        </w:rPr>
      </w:pPr>
      <w:r>
        <w:rPr>
          <w:rFonts w:ascii="宋体" w:hAnsi="宋体" w:hint="eastAsia"/>
          <w:sz w:val="24"/>
        </w:rPr>
        <w:t>除非国家法律、法规、规范性文件另有规定，公司募集的资金不得用于开展委托理财（现金管理除外）、委托贷款等财务性投资以及证券投资、衍生品投资等高风险投资，不得直接或者间接投资于以买卖有价证券为主要业务的公司。</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公司不得将募集资金用于质押或其他变相改变募集资金用途的投资。</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sz w:val="24"/>
        </w:rPr>
        <w:t>公司应当确保募集资金使用的真实性和公允性，</w:t>
      </w:r>
      <w:r>
        <w:rPr>
          <w:rFonts w:ascii="宋体" w:hAnsi="宋体" w:hint="eastAsia"/>
          <w:sz w:val="24"/>
        </w:rPr>
        <w:t>防止募集资金被控股股东、实际控制人及其关联人占用或挪用，并采取有效措施避免关联方利用募集资金运用项目获取不正当利益。</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公司使用募集资金进行项目投资时，必须严格遵守本制度的规定，</w:t>
      </w:r>
      <w:r>
        <w:rPr>
          <w:rFonts w:ascii="宋体" w:hAnsi="宋体" w:hint="eastAsia"/>
          <w:sz w:val="24"/>
        </w:rPr>
        <w:lastRenderedPageBreak/>
        <w:t>履行审批手续。所有募集资金的支出，应先由资金使用部门提出资金使用计划，经该部门主管领导（或项目负责人）签字后报公司财务部门审核，然后由总经理、财务负责人及董事会秘书审批（或经总经理、财务负责人及董事会秘书确认的审批流程中规定的相关权限人员审批后）后予以付款。</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公司应采取措施确保募集资金使用的真实性和公允性，在支付募集资金运用项目款项时应做到付款金额、付款时间、付款方式、付款对象合理、合法，并提供相应的依据性材料供备案查询。</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募集资金运用项目应按公司董事会承诺的计划进度组织实施，资金使用部门要编制具体工作进度计划，保证各项工作能按计划进度完成，并定期向董事会报送具体工作进度计划和实际完成进度情况。</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对于确因不可预见的客观因素影响，导致投资项目不能按承诺的预期计划进度完成时，必须公开披露实际情况并详细说明原因。</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实际募集资金超出募集资金项目投资所需资金的部分，经公司董事会决议并报</w:t>
      </w:r>
      <w:r w:rsidR="00D17201">
        <w:rPr>
          <w:rFonts w:ascii="宋体" w:hAnsi="宋体" w:hint="eastAsia"/>
          <w:sz w:val="24"/>
        </w:rPr>
        <w:t>股东会</w:t>
      </w:r>
      <w:r>
        <w:rPr>
          <w:rFonts w:ascii="宋体" w:hAnsi="宋体" w:hint="eastAsia"/>
          <w:sz w:val="24"/>
        </w:rPr>
        <w:t>批准后，可作为补充流动资金或其他项目的后备资金。发行申请文件已披露拟以实际募集资金超出募集资金项目投资所需资金的部分补充流动资金的除外。</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募集资金投资项目出现以下情形之一的，公司应当对该项目的可行性、预计收益等进行重新进行论证，决定是否继续实施该项目，并在最近一期定期报告中披露项目的进展情况、出现异常的原因以及调整后的募集资金投资计划（如有）：</w:t>
      </w:r>
    </w:p>
    <w:p w:rsidR="00816925" w:rsidRDefault="00816925">
      <w:pPr>
        <w:tabs>
          <w:tab w:val="left" w:pos="960"/>
        </w:tabs>
        <w:spacing w:beforeLines="50" w:before="156" w:afterLines="50" w:after="156" w:line="300" w:lineRule="auto"/>
        <w:ind w:left="420"/>
        <w:rPr>
          <w:rFonts w:ascii="宋体" w:hAnsi="宋体"/>
          <w:sz w:val="24"/>
        </w:rPr>
      </w:pPr>
      <w:r>
        <w:rPr>
          <w:rFonts w:ascii="宋体" w:hAnsi="宋体" w:hint="eastAsia"/>
          <w:sz w:val="24"/>
        </w:rPr>
        <w:t>（一）募集资金投资项目涉及的市场环境发生重大变化的；</w:t>
      </w:r>
    </w:p>
    <w:p w:rsidR="00816925" w:rsidRDefault="00816925">
      <w:pPr>
        <w:tabs>
          <w:tab w:val="left" w:pos="960"/>
        </w:tabs>
        <w:spacing w:beforeLines="50" w:before="156" w:afterLines="50" w:after="156" w:line="300" w:lineRule="auto"/>
        <w:ind w:left="420"/>
        <w:rPr>
          <w:rFonts w:ascii="宋体" w:hAnsi="宋体"/>
          <w:sz w:val="24"/>
        </w:rPr>
      </w:pPr>
      <w:r>
        <w:rPr>
          <w:rFonts w:ascii="宋体" w:hAnsi="宋体" w:hint="eastAsia"/>
          <w:sz w:val="24"/>
        </w:rPr>
        <w:t>（二）募集资金投资项目搁置时间超过一年的；</w:t>
      </w:r>
    </w:p>
    <w:p w:rsidR="00816925" w:rsidRDefault="00816925">
      <w:pPr>
        <w:tabs>
          <w:tab w:val="left" w:pos="960"/>
        </w:tabs>
        <w:spacing w:beforeLines="50" w:before="156" w:afterLines="50" w:after="156" w:line="300" w:lineRule="auto"/>
        <w:ind w:left="420"/>
        <w:rPr>
          <w:rFonts w:ascii="宋体" w:hAnsi="宋体"/>
          <w:sz w:val="24"/>
        </w:rPr>
      </w:pPr>
      <w:r>
        <w:rPr>
          <w:rFonts w:ascii="宋体" w:hAnsi="宋体" w:hint="eastAsia"/>
          <w:sz w:val="24"/>
        </w:rPr>
        <w:t>（三）超过最近一次募集资金投资计划的完成期限且募集资金投入金额未达到相关计划金额50%的；</w:t>
      </w:r>
    </w:p>
    <w:p w:rsidR="00816925" w:rsidRDefault="00816925">
      <w:pPr>
        <w:tabs>
          <w:tab w:val="left" w:pos="960"/>
        </w:tabs>
        <w:spacing w:beforeLines="50" w:before="156" w:afterLines="50" w:after="156" w:line="300" w:lineRule="auto"/>
        <w:ind w:left="420"/>
        <w:rPr>
          <w:rFonts w:ascii="宋体" w:hAnsi="宋体"/>
          <w:sz w:val="24"/>
        </w:rPr>
      </w:pPr>
      <w:r>
        <w:rPr>
          <w:rFonts w:ascii="宋体" w:hAnsi="宋体" w:hint="eastAsia"/>
          <w:sz w:val="24"/>
        </w:rPr>
        <w:t>（四）其他募集资金投资项目出现异常的情形。</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sz w:val="24"/>
        </w:rPr>
        <w:t>公司</w:t>
      </w:r>
      <w:r>
        <w:rPr>
          <w:rFonts w:ascii="宋体" w:hAnsi="宋体" w:hint="eastAsia"/>
          <w:sz w:val="24"/>
        </w:rPr>
        <w:t>将募集资金用作以下事项时，应当经董事会审议通过，并由监事会以及保荐机构或者独立财务顾问发表明确同意意见：</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（一）以募集资金置换预先已投入募集资金投资项目的自筹资金；</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（二）使用暂时闲置的募集资金进行现金管理；</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（三）使用暂时闲置的募集资金暂时补充流动资金；</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lastRenderedPageBreak/>
        <w:t>（四）变更募集资金用途；</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（五）改变募集资金投资项目实施地点；</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（六）调整募集资金投资项目计划进度；</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（七）使用节余募集资金。</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公司变更募集资金用途，以及使用节余募集资金达到</w:t>
      </w:r>
      <w:r w:rsidR="00D17201">
        <w:rPr>
          <w:rFonts w:ascii="宋体" w:hAnsi="宋体" w:hint="eastAsia"/>
          <w:sz w:val="24"/>
        </w:rPr>
        <w:t>股东会</w:t>
      </w:r>
      <w:r>
        <w:rPr>
          <w:rFonts w:ascii="宋体" w:hAnsi="宋体" w:hint="eastAsia"/>
          <w:sz w:val="24"/>
        </w:rPr>
        <w:t>审议标准的，还应当经</w:t>
      </w:r>
      <w:r w:rsidR="00D17201">
        <w:rPr>
          <w:rFonts w:ascii="宋体" w:hAnsi="宋体" w:hint="eastAsia"/>
          <w:sz w:val="24"/>
        </w:rPr>
        <w:t>股东会</w:t>
      </w:r>
      <w:r>
        <w:rPr>
          <w:rFonts w:ascii="宋体" w:hAnsi="宋体" w:hint="eastAsia"/>
          <w:sz w:val="24"/>
        </w:rPr>
        <w:t>审议通过。</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公司决定终止原募集资金投资项目的，应当尽快科学、审慎地选择新的投资项目。</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 xml:space="preserve">公司以募集资金置换预先已投入募集资金投资项目的自筹资金的，应当由公司董事会聘任的注册会计师出具鉴证报告，提交董事会审议通过，同时监事会、保荐人也要发表明确同意意见并履行信息披露义务后方可实施，置换时间距募集资金到账时间不得超过6个月。   </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公司已在发行申请文件中披露拟以募集资金置换预先投入的自筹资金且预先投入金额确定的，应当</w:t>
      </w:r>
      <w:r>
        <w:rPr>
          <w:rFonts w:ascii="宋体" w:hAnsi="宋体"/>
          <w:sz w:val="24"/>
        </w:rPr>
        <w:t>在置换实施前对外公告</w:t>
      </w:r>
      <w:r>
        <w:rPr>
          <w:rFonts w:ascii="宋体" w:hAnsi="宋体" w:hint="eastAsia"/>
          <w:sz w:val="24"/>
        </w:rPr>
        <w:t>。</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公司可以用闲置募集资金暂时用于补充流动资金，仅限于与主营业务有关的生产经营使用，并应当符合以下条件：</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（一）不得变相改变募集资金用途；</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（二）不得影响募集资金投资计划的正常进行；</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sz w:val="24"/>
        </w:rPr>
        <w:t>（三）</w:t>
      </w:r>
      <w:r>
        <w:rPr>
          <w:rFonts w:ascii="宋体" w:hAnsi="宋体" w:hint="eastAsia"/>
          <w:sz w:val="24"/>
        </w:rPr>
        <w:t>已归还前次用于暂时补充流动资金的募集资金；</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（四）单次补充流动资金时间不得超过12个月；</w:t>
      </w:r>
    </w:p>
    <w:p w:rsidR="00816925" w:rsidRDefault="00816925">
      <w:pPr>
        <w:tabs>
          <w:tab w:val="left" w:pos="1900"/>
        </w:tabs>
        <w:spacing w:beforeLines="50" w:before="156" w:afterLines="50" w:after="156" w:line="300" w:lineRule="auto"/>
        <w:ind w:left="454"/>
        <w:rPr>
          <w:rFonts w:ascii="宋体" w:hAnsi="宋体"/>
          <w:sz w:val="24"/>
        </w:rPr>
      </w:pPr>
      <w:r>
        <w:rPr>
          <w:rFonts w:ascii="宋体" w:hAnsi="宋体" w:hint="eastAsia"/>
          <w:sz w:val="24"/>
        </w:rPr>
        <w:t>（五）不得直接或者间接用于证券投资、衍生品交易等高风险投资。</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上述事项应当经公司董事会审议通过，并在两个交易日内报告深圳证券交易所并公告。补充流动资金到期后，公司应当在两个交易日内报告深圳证券交易所并公告。</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公司用闲置募集资金补充流动资金事项的，应当经公司董事会审议通过，并在两个工作日内公告以下内容：</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（一）本次募集资金的基本情况，包括募集</w:t>
      </w:r>
      <w:r>
        <w:rPr>
          <w:rFonts w:ascii="宋体" w:hAnsi="宋体" w:hint="eastAsia"/>
          <w:sz w:val="24"/>
        </w:rPr>
        <w:t>资金到账</w:t>
      </w:r>
      <w:r>
        <w:rPr>
          <w:rFonts w:ascii="宋体" w:hAnsi="宋体"/>
          <w:sz w:val="24"/>
        </w:rPr>
        <w:t>时间、募集资金金额、募集资金净额及投资计划等；</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（二）募集资金使用情况</w:t>
      </w:r>
      <w:r>
        <w:rPr>
          <w:rFonts w:ascii="宋体" w:hAnsi="宋体" w:hint="eastAsia"/>
          <w:sz w:val="24"/>
        </w:rPr>
        <w:t>，闲置的情况及原因</w:t>
      </w:r>
      <w:r>
        <w:rPr>
          <w:rFonts w:ascii="宋体" w:hAnsi="宋体"/>
          <w:sz w:val="24"/>
        </w:rPr>
        <w:t>；</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lastRenderedPageBreak/>
        <w:t>（三）</w:t>
      </w:r>
      <w:r>
        <w:rPr>
          <w:rFonts w:ascii="宋体" w:hAnsi="宋体" w:hint="eastAsia"/>
          <w:sz w:val="24"/>
        </w:rPr>
        <w:t>导致流动资金不足的原因，</w:t>
      </w:r>
      <w:r>
        <w:rPr>
          <w:rFonts w:ascii="宋体" w:hAnsi="宋体"/>
          <w:sz w:val="24"/>
        </w:rPr>
        <w:t>闲置募集资金补充流动资金的金额及期限；</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（四）闲置募集资金补充流动资金预计节约财务费用的金额、是否存在变相改变募集资金投向的行为和保证不影响募集资金项目正常进行的措施；</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（五）监事会、保荐机构</w:t>
      </w:r>
      <w:r>
        <w:rPr>
          <w:rFonts w:ascii="宋体" w:hAnsi="宋体" w:hint="eastAsia"/>
          <w:sz w:val="24"/>
        </w:rPr>
        <w:t>或者独立财务顾问</w:t>
      </w:r>
      <w:r>
        <w:rPr>
          <w:rFonts w:ascii="宋体" w:hAnsi="宋体"/>
          <w:sz w:val="24"/>
        </w:rPr>
        <w:t>出具的意见；</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（六）</w:t>
      </w:r>
      <w:r>
        <w:rPr>
          <w:rFonts w:ascii="宋体" w:hAnsi="宋体" w:hint="eastAsia"/>
          <w:sz w:val="24"/>
        </w:rPr>
        <w:t>深圳证券交易所</w:t>
      </w:r>
      <w:r>
        <w:rPr>
          <w:rFonts w:ascii="宋体" w:hAnsi="宋体"/>
          <w:sz w:val="24"/>
        </w:rPr>
        <w:t>要求的其他内容。</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补充流动资金到期日之前，公司应当将该部分资金归还至募集资金专户，并在资金全部归还后两个交易日内公告。公司预计无法按期将该部分资金归还至募集资金专户的，应当在到期日前按照前款要求履行审议程序并及时公告，公告内容应当包括资金去向、无法归还的原因、继续用于补充流动资金的原因及期限等。</w:t>
      </w:r>
    </w:p>
    <w:p w:rsidR="00816925" w:rsidRDefault="00816925">
      <w:pPr>
        <w:pStyle w:val="1"/>
        <w:spacing w:afterLines="50" w:after="156"/>
        <w:rPr>
          <w:rFonts w:ascii="宋体" w:hAnsi="宋体"/>
        </w:rPr>
      </w:pPr>
      <w:r>
        <w:rPr>
          <w:rFonts w:ascii="宋体" w:hAnsi="宋体" w:hint="eastAsia"/>
        </w:rPr>
        <w:t>第四章</w:t>
      </w:r>
      <w:bookmarkStart w:id="3" w:name="_Toc415730540"/>
      <w:r>
        <w:rPr>
          <w:rFonts w:ascii="宋体" w:hAnsi="宋体" w:hint="eastAsia"/>
        </w:rPr>
        <w:t xml:space="preserve">  募集资金用途变更</w:t>
      </w:r>
      <w:bookmarkEnd w:id="3"/>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 xml:space="preserve">公司存在以下情形的，视为募集资金用途变更：  </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 xml:space="preserve">（一）取消或者终止原募集资金项目，实施新项目；  </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（二）变更募集资金投资项目实施主体（实施主体在公司及其全资子公司之间变更的除外）；</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 xml:space="preserve">（三）变更募集资金投资项目实施方式； </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（四）深圳证券交易所认定为募集资金投向变更的其他情形。</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sz w:val="24"/>
        </w:rPr>
        <w:t>公司应当在召开董事会和</w:t>
      </w:r>
      <w:r w:rsidR="00D17201">
        <w:rPr>
          <w:rFonts w:ascii="宋体" w:hAnsi="宋体"/>
          <w:sz w:val="24"/>
        </w:rPr>
        <w:t>股东会</w:t>
      </w:r>
      <w:r>
        <w:rPr>
          <w:rFonts w:ascii="宋体" w:hAnsi="宋体"/>
          <w:sz w:val="24"/>
        </w:rPr>
        <w:t>审议通过变更募集资金用途议案后</w:t>
      </w:r>
      <w:r>
        <w:rPr>
          <w:rFonts w:ascii="宋体" w:hAnsi="宋体" w:hint="eastAsia"/>
          <w:sz w:val="24"/>
        </w:rPr>
        <w:t>，</w:t>
      </w:r>
      <w:r>
        <w:rPr>
          <w:rFonts w:ascii="宋体" w:hAnsi="宋体"/>
          <w:sz w:val="24"/>
        </w:rPr>
        <w:t>方可变更募集资金用途。</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公司变更后的募集资金用途应当投资于主营业务。</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公司董事会应当审慎地进行拟变更后的新募集资金投资项目的可行性分析，确信投资项目具有较好的市场前景和盈利能力，有效防范投资风险，提高募集资金使用效益。</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sz w:val="24"/>
        </w:rPr>
        <w:t>经</w:t>
      </w:r>
      <w:r w:rsidR="00D17201">
        <w:rPr>
          <w:rFonts w:ascii="宋体" w:hAnsi="宋体"/>
          <w:sz w:val="24"/>
        </w:rPr>
        <w:t>股东会</w:t>
      </w:r>
      <w:r>
        <w:rPr>
          <w:rFonts w:ascii="宋体" w:hAnsi="宋体"/>
          <w:sz w:val="24"/>
        </w:rPr>
        <w:t>批准变更募集资金投资项目的，公司应当在</w:t>
      </w:r>
      <w:r w:rsidR="00D17201">
        <w:rPr>
          <w:rFonts w:ascii="宋体" w:hAnsi="宋体"/>
          <w:sz w:val="24"/>
        </w:rPr>
        <w:t>股东会</w:t>
      </w:r>
      <w:r>
        <w:rPr>
          <w:rFonts w:ascii="宋体" w:hAnsi="宋体"/>
          <w:sz w:val="24"/>
        </w:rPr>
        <w:t>通过后二十个交易日内赋予可转换公司债券持有人</w:t>
      </w:r>
      <w:r>
        <w:rPr>
          <w:rFonts w:ascii="宋体" w:hAnsi="宋体" w:hint="eastAsia"/>
          <w:sz w:val="24"/>
        </w:rPr>
        <w:t>（如涉及）</w:t>
      </w:r>
      <w:r>
        <w:rPr>
          <w:rFonts w:ascii="宋体" w:hAnsi="宋体"/>
          <w:sz w:val="24"/>
        </w:rPr>
        <w:t>一次回售的权利。有关回售公告至少发布三次，其中，在回售实施前、</w:t>
      </w:r>
      <w:r w:rsidR="00D17201">
        <w:rPr>
          <w:rFonts w:ascii="宋体" w:hAnsi="宋体"/>
          <w:sz w:val="24"/>
        </w:rPr>
        <w:t>股东会</w:t>
      </w:r>
      <w:r>
        <w:rPr>
          <w:rFonts w:ascii="宋体" w:hAnsi="宋体"/>
          <w:sz w:val="24"/>
        </w:rPr>
        <w:t>决议公告后五个交易日内至少发布一次，在回售实施期间至少发布一次，余下一次回售公告发布的时间视需要而定。</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公司拟将募集资金投资项目变更为合资经营的方式实施的，应当在充分了解合资方基本情况的基础上，慎重考虑合资的必要性，并且公司应当</w:t>
      </w:r>
      <w:r>
        <w:rPr>
          <w:rFonts w:ascii="宋体" w:hAnsi="宋体" w:hint="eastAsia"/>
          <w:sz w:val="24"/>
        </w:rPr>
        <w:lastRenderedPageBreak/>
        <w:t>控股，确保对募集资金投资项目的有效控制。</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sz w:val="24"/>
        </w:rPr>
        <w:t>公司改变募集资金投资项目实施地点的，应当经董事会审议通过，并在二个交易日内公告，说明改变情况、原因、对募集资金投资项目实施造成的影响以及保荐机构或独立财务顾问出具的意见。</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单个或者全部募集资金投资项目完成后，将节余募集资金（包括利息收入）用作其他用途，金额低于500万元且低于该项目募集资金净额5%的，可以豁免履行第二十四条规定的程序，其使用情况应当在年度报告中披露。使用节余募集资金（包括利息收入）达到或者超过该项目募集资金净额10%且高于1,000万元的，还应当经</w:t>
      </w:r>
      <w:r w:rsidR="00D17201">
        <w:rPr>
          <w:rFonts w:ascii="宋体" w:hAnsi="宋体" w:hint="eastAsia"/>
          <w:sz w:val="24"/>
        </w:rPr>
        <w:t>股东会</w:t>
      </w:r>
      <w:r>
        <w:rPr>
          <w:rFonts w:ascii="宋体" w:hAnsi="宋体" w:hint="eastAsia"/>
          <w:sz w:val="24"/>
        </w:rPr>
        <w:t>审议通过。</w:t>
      </w:r>
    </w:p>
    <w:p w:rsidR="00816925" w:rsidRDefault="00816925">
      <w:pPr>
        <w:pStyle w:val="1"/>
        <w:spacing w:afterLines="50" w:after="156"/>
        <w:rPr>
          <w:rFonts w:ascii="宋体" w:hAnsi="宋体"/>
        </w:rPr>
      </w:pPr>
      <w:r>
        <w:rPr>
          <w:rFonts w:ascii="宋体" w:hAnsi="宋体" w:hint="eastAsia"/>
        </w:rPr>
        <w:t xml:space="preserve">第五章  </w:t>
      </w:r>
      <w:bookmarkStart w:id="4" w:name="_Toc415730541"/>
      <w:r>
        <w:rPr>
          <w:rFonts w:ascii="宋体" w:hAnsi="宋体" w:hint="eastAsia"/>
        </w:rPr>
        <w:t>募集资金管理与监督</w:t>
      </w:r>
      <w:bookmarkEnd w:id="4"/>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sz w:val="24"/>
        </w:rPr>
        <w:t>公司董事会应当每半年全面核查募集资金投资项目的进展情况</w:t>
      </w:r>
      <w:r>
        <w:rPr>
          <w:rFonts w:ascii="宋体" w:hAnsi="宋体" w:hint="eastAsia"/>
          <w:sz w:val="24"/>
        </w:rPr>
        <w:t>，出具半年度及年度募集资金存放与使用情况专项报告，并与定期报告同时披露，直至募集资金使用完毕且报告期内不存在募集资金使用情况</w:t>
      </w:r>
      <w:r>
        <w:rPr>
          <w:rFonts w:ascii="宋体" w:hAnsi="宋体"/>
          <w:sz w:val="24"/>
        </w:rPr>
        <w:t>。</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募集资金投资项目实际投资进度与投资计划存在差异的，公司应当解释具体原因。募集资金投资项目年度实际使用募集资金与最近一次披露的募集资金投资计划当年预计使用金额差异超过30%的，公司应当调整募集资金投资计划，并在募集资金存放与使用情况专项报告和定期报告中披露最近一次募集资金年度投资计划、目前实际投资进度、调整后预计分年度投资计划以及投资计划变化的原因等。</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会计部门应当对募集资金的使用情况设立台账，具体反映募集资金的支出情况和募集资金项目的投入情况。公司内部审计部门应当至少每季度对募集资金的存放及使用情况检查一次，并及时向公司审计委员会报告检查结果。检查发现公司存在违法违规、运作不规范等情形的，应当及时向董事会报告。董事会应当在收到审计委员会的报告后两个交易日内向深圳证券交易所报告并公告。公告内容包括募集资金管理存在的违规情形、已经或可能导致的后果及已经或拟采取的措施。</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当年存在募集资金使用的，应当在进行年度审计的同时，聘请会计师事务所对实际投资项目、实际投资金额、实际投入时间和项目完工程度等募集资金使用情况进行专项审核，并对董事会出具的专项报告是否已经按照本指引及相关格式要求编制以及是否如实反映了年度募集资金实际存放、使用情况进行合理鉴证，提出鉴证结论。公司应当在年度募集资金存放与使用专项报告中披露鉴证结论</w:t>
      </w:r>
      <w:r>
        <w:rPr>
          <w:rFonts w:ascii="宋体" w:hAnsi="宋体"/>
          <w:sz w:val="24"/>
        </w:rPr>
        <w:t>。</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lastRenderedPageBreak/>
        <w:t>鉴证结论为“保留结论”“否定结论”或者“无法提出结论”的，公司董事会应当就鉴证报告中注册会计师提出该结论的理由进行分析、提出整改措施并在年度报告中披露。</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独立董事应当关注募集资金实际使用情况与公司信息披露情况是否存在重大差异。经二分之一以上独立董事同意，独立董事可以聘请会计师事务所对募集资金使用情况出具鉴证报告，公司应当积极配合，并承担必要的费用。</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鉴证结论为“保留结论”“否定结论”或者“无法提出结论”的，公司董事会应当就鉴证报告中注册会计师提出该结论的理由进行分析、提出整改措施并及时披露。</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公司监事会有权对募集资金使用情况进行监督，对违法使用募集资金的情况有权予以制止。</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董事、监事、高级管理人员、员工违反本制度规定的，除监管机构依法对其进行处罚外，公司也将根据实际情况，对相关人员进行处罚，包括扣减绩效奖金、警告、通报批评、记过、解除职务等，并可依法要求其赔偿给公司造成的损失。</w:t>
      </w:r>
    </w:p>
    <w:p w:rsidR="00816925" w:rsidRDefault="00816925">
      <w:pPr>
        <w:pStyle w:val="1"/>
        <w:spacing w:afterLines="50" w:after="156"/>
        <w:rPr>
          <w:rFonts w:ascii="宋体" w:hAnsi="宋体"/>
        </w:rPr>
      </w:pPr>
      <w:r>
        <w:rPr>
          <w:rFonts w:ascii="宋体" w:hAnsi="宋体" w:hint="eastAsia"/>
        </w:rPr>
        <w:t>第六章</w:t>
      </w:r>
      <w:bookmarkStart w:id="5" w:name="_Toc415730542"/>
      <w:r>
        <w:rPr>
          <w:rFonts w:ascii="宋体" w:hAnsi="宋体" w:hint="eastAsia"/>
        </w:rPr>
        <w:t xml:space="preserve">  超募资金的使用</w:t>
      </w:r>
      <w:bookmarkEnd w:id="5"/>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应当根据公司的发展规划及实际生产经营需求，妥善安排实际募集资金净额超过计划募集资金金额部分（以下简称超募资金）的使用计划，科学、审慎地进行项目的可行性分析，提交董事会审议通过后及时披露。使用计划公告应当包括下列内容：</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（一）</w:t>
      </w:r>
      <w:r>
        <w:rPr>
          <w:rFonts w:ascii="宋体" w:hAnsi="宋体" w:hint="eastAsia"/>
          <w:sz w:val="24"/>
        </w:rPr>
        <w:t>募集资金基本情况，包括募集资金到账时间、募集资金金额、实际募集资金净额超过计划募集资金的金额、已投入的项目名称及金额、累计已计划的金额及实际使用金额；</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（二）</w:t>
      </w:r>
      <w:r>
        <w:rPr>
          <w:rFonts w:ascii="宋体" w:hAnsi="宋体" w:hint="eastAsia"/>
          <w:sz w:val="24"/>
        </w:rPr>
        <w:t>计划投入的项目介绍，包括各项目的基本情况、是否涉及关联交易、可行性分析、经济效益分析、投资进度计划、项目已经取得或者尚待有关部门审批的说明及风险提示（如适用）；</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（三）保荐机构或者独立财务顾问关于超募资金使用计划合理性、合规性和必要性的独立意见。</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计划单次使用超募资金金额达到5,000万元且达到超募资金总额的10%以上的，还应当提交</w:t>
      </w:r>
      <w:r w:rsidR="00D17201">
        <w:rPr>
          <w:rFonts w:ascii="宋体" w:hAnsi="宋体" w:hint="eastAsia"/>
          <w:sz w:val="24"/>
        </w:rPr>
        <w:t>股东会</w:t>
      </w:r>
      <w:r>
        <w:rPr>
          <w:rFonts w:ascii="宋体" w:hAnsi="宋体" w:hint="eastAsia"/>
          <w:sz w:val="24"/>
        </w:rPr>
        <w:t>审议通过</w:t>
      </w:r>
      <w:r>
        <w:rPr>
          <w:rFonts w:ascii="宋体" w:hAnsi="宋体"/>
          <w:sz w:val="24"/>
        </w:rPr>
        <w:t>。</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lastRenderedPageBreak/>
        <w:t>公司计划使用超募资金偿还银行贷款或永久补充流动资金的，应当经董事会和</w:t>
      </w:r>
      <w:r w:rsidR="00D17201">
        <w:rPr>
          <w:rFonts w:ascii="宋体" w:hAnsi="宋体" w:hint="eastAsia"/>
          <w:sz w:val="24"/>
        </w:rPr>
        <w:t>股东会</w:t>
      </w:r>
      <w:r>
        <w:rPr>
          <w:rFonts w:ascii="宋体" w:hAnsi="宋体" w:hint="eastAsia"/>
          <w:sz w:val="24"/>
        </w:rPr>
        <w:t xml:space="preserve">审议通过，保荐机构或者独立财务顾问应当发表明确同意意见并披露，还应当符合以下要求：  </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（一）</w:t>
      </w:r>
      <w:r>
        <w:rPr>
          <w:rFonts w:ascii="宋体" w:hAnsi="宋体"/>
          <w:sz w:val="24"/>
        </w:rPr>
        <w:t>超募资金用于永久补充流动资金和归还银行贷款的金额，每十二个月内累计不得超过超募资金总额的30%</w:t>
      </w:r>
      <w:r>
        <w:rPr>
          <w:rFonts w:ascii="宋体" w:hAnsi="宋体" w:hint="eastAsia"/>
          <w:sz w:val="24"/>
        </w:rPr>
        <w:t>；</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（二）</w:t>
      </w:r>
      <w:r>
        <w:rPr>
          <w:rFonts w:ascii="宋体" w:hAnsi="宋体" w:hint="eastAsia"/>
          <w:sz w:val="24"/>
        </w:rPr>
        <w:t>公司在补充流动资金后十二个月内不得进行证券投资、衍生品交易等高风险投资及为控股子公司以外的对象提供财务资助。公司应当在公告中对此作出明确承诺。</w:t>
      </w:r>
    </w:p>
    <w:p w:rsidR="00816925" w:rsidRDefault="00816925">
      <w:pPr>
        <w:pStyle w:val="1"/>
        <w:spacing w:afterLines="50" w:after="156"/>
        <w:rPr>
          <w:rFonts w:ascii="宋体" w:hAnsi="宋体"/>
        </w:rPr>
      </w:pPr>
      <w:bookmarkStart w:id="6" w:name="_Toc415730543"/>
      <w:r>
        <w:rPr>
          <w:rFonts w:ascii="宋体" w:hAnsi="宋体" w:hint="eastAsia"/>
        </w:rPr>
        <w:t>第七章  募集资金的现金管理</w:t>
      </w:r>
      <w:bookmarkEnd w:id="6"/>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公司拟对闲置募集资金（包括超募资金）进行现金管理的，其投资的产品的期限不得超过十二个月，并满足</w:t>
      </w:r>
      <w:r>
        <w:rPr>
          <w:rFonts w:ascii="宋体" w:hAnsi="宋体"/>
          <w:sz w:val="24"/>
        </w:rPr>
        <w:t>安全性高</w:t>
      </w:r>
      <w:r>
        <w:rPr>
          <w:rFonts w:ascii="宋体" w:hAnsi="宋体" w:hint="eastAsia"/>
          <w:sz w:val="24"/>
        </w:rPr>
        <w:t>、</w:t>
      </w:r>
      <w:r>
        <w:rPr>
          <w:rFonts w:ascii="宋体" w:hAnsi="宋体"/>
          <w:sz w:val="24"/>
        </w:rPr>
        <w:t>流动性好</w:t>
      </w:r>
      <w:r>
        <w:rPr>
          <w:rFonts w:ascii="宋体" w:hAnsi="宋体" w:hint="eastAsia"/>
          <w:sz w:val="24"/>
        </w:rPr>
        <w:t>的要求</w:t>
      </w:r>
      <w:r>
        <w:rPr>
          <w:rFonts w:ascii="宋体" w:hAnsi="宋体"/>
          <w:sz w:val="24"/>
        </w:rPr>
        <w:t>，不得影响募集资金投资计划正常进行。</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投资产品不得质押，产品专用结算账户（如适用）不得存放非募集资金或者用作其他用途，开立或者注销产品专用结算账户的，公司应当及时报</w:t>
      </w:r>
      <w:r>
        <w:rPr>
          <w:rFonts w:ascii="宋体" w:hAnsi="宋体" w:hint="eastAsia"/>
          <w:sz w:val="24"/>
        </w:rPr>
        <w:t>深圳证券交易所</w:t>
      </w:r>
      <w:r>
        <w:rPr>
          <w:rFonts w:ascii="宋体" w:hAnsi="宋体"/>
          <w:sz w:val="24"/>
        </w:rPr>
        <w:t>备案并公告。</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hint="eastAsia"/>
          <w:sz w:val="24"/>
        </w:rPr>
        <w:t>本条第一款所述事项应当经董事会审议通过，监事会、保荐机构发表明确同意意见，按照《上市规则》规定应当提交</w:t>
      </w:r>
      <w:r w:rsidR="00D17201">
        <w:rPr>
          <w:rFonts w:ascii="宋体" w:hAnsi="宋体" w:hint="eastAsia"/>
          <w:sz w:val="24"/>
        </w:rPr>
        <w:t>股东会</w:t>
      </w:r>
      <w:r>
        <w:rPr>
          <w:rFonts w:ascii="宋体" w:hAnsi="宋体" w:hint="eastAsia"/>
          <w:sz w:val="24"/>
        </w:rPr>
        <w:t>审议的，还应当提交</w:t>
      </w:r>
      <w:r w:rsidR="00D17201">
        <w:rPr>
          <w:rFonts w:ascii="宋体" w:hAnsi="宋体" w:hint="eastAsia"/>
          <w:sz w:val="24"/>
        </w:rPr>
        <w:t>股东会</w:t>
      </w:r>
      <w:r>
        <w:rPr>
          <w:rFonts w:ascii="宋体" w:hAnsi="宋体" w:hint="eastAsia"/>
          <w:sz w:val="24"/>
        </w:rPr>
        <w:t>审议，不能变相改变募集资金用途。</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使用</w:t>
      </w:r>
      <w:r>
        <w:rPr>
          <w:rFonts w:ascii="宋体" w:hAnsi="宋体"/>
          <w:sz w:val="24"/>
        </w:rPr>
        <w:t>闲置募集资金投资产品的，应当经公司董事会审议通过，监事会、保荐机构发表明确同意意见。公司应当在董事会会议后2个交易日内公告下列内容：</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（一）本次募集资金的基本情况，包括募集</w:t>
      </w:r>
      <w:r>
        <w:rPr>
          <w:rFonts w:ascii="宋体" w:hAnsi="宋体" w:hint="eastAsia"/>
          <w:sz w:val="24"/>
        </w:rPr>
        <w:t>资金到账</w:t>
      </w:r>
      <w:r>
        <w:rPr>
          <w:rFonts w:ascii="宋体" w:hAnsi="宋体"/>
          <w:sz w:val="24"/>
        </w:rPr>
        <w:t>时间、募集资金金额、募集资金净额及投资计划等；</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（二）募集资金使用情况；</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（三）</w:t>
      </w:r>
      <w:r>
        <w:rPr>
          <w:rFonts w:ascii="宋体" w:hAnsi="宋体" w:hint="eastAsia"/>
          <w:sz w:val="24"/>
        </w:rPr>
        <w:t>闲置募集资金投资产品的额度及期限，</w:t>
      </w:r>
      <w:r>
        <w:rPr>
          <w:rFonts w:ascii="宋体" w:hAnsi="宋体"/>
          <w:sz w:val="24"/>
        </w:rPr>
        <w:t>是否存在变相改变募集资金用途的行为和保证不影响募集资金项目正常进行的措施；</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（四）</w:t>
      </w:r>
      <w:r>
        <w:rPr>
          <w:rFonts w:ascii="宋体" w:hAnsi="宋体" w:hint="eastAsia"/>
          <w:sz w:val="24"/>
        </w:rPr>
        <w:t>投资产品的收益分配方式、投资范围及安全性</w:t>
      </w:r>
      <w:r>
        <w:rPr>
          <w:rFonts w:ascii="宋体" w:hAnsi="宋体"/>
          <w:sz w:val="24"/>
        </w:rPr>
        <w:t>；</w:t>
      </w:r>
    </w:p>
    <w:p w:rsidR="00816925" w:rsidRDefault="00816925">
      <w:pPr>
        <w:tabs>
          <w:tab w:val="left" w:pos="1900"/>
        </w:tabs>
        <w:spacing w:beforeLines="50" w:before="156" w:afterLines="50" w:after="156" w:line="300" w:lineRule="auto"/>
        <w:ind w:firstLineChars="200" w:firstLine="480"/>
        <w:rPr>
          <w:rFonts w:ascii="宋体" w:hAnsi="宋体"/>
          <w:sz w:val="24"/>
        </w:rPr>
      </w:pPr>
      <w:r>
        <w:rPr>
          <w:rFonts w:ascii="宋体" w:hAnsi="宋体"/>
          <w:sz w:val="24"/>
        </w:rPr>
        <w:t>（五）监事会、保荐机构出具的意见。</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公司使用闲置募集资金（包括超募资金）进行现金管理的，应当在专项报告中披露本报告期内的投资产品的收益情况以及期末的投资份额、签</w:t>
      </w:r>
      <w:r>
        <w:rPr>
          <w:rFonts w:ascii="宋体" w:hAnsi="宋体" w:hint="eastAsia"/>
          <w:sz w:val="24"/>
        </w:rPr>
        <w:lastRenderedPageBreak/>
        <w:t>约方、产品名称、期限等信息。</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公司使用闲置募集资金（包括超募资金）进行现金管理的，出现产品发行主体财务状况恶化、所投资的产品面临亏损等重大不利因素时，公司应当及时披露，提示风险，并披露为确保资金安全所采取的风险控制措施。</w:t>
      </w:r>
    </w:p>
    <w:p w:rsidR="00816925" w:rsidRDefault="00816925">
      <w:pPr>
        <w:pStyle w:val="1"/>
        <w:spacing w:afterLines="50" w:after="156"/>
        <w:rPr>
          <w:rFonts w:ascii="宋体" w:hAnsi="宋体"/>
        </w:rPr>
      </w:pPr>
      <w:r>
        <w:rPr>
          <w:rFonts w:ascii="宋体" w:hAnsi="宋体" w:hint="eastAsia"/>
        </w:rPr>
        <w:t>第八章  附则</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本制度未尽事宜，依照国家法律、法规、规范性文件以及《公司章程》的有关规定执行。本制度与法律、法规、其他规范性文件以及《公司章程》的有关规定不一致的，以有关法律、法规、其他规范性文件以及《公司章程》的规定为准。若本制度相关条款系直接引用法律、法规、规范性文件的具体规定作出，而该等法律、法规、规范性文件发生变化的，在本制度作出修订前，可直接依照届时有效的法律、法规、规范性文件执行。</w:t>
      </w:r>
    </w:p>
    <w:p w:rsidR="00816925" w:rsidRDefault="00816925">
      <w:pPr>
        <w:numPr>
          <w:ilvl w:val="0"/>
          <w:numId w:val="1"/>
        </w:numPr>
        <w:tabs>
          <w:tab w:val="left" w:pos="1900"/>
        </w:tabs>
        <w:spacing w:beforeLines="50" w:before="156" w:afterLines="50" w:after="156" w:line="300" w:lineRule="auto"/>
        <w:ind w:left="0" w:firstLine="454"/>
        <w:rPr>
          <w:rFonts w:ascii="宋体" w:hAnsi="宋体"/>
          <w:sz w:val="24"/>
        </w:rPr>
      </w:pPr>
      <w:r>
        <w:rPr>
          <w:rFonts w:ascii="宋体" w:hAnsi="宋体" w:hint="eastAsia"/>
          <w:sz w:val="24"/>
        </w:rPr>
        <w:t>本制度由公司董事会负责解释和修订。</w:t>
      </w:r>
    </w:p>
    <w:p w:rsidR="00816925" w:rsidRDefault="00816925">
      <w:pPr>
        <w:numPr>
          <w:ilvl w:val="0"/>
          <w:numId w:val="1"/>
        </w:numPr>
        <w:tabs>
          <w:tab w:val="left" w:pos="1900"/>
        </w:tabs>
        <w:adjustRightInd w:val="0"/>
        <w:snapToGrid w:val="0"/>
        <w:spacing w:beforeLines="50" w:before="156" w:afterLines="50" w:after="156" w:line="300" w:lineRule="auto"/>
        <w:ind w:left="0" w:firstLine="454"/>
        <w:rPr>
          <w:rFonts w:ascii="宋体" w:hAnsi="宋体"/>
          <w:sz w:val="24"/>
        </w:rPr>
      </w:pPr>
      <w:r>
        <w:rPr>
          <w:rFonts w:ascii="宋体" w:hAnsi="宋体" w:hint="eastAsia"/>
          <w:sz w:val="24"/>
        </w:rPr>
        <w:t>本制度自公司</w:t>
      </w:r>
      <w:r w:rsidR="00D17201">
        <w:rPr>
          <w:rFonts w:ascii="宋体" w:hAnsi="宋体" w:hint="eastAsia"/>
          <w:sz w:val="24"/>
        </w:rPr>
        <w:t>股东会</w:t>
      </w:r>
      <w:r>
        <w:rPr>
          <w:rFonts w:ascii="宋体" w:hAnsi="宋体" w:hint="eastAsia"/>
          <w:sz w:val="24"/>
        </w:rPr>
        <w:t>审议通过之日起生效并执行。</w:t>
      </w:r>
    </w:p>
    <w:p w:rsidR="00816925" w:rsidRDefault="00816925">
      <w:pPr>
        <w:tabs>
          <w:tab w:val="left" w:pos="1900"/>
        </w:tabs>
        <w:adjustRightInd w:val="0"/>
        <w:snapToGrid w:val="0"/>
        <w:spacing w:beforeLines="50" w:before="156" w:afterLines="50" w:after="156" w:line="300" w:lineRule="auto"/>
        <w:ind w:left="454"/>
        <w:jc w:val="right"/>
        <w:rPr>
          <w:rFonts w:ascii="宋体" w:hAnsi="宋体"/>
          <w:sz w:val="24"/>
        </w:rPr>
      </w:pPr>
      <w:r>
        <w:rPr>
          <w:rFonts w:ascii="宋体" w:hAnsi="宋体" w:hint="eastAsia"/>
          <w:sz w:val="24"/>
        </w:rPr>
        <w:t>广东天亿马信息产业股份有限公司</w:t>
      </w:r>
    </w:p>
    <w:p w:rsidR="00816925" w:rsidRDefault="002F7248" w:rsidP="00511671">
      <w:pPr>
        <w:tabs>
          <w:tab w:val="left" w:pos="1900"/>
        </w:tabs>
        <w:wordWrap w:val="0"/>
        <w:adjustRightInd w:val="0"/>
        <w:snapToGrid w:val="0"/>
        <w:spacing w:beforeLines="50" w:before="156" w:afterLines="50" w:after="156" w:line="300" w:lineRule="auto"/>
        <w:ind w:left="454"/>
        <w:jc w:val="right"/>
        <w:rPr>
          <w:rFonts w:ascii="宋体" w:hAnsi="宋体"/>
          <w:sz w:val="24"/>
        </w:rPr>
      </w:pPr>
      <w:r>
        <w:rPr>
          <w:rFonts w:ascii="宋体" w:hAnsi="宋体" w:hint="eastAsia"/>
          <w:sz w:val="24"/>
        </w:rPr>
        <w:t>二〇二四年十二月</w:t>
      </w:r>
    </w:p>
    <w:sectPr w:rsidR="00816925">
      <w:headerReference w:type="default" r:id="rId8"/>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2A37" w:rsidRDefault="00FF2A37">
      <w:r>
        <w:separator/>
      </w:r>
    </w:p>
  </w:endnote>
  <w:endnote w:type="continuationSeparator" w:id="0">
    <w:p w:rsidR="00FF2A37" w:rsidRDefault="00FF2A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925" w:rsidRDefault="00816925">
    <w:pPr>
      <w:pStyle w:val="a6"/>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sidR="00753209">
      <w:rPr>
        <w:noProof/>
        <w:kern w:val="0"/>
        <w:szCs w:val="21"/>
      </w:rPr>
      <w:t>1</w:t>
    </w:r>
    <w:r>
      <w:rPr>
        <w:kern w:val="0"/>
        <w:szCs w:val="21"/>
      </w:rPr>
      <w:fldChar w:fldCharType="end"/>
    </w:r>
    <w:r>
      <w:rPr>
        <w:rFonts w:hint="eastAsia"/>
        <w:kern w:val="0"/>
        <w:szCs w:val="21"/>
      </w:rPr>
      <w:t>页</w:t>
    </w:r>
    <w:r>
      <w:rPr>
        <w:rFonts w:hint="eastAsia"/>
        <w:kern w:val="0"/>
        <w:szCs w:val="21"/>
      </w:rPr>
      <w:t xml:space="preserve"> </w:t>
    </w:r>
    <w:r>
      <w:rPr>
        <w:rFonts w:hint="eastAsia"/>
        <w:kern w:val="0"/>
        <w:szCs w:val="21"/>
      </w:rPr>
      <w:t>共</w:t>
    </w:r>
    <w:r>
      <w:rPr>
        <w:kern w:val="0"/>
        <w:szCs w:val="21"/>
      </w:rPr>
      <w:fldChar w:fldCharType="begin"/>
    </w:r>
    <w:r>
      <w:rPr>
        <w:kern w:val="0"/>
        <w:szCs w:val="21"/>
      </w:rPr>
      <w:instrText xml:space="preserve"> NUMPAGES </w:instrText>
    </w:r>
    <w:r>
      <w:rPr>
        <w:kern w:val="0"/>
        <w:szCs w:val="21"/>
      </w:rPr>
      <w:fldChar w:fldCharType="separate"/>
    </w:r>
    <w:r w:rsidR="00753209">
      <w:rPr>
        <w:noProof/>
        <w:kern w:val="0"/>
        <w:szCs w:val="21"/>
      </w:rPr>
      <w:t>10</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2A37" w:rsidRDefault="00FF2A37">
      <w:r>
        <w:separator/>
      </w:r>
    </w:p>
  </w:footnote>
  <w:footnote w:type="continuationSeparator" w:id="0">
    <w:p w:rsidR="00FF2A37" w:rsidRDefault="00FF2A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6925" w:rsidRDefault="00816925">
    <w:pPr>
      <w:pStyle w:val="a7"/>
      <w:jc w:val="left"/>
    </w:pPr>
    <w:bookmarkStart w:id="7" w:name="_Hlk6773136"/>
    <w:bookmarkStart w:id="8" w:name="_Hlk6773137"/>
    <w:r>
      <w:t>广东天亿马信息产业股份有限公司</w:t>
    </w:r>
    <w:r>
      <w:rPr>
        <w:rFonts w:hint="eastAsia"/>
      </w:rPr>
      <w:t xml:space="preserve">                  </w:t>
    </w:r>
    <w:r>
      <w:t xml:space="preserve">   </w:t>
    </w:r>
    <w:r>
      <w:rPr>
        <w:rFonts w:hint="eastAsia"/>
      </w:rPr>
      <w:t xml:space="preserve">                     </w:t>
    </w:r>
    <w:r>
      <w:rPr>
        <w:rFonts w:hint="eastAsia"/>
      </w:rPr>
      <w:t>募集资金使用管理</w:t>
    </w:r>
    <w:bookmarkEnd w:id="7"/>
    <w:bookmarkEnd w:id="8"/>
    <w:r>
      <w:rPr>
        <w:rFonts w:hint="eastAsia"/>
      </w:rPr>
      <w:t>办法</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start w:val="1"/>
      <w:numFmt w:val="chineseCounting"/>
      <w:suff w:val="nothing"/>
      <w:lvlText w:val="（%1）"/>
      <w:lvlJc w:val="left"/>
      <w:pPr>
        <w:ind w:left="0" w:firstLine="420"/>
      </w:pPr>
      <w:rPr>
        <w:rFonts w:hint="eastAsia"/>
      </w:rPr>
    </w:lvl>
  </w:abstractNum>
  <w:abstractNum w:abstractNumId="1">
    <w:nsid w:val="2F1F67E4"/>
    <w:multiLevelType w:val="multilevel"/>
    <w:tmpl w:val="2F1F67E4"/>
    <w:lvl w:ilvl="0">
      <w:start w:val="1"/>
      <w:numFmt w:val="chineseCountingThousand"/>
      <w:suff w:val="space"/>
      <w:lvlText w:val="第%1条"/>
      <w:lvlJc w:val="left"/>
      <w:pPr>
        <w:ind w:left="-332" w:firstLine="900"/>
      </w:pPr>
      <w:rPr>
        <w:rFonts w:hint="eastAsia"/>
        <w:b/>
        <w:i w:val="0"/>
        <w:sz w:val="24"/>
        <w:szCs w:val="24"/>
      </w:rPr>
    </w:lvl>
    <w:lvl w:ilvl="1">
      <w:start w:val="1"/>
      <w:numFmt w:val="lowerLetter"/>
      <w:lvlText w:val="%2)"/>
      <w:lvlJc w:val="left"/>
      <w:pPr>
        <w:tabs>
          <w:tab w:val="num" w:pos="660"/>
        </w:tabs>
        <w:ind w:left="660" w:hanging="420"/>
      </w:pPr>
      <w:rPr>
        <w:rFonts w:hint="eastAsia"/>
      </w:rPr>
    </w:lvl>
    <w:lvl w:ilvl="2">
      <w:start w:val="1"/>
      <w:numFmt w:val="lowerRoman"/>
      <w:lvlText w:val="%3."/>
      <w:lvlJc w:val="right"/>
      <w:pPr>
        <w:tabs>
          <w:tab w:val="num" w:pos="1080"/>
        </w:tabs>
        <w:ind w:left="1080" w:hanging="420"/>
      </w:pPr>
      <w:rPr>
        <w:rFonts w:hint="eastAsia"/>
      </w:rPr>
    </w:lvl>
    <w:lvl w:ilvl="3">
      <w:start w:val="1"/>
      <w:numFmt w:val="decimal"/>
      <w:lvlText w:val="%4."/>
      <w:lvlJc w:val="left"/>
      <w:pPr>
        <w:tabs>
          <w:tab w:val="num" w:pos="1500"/>
        </w:tabs>
        <w:ind w:left="1500" w:hanging="420"/>
      </w:pPr>
      <w:rPr>
        <w:rFonts w:hint="eastAsia"/>
      </w:rPr>
    </w:lvl>
    <w:lvl w:ilvl="4">
      <w:start w:val="1"/>
      <w:numFmt w:val="lowerLetter"/>
      <w:lvlText w:val="%5)"/>
      <w:lvlJc w:val="left"/>
      <w:pPr>
        <w:tabs>
          <w:tab w:val="num" w:pos="1920"/>
        </w:tabs>
        <w:ind w:left="1920" w:hanging="420"/>
      </w:pPr>
      <w:rPr>
        <w:rFonts w:hint="eastAsia"/>
      </w:rPr>
    </w:lvl>
    <w:lvl w:ilvl="5">
      <w:start w:val="1"/>
      <w:numFmt w:val="lowerRoman"/>
      <w:lvlText w:val="%6."/>
      <w:lvlJc w:val="right"/>
      <w:pPr>
        <w:tabs>
          <w:tab w:val="num" w:pos="2340"/>
        </w:tabs>
        <w:ind w:left="2340" w:hanging="420"/>
      </w:pPr>
      <w:rPr>
        <w:rFonts w:hint="eastAsia"/>
      </w:rPr>
    </w:lvl>
    <w:lvl w:ilvl="6">
      <w:start w:val="1"/>
      <w:numFmt w:val="decimal"/>
      <w:lvlText w:val="%7."/>
      <w:lvlJc w:val="left"/>
      <w:pPr>
        <w:tabs>
          <w:tab w:val="num" w:pos="2760"/>
        </w:tabs>
        <w:ind w:left="2760" w:hanging="420"/>
      </w:pPr>
      <w:rPr>
        <w:rFonts w:hint="eastAsia"/>
      </w:rPr>
    </w:lvl>
    <w:lvl w:ilvl="7">
      <w:start w:val="1"/>
      <w:numFmt w:val="lowerLetter"/>
      <w:lvlText w:val="%8)"/>
      <w:lvlJc w:val="left"/>
      <w:pPr>
        <w:tabs>
          <w:tab w:val="num" w:pos="3180"/>
        </w:tabs>
        <w:ind w:left="3180" w:hanging="420"/>
      </w:pPr>
      <w:rPr>
        <w:rFonts w:hint="eastAsia"/>
      </w:rPr>
    </w:lvl>
    <w:lvl w:ilvl="8">
      <w:start w:val="1"/>
      <w:numFmt w:val="lowerRoman"/>
      <w:lvlText w:val="%9."/>
      <w:lvlJc w:val="right"/>
      <w:pPr>
        <w:tabs>
          <w:tab w:val="num" w:pos="3600"/>
        </w:tabs>
        <w:ind w:left="3600" w:hanging="42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703A"/>
    <w:rsid w:val="000116E2"/>
    <w:rsid w:val="00014015"/>
    <w:rsid w:val="0001540C"/>
    <w:rsid w:val="0001659F"/>
    <w:rsid w:val="00016AE1"/>
    <w:rsid w:val="00021B91"/>
    <w:rsid w:val="00023987"/>
    <w:rsid w:val="0002689C"/>
    <w:rsid w:val="00026B5B"/>
    <w:rsid w:val="00035D98"/>
    <w:rsid w:val="000457D9"/>
    <w:rsid w:val="00071D99"/>
    <w:rsid w:val="00080F43"/>
    <w:rsid w:val="0008188A"/>
    <w:rsid w:val="00086060"/>
    <w:rsid w:val="00092986"/>
    <w:rsid w:val="000955D2"/>
    <w:rsid w:val="00096824"/>
    <w:rsid w:val="000A6144"/>
    <w:rsid w:val="000B1B9A"/>
    <w:rsid w:val="000C0462"/>
    <w:rsid w:val="000C5794"/>
    <w:rsid w:val="000C7FD3"/>
    <w:rsid w:val="000D149D"/>
    <w:rsid w:val="000D4332"/>
    <w:rsid w:val="000D4E04"/>
    <w:rsid w:val="000F28C7"/>
    <w:rsid w:val="000F32AE"/>
    <w:rsid w:val="000F6B4D"/>
    <w:rsid w:val="00101D6C"/>
    <w:rsid w:val="001110E4"/>
    <w:rsid w:val="00121591"/>
    <w:rsid w:val="00121ACA"/>
    <w:rsid w:val="00123147"/>
    <w:rsid w:val="00124B39"/>
    <w:rsid w:val="00126A31"/>
    <w:rsid w:val="00132C2D"/>
    <w:rsid w:val="00151BD8"/>
    <w:rsid w:val="00154881"/>
    <w:rsid w:val="00170EB7"/>
    <w:rsid w:val="00172A27"/>
    <w:rsid w:val="00173A12"/>
    <w:rsid w:val="00175BF7"/>
    <w:rsid w:val="00185236"/>
    <w:rsid w:val="001852C7"/>
    <w:rsid w:val="001A2367"/>
    <w:rsid w:val="001A3EBE"/>
    <w:rsid w:val="001B0C3D"/>
    <w:rsid w:val="001C5312"/>
    <w:rsid w:val="001C6662"/>
    <w:rsid w:val="001D6E30"/>
    <w:rsid w:val="001E3801"/>
    <w:rsid w:val="001F04F3"/>
    <w:rsid w:val="001F662D"/>
    <w:rsid w:val="0020361F"/>
    <w:rsid w:val="0020725D"/>
    <w:rsid w:val="00207631"/>
    <w:rsid w:val="0021626A"/>
    <w:rsid w:val="00221C19"/>
    <w:rsid w:val="00222B58"/>
    <w:rsid w:val="002266F0"/>
    <w:rsid w:val="00230457"/>
    <w:rsid w:val="00251B5A"/>
    <w:rsid w:val="00251CC7"/>
    <w:rsid w:val="0025523B"/>
    <w:rsid w:val="002644E4"/>
    <w:rsid w:val="00274A9C"/>
    <w:rsid w:val="0027686B"/>
    <w:rsid w:val="00284D80"/>
    <w:rsid w:val="00287BD4"/>
    <w:rsid w:val="00291FEA"/>
    <w:rsid w:val="00295B72"/>
    <w:rsid w:val="002A2C16"/>
    <w:rsid w:val="002C7215"/>
    <w:rsid w:val="002D350B"/>
    <w:rsid w:val="002D47EE"/>
    <w:rsid w:val="002E25FB"/>
    <w:rsid w:val="002E5EBC"/>
    <w:rsid w:val="002F22AA"/>
    <w:rsid w:val="002F5204"/>
    <w:rsid w:val="002F7248"/>
    <w:rsid w:val="00300310"/>
    <w:rsid w:val="0030044E"/>
    <w:rsid w:val="00305BEC"/>
    <w:rsid w:val="003060FF"/>
    <w:rsid w:val="00313F38"/>
    <w:rsid w:val="0031403C"/>
    <w:rsid w:val="00321C74"/>
    <w:rsid w:val="00326641"/>
    <w:rsid w:val="0033433B"/>
    <w:rsid w:val="00334FE7"/>
    <w:rsid w:val="00344520"/>
    <w:rsid w:val="00370176"/>
    <w:rsid w:val="00377160"/>
    <w:rsid w:val="00381D98"/>
    <w:rsid w:val="00387D45"/>
    <w:rsid w:val="00391087"/>
    <w:rsid w:val="003A36CC"/>
    <w:rsid w:val="003B402A"/>
    <w:rsid w:val="003B54BE"/>
    <w:rsid w:val="003E1796"/>
    <w:rsid w:val="003E7289"/>
    <w:rsid w:val="003E798B"/>
    <w:rsid w:val="00400234"/>
    <w:rsid w:val="004055B5"/>
    <w:rsid w:val="00416252"/>
    <w:rsid w:val="00416B34"/>
    <w:rsid w:val="004202EC"/>
    <w:rsid w:val="004237AE"/>
    <w:rsid w:val="00431253"/>
    <w:rsid w:val="00434E62"/>
    <w:rsid w:val="004403D2"/>
    <w:rsid w:val="00440879"/>
    <w:rsid w:val="00443E2B"/>
    <w:rsid w:val="0046191C"/>
    <w:rsid w:val="004636F5"/>
    <w:rsid w:val="00464002"/>
    <w:rsid w:val="004645D7"/>
    <w:rsid w:val="00470207"/>
    <w:rsid w:val="00470AD3"/>
    <w:rsid w:val="00473D60"/>
    <w:rsid w:val="00473E78"/>
    <w:rsid w:val="004810A4"/>
    <w:rsid w:val="00482F25"/>
    <w:rsid w:val="00483A4C"/>
    <w:rsid w:val="00485DB3"/>
    <w:rsid w:val="004866CA"/>
    <w:rsid w:val="00490E05"/>
    <w:rsid w:val="00490E98"/>
    <w:rsid w:val="004A12E3"/>
    <w:rsid w:val="004A4B4A"/>
    <w:rsid w:val="004A79E8"/>
    <w:rsid w:val="004B55D5"/>
    <w:rsid w:val="004C69C7"/>
    <w:rsid w:val="004D0042"/>
    <w:rsid w:val="004D6F4B"/>
    <w:rsid w:val="004D7F43"/>
    <w:rsid w:val="004E6709"/>
    <w:rsid w:val="004F45DF"/>
    <w:rsid w:val="00500989"/>
    <w:rsid w:val="0050597A"/>
    <w:rsid w:val="00507570"/>
    <w:rsid w:val="00511671"/>
    <w:rsid w:val="005125FE"/>
    <w:rsid w:val="005129C4"/>
    <w:rsid w:val="00513754"/>
    <w:rsid w:val="00543662"/>
    <w:rsid w:val="00551776"/>
    <w:rsid w:val="0055524E"/>
    <w:rsid w:val="00557DE1"/>
    <w:rsid w:val="005717A5"/>
    <w:rsid w:val="00571B53"/>
    <w:rsid w:val="005721A7"/>
    <w:rsid w:val="00573EB2"/>
    <w:rsid w:val="00577A77"/>
    <w:rsid w:val="00581C24"/>
    <w:rsid w:val="005878A7"/>
    <w:rsid w:val="005A34A9"/>
    <w:rsid w:val="005A4FB9"/>
    <w:rsid w:val="005B02E1"/>
    <w:rsid w:val="005B2A2A"/>
    <w:rsid w:val="005B5729"/>
    <w:rsid w:val="005C2DAE"/>
    <w:rsid w:val="005D0330"/>
    <w:rsid w:val="005D3E4E"/>
    <w:rsid w:val="005E511D"/>
    <w:rsid w:val="005F07C2"/>
    <w:rsid w:val="00601200"/>
    <w:rsid w:val="00614E6F"/>
    <w:rsid w:val="00617C2C"/>
    <w:rsid w:val="00646B30"/>
    <w:rsid w:val="00653E8C"/>
    <w:rsid w:val="00657AF6"/>
    <w:rsid w:val="006607EF"/>
    <w:rsid w:val="00661395"/>
    <w:rsid w:val="00664563"/>
    <w:rsid w:val="006703F6"/>
    <w:rsid w:val="006705F2"/>
    <w:rsid w:val="006752F5"/>
    <w:rsid w:val="0069507B"/>
    <w:rsid w:val="006A19C5"/>
    <w:rsid w:val="006B0CE9"/>
    <w:rsid w:val="006B2AC1"/>
    <w:rsid w:val="006D7CF2"/>
    <w:rsid w:val="006F76D8"/>
    <w:rsid w:val="007015A3"/>
    <w:rsid w:val="00713C18"/>
    <w:rsid w:val="00722C50"/>
    <w:rsid w:val="00726197"/>
    <w:rsid w:val="00741F5B"/>
    <w:rsid w:val="00742384"/>
    <w:rsid w:val="00744357"/>
    <w:rsid w:val="00753209"/>
    <w:rsid w:val="00754B52"/>
    <w:rsid w:val="00756989"/>
    <w:rsid w:val="00760C10"/>
    <w:rsid w:val="007636A9"/>
    <w:rsid w:val="0077687A"/>
    <w:rsid w:val="0077744D"/>
    <w:rsid w:val="00777CD0"/>
    <w:rsid w:val="0078125B"/>
    <w:rsid w:val="007825A6"/>
    <w:rsid w:val="00782D7D"/>
    <w:rsid w:val="0079577E"/>
    <w:rsid w:val="007A6875"/>
    <w:rsid w:val="007D09C4"/>
    <w:rsid w:val="007D19FF"/>
    <w:rsid w:val="007D469A"/>
    <w:rsid w:val="007D638D"/>
    <w:rsid w:val="007E377D"/>
    <w:rsid w:val="007E661C"/>
    <w:rsid w:val="007F0EED"/>
    <w:rsid w:val="007F1174"/>
    <w:rsid w:val="007F2974"/>
    <w:rsid w:val="007F5E26"/>
    <w:rsid w:val="00801C89"/>
    <w:rsid w:val="00805814"/>
    <w:rsid w:val="008128A1"/>
    <w:rsid w:val="00816925"/>
    <w:rsid w:val="00827A2A"/>
    <w:rsid w:val="00832136"/>
    <w:rsid w:val="00835558"/>
    <w:rsid w:val="0083746A"/>
    <w:rsid w:val="008402B7"/>
    <w:rsid w:val="00841F5C"/>
    <w:rsid w:val="008426E8"/>
    <w:rsid w:val="00847B8C"/>
    <w:rsid w:val="00847BF7"/>
    <w:rsid w:val="00853D03"/>
    <w:rsid w:val="00857E29"/>
    <w:rsid w:val="00866964"/>
    <w:rsid w:val="00867EF4"/>
    <w:rsid w:val="008777C4"/>
    <w:rsid w:val="008826E4"/>
    <w:rsid w:val="008A631F"/>
    <w:rsid w:val="008B563A"/>
    <w:rsid w:val="008E09A7"/>
    <w:rsid w:val="008E18CC"/>
    <w:rsid w:val="008E5F98"/>
    <w:rsid w:val="008E6ECC"/>
    <w:rsid w:val="009079A5"/>
    <w:rsid w:val="0092117E"/>
    <w:rsid w:val="00921E88"/>
    <w:rsid w:val="009254C2"/>
    <w:rsid w:val="00925CBB"/>
    <w:rsid w:val="00930459"/>
    <w:rsid w:val="00936A80"/>
    <w:rsid w:val="00937300"/>
    <w:rsid w:val="00941E3B"/>
    <w:rsid w:val="00946F11"/>
    <w:rsid w:val="0095672D"/>
    <w:rsid w:val="00956DA3"/>
    <w:rsid w:val="0097204E"/>
    <w:rsid w:val="00974A4B"/>
    <w:rsid w:val="00976436"/>
    <w:rsid w:val="00977F83"/>
    <w:rsid w:val="009877FE"/>
    <w:rsid w:val="00987B30"/>
    <w:rsid w:val="0099227F"/>
    <w:rsid w:val="00992A49"/>
    <w:rsid w:val="00993A84"/>
    <w:rsid w:val="00996E9A"/>
    <w:rsid w:val="009A21BB"/>
    <w:rsid w:val="009A3255"/>
    <w:rsid w:val="009C064F"/>
    <w:rsid w:val="009E1800"/>
    <w:rsid w:val="009E6AED"/>
    <w:rsid w:val="009F3F19"/>
    <w:rsid w:val="009F5E92"/>
    <w:rsid w:val="00A00F02"/>
    <w:rsid w:val="00A03A40"/>
    <w:rsid w:val="00A0499C"/>
    <w:rsid w:val="00A06C9E"/>
    <w:rsid w:val="00A16424"/>
    <w:rsid w:val="00A26BFA"/>
    <w:rsid w:val="00A30C2A"/>
    <w:rsid w:val="00A37F00"/>
    <w:rsid w:val="00A40236"/>
    <w:rsid w:val="00A46020"/>
    <w:rsid w:val="00A51954"/>
    <w:rsid w:val="00A51A3E"/>
    <w:rsid w:val="00A52434"/>
    <w:rsid w:val="00A54C6E"/>
    <w:rsid w:val="00A60692"/>
    <w:rsid w:val="00A60B6A"/>
    <w:rsid w:val="00A72611"/>
    <w:rsid w:val="00A76552"/>
    <w:rsid w:val="00A80B2A"/>
    <w:rsid w:val="00A8566A"/>
    <w:rsid w:val="00A92A85"/>
    <w:rsid w:val="00A973AD"/>
    <w:rsid w:val="00AA08D9"/>
    <w:rsid w:val="00AB0188"/>
    <w:rsid w:val="00AB5B07"/>
    <w:rsid w:val="00AC04AE"/>
    <w:rsid w:val="00AC4D29"/>
    <w:rsid w:val="00AD4181"/>
    <w:rsid w:val="00AD5A8D"/>
    <w:rsid w:val="00AD5C85"/>
    <w:rsid w:val="00AE7139"/>
    <w:rsid w:val="00AF58E7"/>
    <w:rsid w:val="00AF5987"/>
    <w:rsid w:val="00AF7423"/>
    <w:rsid w:val="00B0589B"/>
    <w:rsid w:val="00B0657C"/>
    <w:rsid w:val="00B06902"/>
    <w:rsid w:val="00B124BC"/>
    <w:rsid w:val="00B239D7"/>
    <w:rsid w:val="00B3510B"/>
    <w:rsid w:val="00B4212A"/>
    <w:rsid w:val="00B4256B"/>
    <w:rsid w:val="00B537A6"/>
    <w:rsid w:val="00B53CDA"/>
    <w:rsid w:val="00B568FD"/>
    <w:rsid w:val="00B64140"/>
    <w:rsid w:val="00B6481E"/>
    <w:rsid w:val="00B70EC9"/>
    <w:rsid w:val="00B82EA2"/>
    <w:rsid w:val="00B83807"/>
    <w:rsid w:val="00B83B8C"/>
    <w:rsid w:val="00B8547B"/>
    <w:rsid w:val="00B87902"/>
    <w:rsid w:val="00BB2596"/>
    <w:rsid w:val="00BB30C6"/>
    <w:rsid w:val="00BB4C78"/>
    <w:rsid w:val="00BC51F8"/>
    <w:rsid w:val="00BD1259"/>
    <w:rsid w:val="00BD1ACC"/>
    <w:rsid w:val="00BE2706"/>
    <w:rsid w:val="00BE4798"/>
    <w:rsid w:val="00C03EB2"/>
    <w:rsid w:val="00C043E0"/>
    <w:rsid w:val="00C060A8"/>
    <w:rsid w:val="00C07587"/>
    <w:rsid w:val="00C12246"/>
    <w:rsid w:val="00C22585"/>
    <w:rsid w:val="00C24026"/>
    <w:rsid w:val="00C24D59"/>
    <w:rsid w:val="00C25D8A"/>
    <w:rsid w:val="00C35D7F"/>
    <w:rsid w:val="00C45579"/>
    <w:rsid w:val="00C46D7F"/>
    <w:rsid w:val="00C51250"/>
    <w:rsid w:val="00C523F7"/>
    <w:rsid w:val="00C726C2"/>
    <w:rsid w:val="00C761D0"/>
    <w:rsid w:val="00C83F12"/>
    <w:rsid w:val="00C8450F"/>
    <w:rsid w:val="00C8463E"/>
    <w:rsid w:val="00C85C01"/>
    <w:rsid w:val="00C87127"/>
    <w:rsid w:val="00CA0047"/>
    <w:rsid w:val="00CB1DCD"/>
    <w:rsid w:val="00CB2611"/>
    <w:rsid w:val="00CB48E7"/>
    <w:rsid w:val="00CB727F"/>
    <w:rsid w:val="00CC3179"/>
    <w:rsid w:val="00CD0950"/>
    <w:rsid w:val="00CD2631"/>
    <w:rsid w:val="00CD45BB"/>
    <w:rsid w:val="00CD45C1"/>
    <w:rsid w:val="00CD6260"/>
    <w:rsid w:val="00CE1D36"/>
    <w:rsid w:val="00CE66CE"/>
    <w:rsid w:val="00CE7452"/>
    <w:rsid w:val="00CF0ABD"/>
    <w:rsid w:val="00CF3151"/>
    <w:rsid w:val="00CF78DB"/>
    <w:rsid w:val="00D02C40"/>
    <w:rsid w:val="00D066AC"/>
    <w:rsid w:val="00D07136"/>
    <w:rsid w:val="00D17201"/>
    <w:rsid w:val="00D17D37"/>
    <w:rsid w:val="00D22CB0"/>
    <w:rsid w:val="00D36939"/>
    <w:rsid w:val="00D45330"/>
    <w:rsid w:val="00D472F4"/>
    <w:rsid w:val="00D521E8"/>
    <w:rsid w:val="00D57E56"/>
    <w:rsid w:val="00D64B29"/>
    <w:rsid w:val="00D80252"/>
    <w:rsid w:val="00D803DA"/>
    <w:rsid w:val="00D831EA"/>
    <w:rsid w:val="00D84E98"/>
    <w:rsid w:val="00D85CB1"/>
    <w:rsid w:val="00D90215"/>
    <w:rsid w:val="00D93286"/>
    <w:rsid w:val="00D93A69"/>
    <w:rsid w:val="00D949CF"/>
    <w:rsid w:val="00D96188"/>
    <w:rsid w:val="00DA1426"/>
    <w:rsid w:val="00DA3BAA"/>
    <w:rsid w:val="00DA6E44"/>
    <w:rsid w:val="00DB4134"/>
    <w:rsid w:val="00DC536A"/>
    <w:rsid w:val="00DD2315"/>
    <w:rsid w:val="00DE04C7"/>
    <w:rsid w:val="00DE222A"/>
    <w:rsid w:val="00DE4340"/>
    <w:rsid w:val="00DE44B3"/>
    <w:rsid w:val="00DF265E"/>
    <w:rsid w:val="00DF267A"/>
    <w:rsid w:val="00E065C1"/>
    <w:rsid w:val="00E11F58"/>
    <w:rsid w:val="00E15215"/>
    <w:rsid w:val="00E174CB"/>
    <w:rsid w:val="00E17AFE"/>
    <w:rsid w:val="00E26497"/>
    <w:rsid w:val="00E36F98"/>
    <w:rsid w:val="00E40E14"/>
    <w:rsid w:val="00E621C9"/>
    <w:rsid w:val="00E635E8"/>
    <w:rsid w:val="00E643A8"/>
    <w:rsid w:val="00E75583"/>
    <w:rsid w:val="00E92D2E"/>
    <w:rsid w:val="00E93F04"/>
    <w:rsid w:val="00EA772A"/>
    <w:rsid w:val="00EB3B4B"/>
    <w:rsid w:val="00EC325C"/>
    <w:rsid w:val="00EC6612"/>
    <w:rsid w:val="00EC7357"/>
    <w:rsid w:val="00ED36F8"/>
    <w:rsid w:val="00ED6081"/>
    <w:rsid w:val="00ED66DC"/>
    <w:rsid w:val="00EE1590"/>
    <w:rsid w:val="00EF0591"/>
    <w:rsid w:val="00F105E5"/>
    <w:rsid w:val="00F10DA0"/>
    <w:rsid w:val="00F25846"/>
    <w:rsid w:val="00F262FE"/>
    <w:rsid w:val="00F32B54"/>
    <w:rsid w:val="00F40045"/>
    <w:rsid w:val="00F412E0"/>
    <w:rsid w:val="00F470B7"/>
    <w:rsid w:val="00F50FA6"/>
    <w:rsid w:val="00F602C4"/>
    <w:rsid w:val="00F70C36"/>
    <w:rsid w:val="00F7285C"/>
    <w:rsid w:val="00F7318C"/>
    <w:rsid w:val="00F73B53"/>
    <w:rsid w:val="00F83CE5"/>
    <w:rsid w:val="00F849D2"/>
    <w:rsid w:val="00F87206"/>
    <w:rsid w:val="00F93A99"/>
    <w:rsid w:val="00F95D97"/>
    <w:rsid w:val="00F97C30"/>
    <w:rsid w:val="00FA47BC"/>
    <w:rsid w:val="00FA7586"/>
    <w:rsid w:val="00FB1BF9"/>
    <w:rsid w:val="00FB30F9"/>
    <w:rsid w:val="00FE3629"/>
    <w:rsid w:val="00FE3B28"/>
    <w:rsid w:val="00FF26BD"/>
    <w:rsid w:val="00FF2A37"/>
    <w:rsid w:val="00FF2CF7"/>
    <w:rsid w:val="45845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spacing w:beforeLines="50" w:before="156" w:line="300" w:lineRule="auto"/>
      <w:ind w:firstLine="454"/>
      <w:jc w:val="center"/>
      <w:outlineLvl w:val="0"/>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kern w:val="2"/>
      <w:sz w:val="24"/>
      <w:szCs w:val="24"/>
    </w:rPr>
  </w:style>
  <w:style w:type="paragraph" w:styleId="a3">
    <w:name w:val="annotation text"/>
    <w:basedOn w:val="a"/>
    <w:link w:val="Char"/>
    <w:uiPriority w:val="99"/>
    <w:pPr>
      <w:jc w:val="left"/>
    </w:pPr>
  </w:style>
  <w:style w:type="character" w:customStyle="1" w:styleId="Char">
    <w:name w:val="批注文字 Char"/>
    <w:link w:val="a3"/>
    <w:uiPriority w:val="99"/>
    <w:rPr>
      <w:kern w:val="2"/>
      <w:sz w:val="21"/>
      <w:szCs w:val="24"/>
    </w:rPr>
  </w:style>
  <w:style w:type="paragraph" w:styleId="a4">
    <w:name w:val="Date"/>
    <w:basedOn w:val="a"/>
    <w:next w:val="a"/>
    <w:link w:val="Char0"/>
    <w:pPr>
      <w:ind w:leftChars="2500" w:left="100"/>
    </w:pPr>
  </w:style>
  <w:style w:type="character" w:customStyle="1" w:styleId="Char0">
    <w:name w:val="日期 Char"/>
    <w:link w:val="a4"/>
    <w:rPr>
      <w:kern w:val="2"/>
      <w:sz w:val="21"/>
      <w:szCs w:val="24"/>
    </w:rPr>
  </w:style>
  <w:style w:type="paragraph" w:styleId="a5">
    <w:name w:val="Balloon Text"/>
    <w:basedOn w:val="a"/>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Normal (Web)"/>
    <w:basedOn w:val="a"/>
    <w:rPr>
      <w:sz w:val="24"/>
    </w:rPr>
  </w:style>
  <w:style w:type="paragraph" w:styleId="a9">
    <w:name w:val="annotation subject"/>
    <w:basedOn w:val="a3"/>
    <w:next w:val="a3"/>
    <w:rPr>
      <w:b/>
      <w:bCs/>
    </w:rPr>
  </w:style>
  <w:style w:type="character" w:styleId="aa">
    <w:name w:val="annotation reference"/>
    <w:uiPriority w:val="99"/>
    <w:rPr>
      <w:sz w:val="21"/>
      <w:szCs w:val="21"/>
    </w:rPr>
  </w:style>
  <w:style w:type="paragraph" w:customStyle="1" w:styleId="1-21">
    <w:name w:val="中等深浅网格 1 - 强调文字颜色 21"/>
    <w:basedOn w:val="a"/>
    <w:uiPriority w:val="34"/>
    <w:qFormat/>
    <w:pPr>
      <w:ind w:firstLineChars="200" w:firstLine="420"/>
    </w:pPr>
  </w:style>
  <w:style w:type="paragraph" w:customStyle="1" w:styleId="Default">
    <w:name w:val="Default"/>
    <w:pPr>
      <w:widowControl w:val="0"/>
      <w:autoSpaceDE w:val="0"/>
      <w:autoSpaceDN w:val="0"/>
      <w:adjustRightInd w:val="0"/>
    </w:pPr>
    <w:rPr>
      <w:rFonts w:ascii="楷体_GB2312" w:eastAsia="楷体_GB2312" w:cs="楷体_GB2312"/>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spacing w:beforeLines="50" w:before="156" w:line="300" w:lineRule="auto"/>
      <w:ind w:firstLine="454"/>
      <w:jc w:val="center"/>
      <w:outlineLvl w:val="0"/>
    </w:pPr>
    <w:rPr>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rPr>
      <w:b/>
      <w:kern w:val="2"/>
      <w:sz w:val="24"/>
      <w:szCs w:val="24"/>
    </w:rPr>
  </w:style>
  <w:style w:type="paragraph" w:styleId="a3">
    <w:name w:val="annotation text"/>
    <w:basedOn w:val="a"/>
    <w:link w:val="Char"/>
    <w:uiPriority w:val="99"/>
    <w:pPr>
      <w:jc w:val="left"/>
    </w:pPr>
  </w:style>
  <w:style w:type="character" w:customStyle="1" w:styleId="Char">
    <w:name w:val="批注文字 Char"/>
    <w:link w:val="a3"/>
    <w:uiPriority w:val="99"/>
    <w:rPr>
      <w:kern w:val="2"/>
      <w:sz w:val="21"/>
      <w:szCs w:val="24"/>
    </w:rPr>
  </w:style>
  <w:style w:type="paragraph" w:styleId="a4">
    <w:name w:val="Date"/>
    <w:basedOn w:val="a"/>
    <w:next w:val="a"/>
    <w:link w:val="Char0"/>
    <w:pPr>
      <w:ind w:leftChars="2500" w:left="100"/>
    </w:pPr>
  </w:style>
  <w:style w:type="character" w:customStyle="1" w:styleId="Char0">
    <w:name w:val="日期 Char"/>
    <w:link w:val="a4"/>
    <w:rPr>
      <w:kern w:val="2"/>
      <w:sz w:val="21"/>
      <w:szCs w:val="24"/>
    </w:rPr>
  </w:style>
  <w:style w:type="paragraph" w:styleId="a5">
    <w:name w:val="Balloon Text"/>
    <w:basedOn w:val="a"/>
    <w:rPr>
      <w:sz w:val="18"/>
      <w:szCs w:val="18"/>
    </w:rPr>
  </w:style>
  <w:style w:type="paragraph" w:styleId="a6">
    <w:name w:val="footer"/>
    <w:basedOn w:val="a"/>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Normal (Web)"/>
    <w:basedOn w:val="a"/>
    <w:rPr>
      <w:sz w:val="24"/>
    </w:rPr>
  </w:style>
  <w:style w:type="paragraph" w:styleId="a9">
    <w:name w:val="annotation subject"/>
    <w:basedOn w:val="a3"/>
    <w:next w:val="a3"/>
    <w:rPr>
      <w:b/>
      <w:bCs/>
    </w:rPr>
  </w:style>
  <w:style w:type="character" w:styleId="aa">
    <w:name w:val="annotation reference"/>
    <w:uiPriority w:val="99"/>
    <w:rPr>
      <w:sz w:val="21"/>
      <w:szCs w:val="21"/>
    </w:rPr>
  </w:style>
  <w:style w:type="paragraph" w:customStyle="1" w:styleId="1-21">
    <w:name w:val="中等深浅网格 1 - 强调文字颜色 21"/>
    <w:basedOn w:val="a"/>
    <w:uiPriority w:val="34"/>
    <w:qFormat/>
    <w:pPr>
      <w:ind w:firstLineChars="200" w:firstLine="420"/>
    </w:pPr>
  </w:style>
  <w:style w:type="paragraph" w:customStyle="1" w:styleId="Default">
    <w:name w:val="Default"/>
    <w:pPr>
      <w:widowControl w:val="0"/>
      <w:autoSpaceDE w:val="0"/>
      <w:autoSpaceDN w:val="0"/>
      <w:adjustRightInd w:val="0"/>
    </w:pPr>
    <w:rPr>
      <w:rFonts w:ascii="楷体_GB2312" w:eastAsia="楷体_GB2312" w:cs="楷体_GB2312"/>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1126</Words>
  <Characters>6423</Characters>
  <Application>Microsoft Office Word</Application>
  <DocSecurity>0</DocSecurity>
  <PresentationFormat/>
  <Lines>53</Lines>
  <Paragraphs>15</Paragraphs>
  <Slides>0</Slides>
  <Notes>0</Notes>
  <HiddenSlides>0</HiddenSlides>
  <MMClips>0</MMClips>
  <ScaleCrop>false</ScaleCrop>
  <Company>grandall</Company>
  <LinksUpToDate>false</LinksUpToDate>
  <CharactersWithSpaces>7534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监事会议事规则</dc:title>
  <dc:creator>lily</dc:creator>
  <cp:lastModifiedBy>hsq</cp:lastModifiedBy>
  <cp:revision>6</cp:revision>
  <cp:lastPrinted>2024-12-12T02:03:00Z</cp:lastPrinted>
  <dcterms:created xsi:type="dcterms:W3CDTF">2024-12-11T04:27:00Z</dcterms:created>
  <dcterms:modified xsi:type="dcterms:W3CDTF">2024-12-12T02:03:00Z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2A13192F98414C0B8AE63BE244EC3753_12</vt:lpwstr>
  </property>
</Properties>
</file>