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AFBFC7">
      <w:pPr>
        <w:autoSpaceDE w:val="0"/>
        <w:autoSpaceDN w:val="0"/>
        <w:adjustRightInd w:val="0"/>
        <w:spacing w:line="360" w:lineRule="auto"/>
        <w:jc w:val="left"/>
        <w:rPr>
          <w:rFonts w:ascii="仿宋" w:hAnsi="仿宋" w:eastAsia="仿宋"/>
          <w:color w:val="000000"/>
          <w:sz w:val="28"/>
        </w:rPr>
      </w:pPr>
      <w:r>
        <w:rPr>
          <w:rFonts w:hint="eastAsia" w:ascii="仿宋" w:hAnsi="仿宋" w:eastAsia="仿宋"/>
          <w:color w:val="000000"/>
          <w:sz w:val="28"/>
        </w:rPr>
        <w:t>证券代码：301178     证券简称：天亿马    公告编号：2025-023</w:t>
      </w:r>
    </w:p>
    <w:p w14:paraId="358D0D87"/>
    <w:p w14:paraId="1FE60B74">
      <w:pPr>
        <w:spacing w:line="360" w:lineRule="auto"/>
        <w:jc w:val="center"/>
        <w:rPr>
          <w:rFonts w:ascii="黑体" w:hAnsi="黑体" w:eastAsia="黑体"/>
          <w:sz w:val="36"/>
          <w:szCs w:val="36"/>
        </w:rPr>
      </w:pPr>
      <w:r>
        <w:rPr>
          <w:rFonts w:hint="eastAsia" w:ascii="黑体" w:hAnsi="黑体" w:eastAsia="黑体"/>
          <w:sz w:val="36"/>
          <w:szCs w:val="36"/>
        </w:rPr>
        <w:t>广东天亿马信息产业股份有限公司</w:t>
      </w:r>
    </w:p>
    <w:p w14:paraId="7E9CE2D5">
      <w:pPr>
        <w:spacing w:after="312" w:afterLines="100" w:line="360" w:lineRule="auto"/>
        <w:jc w:val="center"/>
        <w:rPr>
          <w:rFonts w:ascii="黑体" w:hAnsi="黑体" w:eastAsia="黑体"/>
          <w:sz w:val="36"/>
          <w:szCs w:val="36"/>
        </w:rPr>
      </w:pPr>
      <w:r>
        <w:rPr>
          <w:rFonts w:hint="eastAsia" w:ascii="黑体" w:hAnsi="黑体" w:eastAsia="黑体"/>
          <w:sz w:val="36"/>
          <w:szCs w:val="36"/>
        </w:rPr>
        <w:t>第三届董事会第三十次会议决议公告</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472BE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8522" w:type="dxa"/>
            <w:tcBorders>
              <w:top w:val="single" w:color="auto" w:sz="4" w:space="0"/>
              <w:left w:val="single" w:color="auto" w:sz="4" w:space="0"/>
              <w:bottom w:val="single" w:color="auto" w:sz="4" w:space="0"/>
              <w:right w:val="single" w:color="auto" w:sz="4" w:space="0"/>
            </w:tcBorders>
          </w:tcPr>
          <w:p w14:paraId="6B215B03">
            <w:pPr>
              <w:widowControl/>
              <w:spacing w:line="440" w:lineRule="exact"/>
              <w:ind w:firstLine="560" w:firstLineChars="200"/>
              <w:rPr>
                <w:rFonts w:ascii="楷体" w:hAnsi="楷体" w:eastAsia="楷体" w:cs="宋体"/>
                <w:color w:val="000000"/>
                <w:kern w:val="0"/>
                <w:sz w:val="28"/>
              </w:rPr>
            </w:pPr>
            <w:r>
              <w:rPr>
                <w:rFonts w:hint="eastAsia" w:ascii="楷体" w:hAnsi="楷体" w:eastAsia="楷体" w:cs="宋体"/>
                <w:color w:val="000000"/>
                <w:kern w:val="0"/>
                <w:sz w:val="28"/>
              </w:rPr>
              <w:t>本公司及董事会全体成员保证信息披露内容的真实、准确和完整，没有虚假记载、误导性陈述或重大遗漏。</w:t>
            </w:r>
          </w:p>
        </w:tc>
      </w:tr>
    </w:tbl>
    <w:p w14:paraId="28CDB97D"/>
    <w:p w14:paraId="265528DF">
      <w:pPr>
        <w:spacing w:line="360" w:lineRule="auto"/>
        <w:ind w:firstLine="562" w:firstLineChars="200"/>
        <w:outlineLvl w:val="0"/>
        <w:rPr>
          <w:rFonts w:ascii="仿宋" w:hAnsi="仿宋" w:eastAsia="仿宋"/>
          <w:b/>
          <w:color w:val="000000"/>
          <w:sz w:val="28"/>
        </w:rPr>
      </w:pPr>
      <w:r>
        <w:rPr>
          <w:rFonts w:hint="eastAsia" w:ascii="仿宋" w:hAnsi="仿宋" w:eastAsia="仿宋"/>
          <w:b/>
          <w:color w:val="000000"/>
          <w:sz w:val="28"/>
        </w:rPr>
        <w:t>一、董事会会议召开情况</w:t>
      </w:r>
    </w:p>
    <w:p w14:paraId="4F377ECB">
      <w:pPr>
        <w:spacing w:line="360" w:lineRule="auto"/>
        <w:ind w:firstLine="560" w:firstLineChars="200"/>
        <w:rPr>
          <w:rFonts w:ascii="仿宋" w:hAnsi="仿宋" w:eastAsia="仿宋"/>
          <w:color w:val="000000"/>
          <w:sz w:val="28"/>
        </w:rPr>
      </w:pPr>
      <w:r>
        <w:rPr>
          <w:rFonts w:hint="eastAsia" w:ascii="仿宋" w:hAnsi="仿宋" w:eastAsia="仿宋"/>
          <w:color w:val="000000"/>
          <w:sz w:val="28"/>
        </w:rPr>
        <w:t>广东天亿马信息产业股份有限公司（以下简称“公司”）于2025年4月18日以现场与通讯相结合的方式召开公司第三届董事会第三十次会议，此前公司于2025年4月11日以电子邮件形式向全体董事发出会议通知。本次会议应参加表决董事8名，实际参加表决董事8名,独立董事曹丽梅女士、石洁芝女士、蔡浩先生及董事马淦江先生以通讯方式参加并行使表决权。公司监事、高级管理人员列席会议。会议由董事长林明玲女士召集并主持。</w:t>
      </w:r>
    </w:p>
    <w:p w14:paraId="205D5046">
      <w:pPr>
        <w:spacing w:line="360" w:lineRule="auto"/>
        <w:ind w:firstLine="560" w:firstLineChars="200"/>
        <w:rPr>
          <w:rFonts w:ascii="仿宋" w:hAnsi="仿宋" w:eastAsia="仿宋"/>
          <w:color w:val="000000"/>
          <w:sz w:val="28"/>
        </w:rPr>
      </w:pPr>
      <w:r>
        <w:rPr>
          <w:rFonts w:hint="eastAsia" w:ascii="仿宋" w:hAnsi="仿宋" w:eastAsia="仿宋"/>
          <w:color w:val="000000"/>
          <w:sz w:val="28"/>
        </w:rPr>
        <w:t>本次董事会会议的召集、召开和表决程序符合《中华人民共和国公司法》《中华人民共和国证券法》等法律、行政法规及《广东天亿马信息产业股份有限公司章程》（以下简称“《公司章程》”）《广东天亿马信息产业股份有限公司董事会议事规则》的规定。</w:t>
      </w:r>
    </w:p>
    <w:p w14:paraId="7212EF20">
      <w:pPr>
        <w:spacing w:line="360" w:lineRule="auto"/>
        <w:ind w:firstLine="562" w:firstLineChars="200"/>
        <w:outlineLvl w:val="0"/>
        <w:rPr>
          <w:rFonts w:ascii="仿宋" w:hAnsi="仿宋" w:eastAsia="仿宋"/>
          <w:b/>
          <w:color w:val="000000"/>
          <w:sz w:val="28"/>
        </w:rPr>
      </w:pPr>
      <w:r>
        <w:rPr>
          <w:rFonts w:hint="eastAsia" w:ascii="仿宋" w:hAnsi="仿宋" w:eastAsia="仿宋"/>
          <w:b/>
          <w:color w:val="000000"/>
          <w:sz w:val="28"/>
        </w:rPr>
        <w:t>二、董事会会议审议情况</w:t>
      </w:r>
    </w:p>
    <w:p w14:paraId="2F01620C">
      <w:pPr>
        <w:spacing w:line="360" w:lineRule="auto"/>
        <w:ind w:firstLine="560" w:firstLineChars="200"/>
        <w:rPr>
          <w:rFonts w:ascii="仿宋" w:hAnsi="仿宋" w:eastAsia="仿宋"/>
          <w:color w:val="000000"/>
          <w:sz w:val="28"/>
        </w:rPr>
      </w:pPr>
      <w:r>
        <w:rPr>
          <w:rFonts w:hint="eastAsia" w:ascii="仿宋" w:hAnsi="仿宋" w:eastAsia="仿宋"/>
          <w:color w:val="000000"/>
          <w:sz w:val="28"/>
        </w:rPr>
        <w:t>经全体与会董事认真审议，形成以下决议：</w:t>
      </w:r>
    </w:p>
    <w:p w14:paraId="19654CED">
      <w:pPr>
        <w:pStyle w:val="9"/>
        <w:numPr>
          <w:ilvl w:val="0"/>
          <w:numId w:val="1"/>
        </w:numPr>
        <w:spacing w:line="360" w:lineRule="auto"/>
        <w:ind w:firstLineChars="0"/>
        <w:outlineLvl w:val="1"/>
        <w:rPr>
          <w:rFonts w:ascii="仿宋" w:hAnsi="仿宋" w:eastAsia="仿宋"/>
          <w:b/>
          <w:color w:val="000000"/>
          <w:sz w:val="28"/>
        </w:rPr>
      </w:pPr>
      <w:r>
        <w:rPr>
          <w:rFonts w:hint="eastAsia" w:ascii="仿宋" w:hAnsi="仿宋" w:eastAsia="仿宋"/>
          <w:b/>
          <w:color w:val="000000"/>
          <w:sz w:val="28"/>
        </w:rPr>
        <w:t>会议以同意8票，反对0票，弃权0票的表决结果审议通过《关于&lt;公司2024年度总经理工作报告&gt;的议案》。</w:t>
      </w:r>
    </w:p>
    <w:p w14:paraId="6DA78C35">
      <w:pPr>
        <w:spacing w:line="360" w:lineRule="auto"/>
        <w:ind w:firstLine="560" w:firstLineChars="200"/>
        <w:rPr>
          <w:rFonts w:ascii="仿宋" w:hAnsi="仿宋" w:eastAsia="仿宋"/>
          <w:color w:val="000000"/>
          <w:sz w:val="28"/>
        </w:rPr>
      </w:pPr>
      <w:r>
        <w:rPr>
          <w:rFonts w:hint="eastAsia" w:ascii="仿宋" w:hAnsi="仿宋" w:eastAsia="仿宋"/>
          <w:color w:val="000000"/>
          <w:sz w:val="28"/>
        </w:rPr>
        <w:t>公司董事会审议了总经理提交的《2024年度总经理工作报告》，认为2024年度公司管理层有效执行了股东会与董事会审议通过的各项决议，报告真实、客观地反映了公司2024年度经营管理情况。</w:t>
      </w:r>
    </w:p>
    <w:p w14:paraId="4E98B445">
      <w:pPr>
        <w:spacing w:line="360" w:lineRule="auto"/>
        <w:ind w:firstLine="560" w:firstLineChars="200"/>
        <w:rPr>
          <w:rFonts w:ascii="仿宋" w:hAnsi="仿宋" w:eastAsia="仿宋"/>
          <w:color w:val="000000"/>
          <w:sz w:val="28"/>
        </w:rPr>
      </w:pPr>
      <w:r>
        <w:rPr>
          <w:rFonts w:hint="eastAsia" w:ascii="仿宋" w:hAnsi="仿宋" w:eastAsia="仿宋"/>
          <w:color w:val="000000"/>
          <w:sz w:val="28"/>
        </w:rPr>
        <w:t>回避表决情况：本议案不涉及回避表决情形。</w:t>
      </w:r>
    </w:p>
    <w:p w14:paraId="0068B9D4">
      <w:pPr>
        <w:pStyle w:val="9"/>
        <w:numPr>
          <w:ilvl w:val="0"/>
          <w:numId w:val="1"/>
        </w:numPr>
        <w:spacing w:line="360" w:lineRule="auto"/>
        <w:ind w:firstLineChars="0"/>
        <w:outlineLvl w:val="1"/>
        <w:rPr>
          <w:rFonts w:ascii="仿宋" w:hAnsi="仿宋" w:eastAsia="仿宋"/>
          <w:b/>
          <w:color w:val="000000"/>
          <w:sz w:val="28"/>
        </w:rPr>
      </w:pPr>
      <w:r>
        <w:rPr>
          <w:rFonts w:hint="eastAsia" w:ascii="仿宋" w:hAnsi="仿宋" w:eastAsia="仿宋"/>
          <w:b/>
          <w:color w:val="000000"/>
          <w:sz w:val="28"/>
        </w:rPr>
        <w:t>会议以同意8票，反对0票，弃权0票的表决结果审议通过《关于&lt;公司2024年度董事会工作报告&gt;的议案》。</w:t>
      </w:r>
    </w:p>
    <w:p w14:paraId="46ABDEF8">
      <w:pPr>
        <w:spacing w:line="360" w:lineRule="auto"/>
        <w:ind w:firstLine="560" w:firstLineChars="200"/>
        <w:rPr>
          <w:rFonts w:ascii="仿宋" w:hAnsi="仿宋" w:eastAsia="仿宋"/>
          <w:color w:val="000000"/>
          <w:sz w:val="28"/>
        </w:rPr>
      </w:pPr>
      <w:r>
        <w:rPr>
          <w:rFonts w:hint="eastAsia" w:ascii="仿宋" w:hAnsi="仿宋" w:eastAsia="仿宋"/>
          <w:color w:val="000000"/>
          <w:sz w:val="28"/>
        </w:rPr>
        <w:t>议案具体内容详见公司同日披露于巨潮资讯网（www.cninfo.com.cn）的《广东天亿马信息产业股份有限公司2024年年度报告》之“第三节 管理层讨论与分析” “第四节 公司治理”的相关内容及《广东天亿马信息产业股份有限公司2024年度独立董事述职报告》《董事会关于独立董事独立性的评估报告》。</w:t>
      </w:r>
    </w:p>
    <w:p w14:paraId="7830E866">
      <w:pPr>
        <w:spacing w:line="360" w:lineRule="auto"/>
        <w:ind w:firstLine="560" w:firstLineChars="200"/>
        <w:rPr>
          <w:rFonts w:ascii="仿宋" w:hAnsi="仿宋" w:eastAsia="仿宋"/>
          <w:color w:val="000000"/>
          <w:sz w:val="28"/>
        </w:rPr>
      </w:pPr>
      <w:r>
        <w:rPr>
          <w:rFonts w:hint="eastAsia" w:ascii="仿宋" w:hAnsi="仿宋" w:eastAsia="仿宋"/>
          <w:color w:val="000000"/>
          <w:sz w:val="28"/>
        </w:rPr>
        <w:t>回避表决情况：本议案不涉及回避表决情形。</w:t>
      </w:r>
    </w:p>
    <w:p w14:paraId="0A2F360B">
      <w:pPr>
        <w:spacing w:line="360" w:lineRule="auto"/>
        <w:ind w:firstLine="560" w:firstLineChars="200"/>
        <w:rPr>
          <w:rFonts w:ascii="仿宋" w:hAnsi="仿宋" w:eastAsia="仿宋"/>
          <w:color w:val="000000"/>
          <w:sz w:val="28"/>
        </w:rPr>
      </w:pPr>
      <w:r>
        <w:rPr>
          <w:rFonts w:hint="eastAsia" w:ascii="仿宋" w:hAnsi="仿宋" w:eastAsia="仿宋"/>
          <w:color w:val="000000"/>
          <w:sz w:val="28"/>
        </w:rPr>
        <w:t>议案须提交股东会审议。</w:t>
      </w:r>
    </w:p>
    <w:p w14:paraId="3C80BE0E">
      <w:pPr>
        <w:pStyle w:val="9"/>
        <w:numPr>
          <w:ilvl w:val="0"/>
          <w:numId w:val="1"/>
        </w:numPr>
        <w:spacing w:line="360" w:lineRule="auto"/>
        <w:ind w:firstLineChars="0"/>
        <w:outlineLvl w:val="1"/>
        <w:rPr>
          <w:rFonts w:ascii="仿宋" w:hAnsi="仿宋" w:eastAsia="仿宋"/>
          <w:b/>
          <w:color w:val="000000"/>
          <w:sz w:val="28"/>
        </w:rPr>
      </w:pPr>
      <w:r>
        <w:rPr>
          <w:rFonts w:hint="eastAsia" w:ascii="仿宋" w:hAnsi="仿宋" w:eastAsia="仿宋"/>
          <w:b/>
          <w:color w:val="000000"/>
          <w:sz w:val="28"/>
        </w:rPr>
        <w:t>会议以同意8票，反对0票，弃权0票的表决结果审议通过《关于&lt;2024年度财务决算报告&gt;的议案》。</w:t>
      </w:r>
    </w:p>
    <w:p w14:paraId="5DE62797">
      <w:pPr>
        <w:spacing w:line="360" w:lineRule="auto"/>
        <w:ind w:firstLine="560" w:firstLineChars="200"/>
        <w:rPr>
          <w:rFonts w:ascii="仿宋" w:hAnsi="仿宋" w:eastAsia="仿宋"/>
          <w:color w:val="000000"/>
          <w:sz w:val="28"/>
        </w:rPr>
      </w:pPr>
      <w:r>
        <w:rPr>
          <w:rFonts w:hint="eastAsia" w:ascii="仿宋" w:hAnsi="仿宋" w:eastAsia="仿宋"/>
          <w:color w:val="000000"/>
          <w:sz w:val="28"/>
        </w:rPr>
        <w:t>公司根据中审亚太会计师事务所（特殊普通合伙）（以下简称“中审亚太”）所出具的审计报告出具了《2024年度财务决算报告》。具体内容详见公司同日披露于巨潮资讯网（www.cninfo.com.cn）的《广东天亿马信息产业股份有限公司2024年年度报告》之“第十节 财务报告”的相关内容。</w:t>
      </w:r>
    </w:p>
    <w:p w14:paraId="04F75315">
      <w:pPr>
        <w:spacing w:line="360" w:lineRule="auto"/>
        <w:ind w:firstLine="560" w:firstLineChars="200"/>
        <w:rPr>
          <w:rFonts w:ascii="仿宋" w:hAnsi="仿宋" w:eastAsia="仿宋"/>
          <w:color w:val="000000"/>
          <w:sz w:val="28"/>
        </w:rPr>
      </w:pPr>
      <w:r>
        <w:rPr>
          <w:rFonts w:hint="eastAsia" w:ascii="仿宋" w:hAnsi="仿宋" w:eastAsia="仿宋"/>
          <w:color w:val="000000"/>
          <w:sz w:val="28"/>
        </w:rPr>
        <w:t>回避表决情况：本议案不涉及回避表决情况。</w:t>
      </w:r>
    </w:p>
    <w:p w14:paraId="4EEF97FF">
      <w:pPr>
        <w:spacing w:line="360" w:lineRule="auto"/>
        <w:ind w:firstLine="560" w:firstLineChars="200"/>
        <w:rPr>
          <w:rFonts w:ascii="仿宋" w:hAnsi="仿宋" w:eastAsia="仿宋"/>
          <w:color w:val="000000"/>
          <w:sz w:val="28"/>
        </w:rPr>
      </w:pPr>
      <w:r>
        <w:rPr>
          <w:rFonts w:hint="eastAsia" w:ascii="仿宋" w:hAnsi="仿宋" w:eastAsia="仿宋"/>
          <w:color w:val="000000"/>
          <w:sz w:val="28"/>
        </w:rPr>
        <w:t>议案须提交股东会审议。</w:t>
      </w:r>
    </w:p>
    <w:p w14:paraId="07D9C9D5">
      <w:pPr>
        <w:pStyle w:val="9"/>
        <w:numPr>
          <w:ilvl w:val="0"/>
          <w:numId w:val="1"/>
        </w:numPr>
        <w:spacing w:line="360" w:lineRule="auto"/>
        <w:ind w:firstLineChars="0"/>
        <w:outlineLvl w:val="1"/>
        <w:rPr>
          <w:rFonts w:ascii="仿宋" w:hAnsi="仿宋" w:eastAsia="仿宋"/>
          <w:b/>
          <w:color w:val="000000"/>
          <w:sz w:val="28"/>
        </w:rPr>
      </w:pPr>
      <w:r>
        <w:rPr>
          <w:rFonts w:hint="eastAsia" w:ascii="仿宋" w:hAnsi="仿宋" w:eastAsia="仿宋"/>
          <w:b/>
          <w:color w:val="000000"/>
          <w:sz w:val="28"/>
        </w:rPr>
        <w:t>会议以同意8票，反对0票，弃权0票的表决结果审议通过《关于2024年度拟不进行利润分配的议案》。</w:t>
      </w:r>
    </w:p>
    <w:p w14:paraId="70FC2801">
      <w:pPr>
        <w:spacing w:line="360" w:lineRule="auto"/>
        <w:ind w:firstLine="560" w:firstLineChars="200"/>
        <w:rPr>
          <w:rFonts w:ascii="仿宋" w:hAnsi="仿宋" w:eastAsia="仿宋"/>
          <w:color w:val="000000"/>
          <w:sz w:val="28"/>
        </w:rPr>
      </w:pPr>
      <w:r>
        <w:rPr>
          <w:rFonts w:hint="eastAsia" w:ascii="仿宋" w:hAnsi="仿宋" w:eastAsia="仿宋"/>
          <w:color w:val="000000"/>
          <w:sz w:val="28"/>
        </w:rPr>
        <w:t>根据中审亚太所出具的审计报告并结合公司经营状况，公司2024年度拟不进行现金分红，也不进行资本公积金转增股本或其他任何形式的分配。具体内容详见同日披露于巨潮资讯网（www.cninfo.com.cn）的《广东天亿马信息产业股份有限公司关于2024年度拟不进行利润分配的公告》（公告编号：2025-025）。</w:t>
      </w:r>
    </w:p>
    <w:p w14:paraId="1F00B895">
      <w:pPr>
        <w:spacing w:line="360" w:lineRule="auto"/>
        <w:ind w:firstLine="560" w:firstLineChars="200"/>
        <w:rPr>
          <w:rFonts w:ascii="仿宋" w:hAnsi="仿宋" w:eastAsia="仿宋"/>
          <w:color w:val="000000"/>
          <w:sz w:val="28"/>
        </w:rPr>
      </w:pPr>
      <w:r>
        <w:rPr>
          <w:rFonts w:hint="eastAsia" w:ascii="仿宋" w:hAnsi="仿宋" w:eastAsia="仿宋"/>
          <w:color w:val="000000"/>
          <w:sz w:val="28"/>
        </w:rPr>
        <w:t>回避表决情况：本议案不涉及回避表决情形。</w:t>
      </w:r>
    </w:p>
    <w:p w14:paraId="2BF5CD20">
      <w:pPr>
        <w:spacing w:line="360" w:lineRule="auto"/>
        <w:ind w:firstLine="560" w:firstLineChars="200"/>
        <w:rPr>
          <w:rFonts w:ascii="仿宋" w:hAnsi="仿宋" w:eastAsia="仿宋"/>
          <w:color w:val="000000"/>
          <w:sz w:val="28"/>
        </w:rPr>
      </w:pPr>
      <w:r>
        <w:rPr>
          <w:rFonts w:hint="eastAsia" w:ascii="仿宋" w:hAnsi="仿宋" w:eastAsia="仿宋"/>
          <w:color w:val="000000"/>
          <w:sz w:val="28"/>
        </w:rPr>
        <w:t>议案须提交股东会审议。</w:t>
      </w:r>
    </w:p>
    <w:p w14:paraId="3E76E682">
      <w:pPr>
        <w:pStyle w:val="9"/>
        <w:numPr>
          <w:ilvl w:val="0"/>
          <w:numId w:val="1"/>
        </w:numPr>
        <w:spacing w:line="360" w:lineRule="auto"/>
        <w:ind w:firstLineChars="0"/>
        <w:outlineLvl w:val="1"/>
        <w:rPr>
          <w:rFonts w:ascii="仿宋" w:hAnsi="仿宋" w:eastAsia="仿宋"/>
          <w:b/>
          <w:color w:val="000000"/>
          <w:sz w:val="28"/>
        </w:rPr>
      </w:pPr>
      <w:r>
        <w:rPr>
          <w:rFonts w:hint="eastAsia" w:ascii="仿宋" w:hAnsi="仿宋" w:eastAsia="仿宋"/>
          <w:b/>
          <w:color w:val="000000"/>
          <w:sz w:val="28"/>
        </w:rPr>
        <w:t>会议审议了《关于公司董事及高级管理人员2025年度薪酬待遇方案的议案》。</w:t>
      </w:r>
    </w:p>
    <w:p w14:paraId="6CAE8666">
      <w:pPr>
        <w:pStyle w:val="9"/>
        <w:spacing w:line="360" w:lineRule="auto"/>
        <w:ind w:firstLine="560"/>
        <w:rPr>
          <w:rFonts w:ascii="仿宋" w:hAnsi="仿宋" w:eastAsia="仿宋"/>
          <w:color w:val="000000"/>
          <w:sz w:val="28"/>
        </w:rPr>
      </w:pPr>
      <w:r>
        <w:rPr>
          <w:rFonts w:hint="eastAsia" w:ascii="仿宋" w:hAnsi="仿宋" w:eastAsia="仿宋"/>
          <w:color w:val="000000"/>
          <w:sz w:val="28"/>
        </w:rPr>
        <w:t>根据《公司章程》《薪酬与考核委员会工作细则》等相关制度，结合公司经营规模，参照行业及所在地区的薪酬水平，公司拟定董事及高级管理人员2025年度薪酬待遇的方案。议案具体内容详见公司同日披露于巨潮资讯网（www.cninfo.com.cn）等法定信息披露媒体的《广东天亿马信息产业股份有限公司关于董事、监事及高级管理人员2025年度薪酬待遇方案的公告》（公告编号：2025-026）。</w:t>
      </w:r>
    </w:p>
    <w:p w14:paraId="0532784C">
      <w:pPr>
        <w:spacing w:line="360" w:lineRule="auto"/>
        <w:ind w:firstLine="560" w:firstLineChars="200"/>
        <w:rPr>
          <w:rFonts w:ascii="仿宋" w:hAnsi="仿宋" w:eastAsia="仿宋"/>
          <w:color w:val="000000"/>
          <w:sz w:val="28"/>
        </w:rPr>
      </w:pPr>
      <w:r>
        <w:rPr>
          <w:rFonts w:hint="eastAsia" w:ascii="仿宋" w:hAnsi="仿宋" w:eastAsia="仿宋"/>
          <w:color w:val="000000"/>
          <w:sz w:val="28"/>
        </w:rPr>
        <w:t>回避表决情况：本议案与所有参与表决董事相关，全体董事回避表决。</w:t>
      </w:r>
    </w:p>
    <w:p w14:paraId="411C4BCF">
      <w:pPr>
        <w:spacing w:line="360" w:lineRule="auto"/>
        <w:ind w:firstLine="560" w:firstLineChars="200"/>
        <w:rPr>
          <w:rFonts w:ascii="仿宋" w:hAnsi="仿宋" w:eastAsia="仿宋"/>
          <w:color w:val="000000"/>
          <w:sz w:val="28"/>
        </w:rPr>
      </w:pPr>
      <w:r>
        <w:rPr>
          <w:rFonts w:hint="eastAsia" w:ascii="仿宋" w:hAnsi="仿宋" w:eastAsia="仿宋"/>
          <w:color w:val="000000"/>
          <w:sz w:val="28"/>
        </w:rPr>
        <w:t>本议案直接提交股东会审议。</w:t>
      </w:r>
    </w:p>
    <w:p w14:paraId="763891F1">
      <w:pPr>
        <w:pStyle w:val="9"/>
        <w:numPr>
          <w:ilvl w:val="0"/>
          <w:numId w:val="1"/>
        </w:numPr>
        <w:spacing w:line="360" w:lineRule="auto"/>
        <w:ind w:firstLineChars="0"/>
        <w:outlineLvl w:val="1"/>
        <w:rPr>
          <w:rFonts w:ascii="仿宋" w:hAnsi="仿宋" w:eastAsia="仿宋"/>
          <w:b/>
          <w:color w:val="000000"/>
          <w:sz w:val="28"/>
        </w:rPr>
      </w:pPr>
      <w:r>
        <w:rPr>
          <w:rFonts w:hint="eastAsia" w:ascii="仿宋" w:hAnsi="仿宋" w:eastAsia="仿宋"/>
          <w:b/>
          <w:color w:val="000000"/>
          <w:sz w:val="28"/>
        </w:rPr>
        <w:t>会议以同意5票，反对0票，弃权0票的表决结果审议通过《关于预计2025年度日常性关联交易的议案》。</w:t>
      </w:r>
    </w:p>
    <w:p w14:paraId="733AB563">
      <w:pPr>
        <w:spacing w:line="360" w:lineRule="auto"/>
        <w:ind w:firstLine="560" w:firstLineChars="200"/>
        <w:rPr>
          <w:rFonts w:ascii="仿宋" w:hAnsi="仿宋" w:eastAsia="仿宋"/>
          <w:color w:val="000000"/>
          <w:sz w:val="28"/>
        </w:rPr>
      </w:pPr>
      <w:r>
        <w:rPr>
          <w:rFonts w:hint="eastAsia" w:ascii="仿宋" w:hAnsi="仿宋" w:eastAsia="仿宋"/>
          <w:color w:val="000000"/>
          <w:sz w:val="28"/>
        </w:rPr>
        <w:t>公司根据经营计划，参照往年实际发生的交易情况，预计今年日常性关联交易额度。具体内容详见同日披露于巨潮资讯网（www.cninfo.com.cn）的《广东天亿马信息产业股份有限公司关于预计2025年度日常性关联交易的》（公告编号：2025-027）。</w:t>
      </w:r>
    </w:p>
    <w:p w14:paraId="471C1D2E">
      <w:pPr>
        <w:pStyle w:val="9"/>
        <w:spacing w:line="360" w:lineRule="auto"/>
        <w:ind w:firstLine="560"/>
        <w:rPr>
          <w:rFonts w:ascii="仿宋" w:hAnsi="仿宋" w:eastAsia="仿宋"/>
          <w:color w:val="000000"/>
          <w:sz w:val="28"/>
        </w:rPr>
      </w:pPr>
      <w:r>
        <w:rPr>
          <w:rFonts w:hint="eastAsia" w:ascii="仿宋" w:hAnsi="仿宋" w:eastAsia="仿宋"/>
          <w:color w:val="000000"/>
          <w:sz w:val="28"/>
        </w:rPr>
        <w:t>该事项已经第三届董事会第三次独立董事专门会议审议通过，全体独立董事认为：</w:t>
      </w:r>
      <w:r>
        <w:rPr>
          <w:rFonts w:hint="eastAsia" w:ascii="仿宋" w:hAnsi="仿宋" w:eastAsia="仿宋"/>
          <w:sz w:val="28"/>
        </w:rPr>
        <w:t>2024年度公司与关联方之间的日常关联交易活动按照一般市场经济原则进行，是合法、公允的，不存在损害公司及非关联股东利益的情形。2025年日常关联交易预计额度是在2024年度日常关联交易的基础上作出的，遵守了公平、公正、公开的原则，不存在损害上市公司及中小股东利益的情形，不影响公司独立性。因此，我们同意将该议案提交公司董事会审议。</w:t>
      </w:r>
    </w:p>
    <w:p w14:paraId="53F2ED16">
      <w:pPr>
        <w:spacing w:line="360" w:lineRule="auto"/>
        <w:ind w:firstLine="560" w:firstLineChars="200"/>
        <w:rPr>
          <w:rFonts w:ascii="仿宋" w:hAnsi="仿宋" w:eastAsia="仿宋"/>
          <w:color w:val="000000"/>
          <w:sz w:val="28"/>
        </w:rPr>
      </w:pPr>
      <w:r>
        <w:rPr>
          <w:rFonts w:hint="eastAsia" w:ascii="仿宋" w:hAnsi="仿宋" w:eastAsia="仿宋"/>
          <w:color w:val="000000"/>
          <w:sz w:val="28"/>
        </w:rPr>
        <w:t>回避表决情况：关联董事林明玲、马学沛、马淦江回避表决。</w:t>
      </w:r>
    </w:p>
    <w:p w14:paraId="406DB5C2">
      <w:pPr>
        <w:spacing w:line="360" w:lineRule="auto"/>
        <w:ind w:firstLine="560" w:firstLineChars="200"/>
        <w:rPr>
          <w:rFonts w:ascii="仿宋" w:hAnsi="仿宋" w:eastAsia="仿宋"/>
          <w:color w:val="000000"/>
          <w:sz w:val="28"/>
        </w:rPr>
      </w:pPr>
      <w:r>
        <w:rPr>
          <w:rFonts w:hint="eastAsia" w:ascii="仿宋" w:hAnsi="仿宋" w:eastAsia="仿宋"/>
          <w:color w:val="000000"/>
          <w:sz w:val="28"/>
        </w:rPr>
        <w:t>2024年度预计日常性关联交易总金额属董事会审议范围，本议案无需提交股东会审议。</w:t>
      </w:r>
    </w:p>
    <w:p w14:paraId="20AAB967">
      <w:pPr>
        <w:pStyle w:val="9"/>
        <w:numPr>
          <w:ilvl w:val="0"/>
          <w:numId w:val="1"/>
        </w:numPr>
        <w:spacing w:line="360" w:lineRule="auto"/>
        <w:ind w:firstLineChars="0"/>
        <w:outlineLvl w:val="1"/>
        <w:rPr>
          <w:rFonts w:ascii="仿宋" w:hAnsi="仿宋" w:eastAsia="仿宋"/>
          <w:b/>
          <w:color w:val="000000"/>
          <w:sz w:val="28"/>
        </w:rPr>
      </w:pPr>
      <w:r>
        <w:rPr>
          <w:rFonts w:hint="eastAsia" w:ascii="仿宋" w:hAnsi="仿宋" w:eastAsia="仿宋"/>
          <w:b/>
          <w:color w:val="000000"/>
          <w:sz w:val="28"/>
        </w:rPr>
        <w:t>会议以同意5票，反对0票，弃权0票的表决结果审议通过《关于公司及子公司拟申请金融机构授信额度暨关联方提供担保的议案》。</w:t>
      </w:r>
    </w:p>
    <w:p w14:paraId="20066AE6">
      <w:pPr>
        <w:spacing w:line="360" w:lineRule="auto"/>
        <w:ind w:firstLine="560" w:firstLineChars="200"/>
        <w:rPr>
          <w:rFonts w:ascii="仿宋" w:hAnsi="仿宋" w:eastAsia="仿宋"/>
          <w:color w:val="000000"/>
          <w:sz w:val="28"/>
        </w:rPr>
      </w:pPr>
      <w:r>
        <w:rPr>
          <w:rFonts w:hint="eastAsia" w:ascii="仿宋" w:hAnsi="仿宋" w:eastAsia="仿宋"/>
          <w:color w:val="000000"/>
          <w:sz w:val="28"/>
        </w:rPr>
        <w:t>根据公司2025年度经营计划对资金的需求，公司及子公司拟向金融机构申请总额度不超过人民币50,000万元的综合授信额度，并接受实际控制人马学沛、林明玲夫妇为实际贷款提供担保。马学沛、林明玲夫妇为相关授信提供担保不收取公司任何费用，无需公司提供反担保。本次申请综合业务授信额度有效期为自董事会审议通过该议案之日起十二个月内有效，授信期限内授信额度可循环使用。具体内容详见同日披露于巨潮资讯网（www.cninfo.com.cn）的《广东天亿马信息产业股份有限公司关于公司及子公司拟申请金融机构授信额度暨关联方提供担保的的公告》（公告编号：2025-028）。</w:t>
      </w:r>
    </w:p>
    <w:p w14:paraId="22712E12">
      <w:pPr>
        <w:spacing w:line="360" w:lineRule="auto"/>
        <w:ind w:firstLine="560" w:firstLineChars="200"/>
        <w:rPr>
          <w:rFonts w:ascii="仿宋" w:hAnsi="仿宋" w:eastAsia="仿宋"/>
          <w:color w:val="000000"/>
          <w:sz w:val="28"/>
        </w:rPr>
      </w:pPr>
      <w:r>
        <w:rPr>
          <w:rFonts w:hint="eastAsia" w:ascii="仿宋" w:hAnsi="仿宋" w:eastAsia="仿宋"/>
          <w:color w:val="000000"/>
          <w:sz w:val="28"/>
        </w:rPr>
        <w:t>回避表决情况：关联董事林明玲、马学沛、马淦江回避表决。</w:t>
      </w:r>
    </w:p>
    <w:p w14:paraId="12B879BE">
      <w:pPr>
        <w:spacing w:line="360" w:lineRule="auto"/>
        <w:ind w:firstLine="560" w:firstLineChars="200"/>
        <w:rPr>
          <w:rFonts w:ascii="仿宋" w:hAnsi="仿宋" w:eastAsia="仿宋"/>
          <w:color w:val="000000"/>
          <w:sz w:val="28"/>
        </w:rPr>
      </w:pPr>
      <w:r>
        <w:rPr>
          <w:rFonts w:hint="eastAsia" w:ascii="仿宋" w:hAnsi="仿宋" w:eastAsia="仿宋"/>
          <w:color w:val="000000"/>
          <w:sz w:val="28"/>
        </w:rPr>
        <w:t>根据规则，本事项豁免提交股东会审议。</w:t>
      </w:r>
    </w:p>
    <w:p w14:paraId="44229370">
      <w:pPr>
        <w:pStyle w:val="9"/>
        <w:numPr>
          <w:ilvl w:val="0"/>
          <w:numId w:val="1"/>
        </w:numPr>
        <w:spacing w:line="360" w:lineRule="auto"/>
        <w:ind w:firstLineChars="0"/>
        <w:outlineLvl w:val="1"/>
        <w:rPr>
          <w:rFonts w:ascii="仿宋" w:hAnsi="仿宋" w:eastAsia="仿宋"/>
          <w:b/>
          <w:color w:val="000000"/>
          <w:sz w:val="28"/>
        </w:rPr>
      </w:pPr>
      <w:r>
        <w:rPr>
          <w:rFonts w:hint="eastAsia" w:ascii="仿宋" w:hAnsi="仿宋" w:eastAsia="仿宋"/>
          <w:b/>
          <w:color w:val="000000"/>
          <w:sz w:val="28"/>
        </w:rPr>
        <w:t>会议以同意8票，反对0票，弃权0票的表决结果审议通过《关于子公司拟申请综合授信额度并由公司为其提供担保的议案》。</w:t>
      </w:r>
    </w:p>
    <w:p w14:paraId="719B5636">
      <w:pPr>
        <w:ind w:firstLine="560" w:firstLineChars="200"/>
        <w:rPr>
          <w:rFonts w:ascii="仿宋" w:hAnsi="仿宋" w:eastAsia="仿宋"/>
          <w:color w:val="000000"/>
          <w:sz w:val="28"/>
        </w:rPr>
      </w:pPr>
      <w:r>
        <w:rPr>
          <w:rFonts w:hint="eastAsia" w:ascii="仿宋" w:hAnsi="仿宋" w:eastAsia="仿宋"/>
          <w:color w:val="000000"/>
          <w:sz w:val="28"/>
        </w:rPr>
        <w:t>为满足日常生产经营和项目建设的资金需求，公司及并表范围内子公司及未来授权期内新设立或纳入的子公司拟向银行等金融机构申请总额度不超过28,000万元的综合授信额度，并由公司为实际贷款提供担保。在2024年年度股东会审议通过的额度范围及有效期内，在符合法律、行政法规及相关规定的前提下，公司及未来授权期内新设立或纳入的子公司间担保额度可以进行调剂。具体内容详见同日披露于巨潮资讯网（www.cninfo.com.cn）的《广东天亿马信息产业股份有限公司关于子公司拟申请综合授信额度并由公司为其提供担保的公告》（公告编号：2025-029）。</w:t>
      </w:r>
    </w:p>
    <w:p w14:paraId="148039E4">
      <w:pPr>
        <w:spacing w:line="360" w:lineRule="auto"/>
        <w:ind w:firstLine="560" w:firstLineChars="200"/>
        <w:rPr>
          <w:rFonts w:ascii="仿宋" w:hAnsi="仿宋" w:eastAsia="仿宋"/>
          <w:color w:val="000000"/>
          <w:sz w:val="28"/>
        </w:rPr>
      </w:pPr>
      <w:r>
        <w:rPr>
          <w:rFonts w:hint="eastAsia" w:ascii="仿宋" w:hAnsi="仿宋" w:eastAsia="仿宋"/>
          <w:color w:val="000000"/>
          <w:sz w:val="28"/>
        </w:rPr>
        <w:t>回避表决情况：本议案不涉及回避表决情形。</w:t>
      </w:r>
    </w:p>
    <w:p w14:paraId="33B4C673">
      <w:pPr>
        <w:spacing w:line="360" w:lineRule="auto"/>
        <w:ind w:firstLine="560" w:firstLineChars="200"/>
        <w:rPr>
          <w:rFonts w:ascii="仿宋" w:hAnsi="仿宋" w:eastAsia="仿宋"/>
          <w:color w:val="000000"/>
          <w:sz w:val="28"/>
        </w:rPr>
      </w:pPr>
      <w:r>
        <w:rPr>
          <w:rFonts w:hint="eastAsia" w:ascii="仿宋" w:hAnsi="仿宋" w:eastAsia="仿宋"/>
          <w:color w:val="000000"/>
          <w:sz w:val="28"/>
        </w:rPr>
        <w:t>本议案须提交股东会审议。</w:t>
      </w:r>
    </w:p>
    <w:p w14:paraId="299CC616">
      <w:pPr>
        <w:pStyle w:val="9"/>
        <w:numPr>
          <w:ilvl w:val="0"/>
          <w:numId w:val="1"/>
        </w:numPr>
        <w:spacing w:line="360" w:lineRule="auto"/>
        <w:ind w:firstLineChars="0"/>
        <w:outlineLvl w:val="1"/>
        <w:rPr>
          <w:rFonts w:ascii="仿宋" w:hAnsi="仿宋" w:eastAsia="仿宋"/>
          <w:b/>
          <w:color w:val="000000"/>
          <w:sz w:val="28"/>
        </w:rPr>
      </w:pPr>
      <w:r>
        <w:rPr>
          <w:rFonts w:hint="eastAsia" w:ascii="仿宋" w:hAnsi="仿宋" w:eastAsia="仿宋"/>
          <w:b/>
          <w:color w:val="000000"/>
          <w:sz w:val="28"/>
        </w:rPr>
        <w:t>会议以同意8票，反对0票，弃权0票的表决结果审议通过《关于2024年度计提资产减值准备的议案》。</w:t>
      </w:r>
    </w:p>
    <w:p w14:paraId="5D6DD939">
      <w:pPr>
        <w:spacing w:line="360" w:lineRule="auto"/>
        <w:ind w:firstLine="560" w:firstLineChars="200"/>
        <w:rPr>
          <w:rFonts w:ascii="仿宋" w:hAnsi="仿宋" w:eastAsia="仿宋"/>
          <w:color w:val="000000"/>
          <w:sz w:val="28"/>
        </w:rPr>
      </w:pPr>
      <w:r>
        <w:rPr>
          <w:rFonts w:hint="eastAsia" w:ascii="仿宋" w:hAnsi="仿宋" w:eastAsia="仿宋"/>
          <w:color w:val="000000"/>
          <w:sz w:val="28"/>
        </w:rPr>
        <w:t>依据《企业会计准则》及公司会计政策相关规定，本着谨慎性原则，公司对合并报表范围内的2024年末应收账款、其他应收款、存货、固定资产、长期股权投资、无形资产等资产进行了减值测试，判断存在可能发生减值的迹象，确定了需计提资产减值准备的资产项目。具体内容详见同日披露于巨潮资讯网（www.cninfo.com.cn）的《广东天亿马信息产业股份有限公司关于2024年度计提资产减值准备的公告》（公告编号：2025-030）。</w:t>
      </w:r>
    </w:p>
    <w:p w14:paraId="5ACD2E53">
      <w:pPr>
        <w:spacing w:line="360" w:lineRule="auto"/>
        <w:ind w:firstLine="560" w:firstLineChars="200"/>
        <w:rPr>
          <w:rFonts w:ascii="仿宋" w:hAnsi="仿宋" w:eastAsia="仿宋"/>
          <w:color w:val="000000"/>
          <w:sz w:val="28"/>
        </w:rPr>
      </w:pPr>
      <w:r>
        <w:rPr>
          <w:rFonts w:hint="eastAsia" w:ascii="仿宋" w:hAnsi="仿宋" w:eastAsia="仿宋"/>
          <w:color w:val="000000"/>
          <w:sz w:val="28"/>
        </w:rPr>
        <w:t>回避表决情况：本议案不涉及回避表决情形。</w:t>
      </w:r>
    </w:p>
    <w:p w14:paraId="073F4DE5">
      <w:pPr>
        <w:pStyle w:val="9"/>
        <w:numPr>
          <w:ilvl w:val="0"/>
          <w:numId w:val="1"/>
        </w:numPr>
        <w:spacing w:line="360" w:lineRule="auto"/>
        <w:ind w:firstLineChars="0"/>
        <w:outlineLvl w:val="1"/>
        <w:rPr>
          <w:rFonts w:ascii="仿宋" w:hAnsi="仿宋" w:eastAsia="仿宋"/>
          <w:b/>
          <w:color w:val="000000"/>
          <w:sz w:val="28"/>
        </w:rPr>
      </w:pPr>
      <w:r>
        <w:rPr>
          <w:rFonts w:hint="eastAsia" w:ascii="仿宋" w:hAnsi="仿宋" w:eastAsia="仿宋"/>
          <w:b/>
          <w:color w:val="000000"/>
          <w:sz w:val="28"/>
        </w:rPr>
        <w:t>会议以同意8票，反对0票，弃权0票的表决结果审议通过《关于&lt;公司2024年年度报告&gt;及&lt;2024年年度报告摘要&gt;的议案》。</w:t>
      </w:r>
    </w:p>
    <w:p w14:paraId="48CCD2AD">
      <w:pPr>
        <w:spacing w:line="360" w:lineRule="auto"/>
        <w:ind w:firstLine="560" w:firstLineChars="200"/>
        <w:rPr>
          <w:rFonts w:ascii="仿宋" w:hAnsi="仿宋" w:eastAsia="仿宋"/>
          <w:color w:val="000000"/>
          <w:sz w:val="28"/>
        </w:rPr>
      </w:pPr>
      <w:r>
        <w:rPr>
          <w:rFonts w:hint="eastAsia" w:ascii="仿宋" w:hAnsi="仿宋" w:eastAsia="仿宋"/>
          <w:color w:val="000000"/>
          <w:sz w:val="28"/>
        </w:rPr>
        <w:t>公司根据深圳证券交易所相关要求编制了《2024年年度报告》及《2024年年度报告摘要》。具体内容详见同日披露于巨潮资讯网（www.cninfo.com.cn）的《广东天亿马信息产业股份有限公司2024年年度报告》（公告编号：2025-031）及《广东天亿马信息产业股份有限公司2024年年度报告摘要》（公告编号：2025-032）。</w:t>
      </w:r>
    </w:p>
    <w:p w14:paraId="5D8A80F9">
      <w:pPr>
        <w:spacing w:line="360" w:lineRule="auto"/>
        <w:ind w:firstLine="560" w:firstLineChars="200"/>
        <w:rPr>
          <w:rFonts w:ascii="仿宋" w:hAnsi="仿宋" w:eastAsia="仿宋"/>
          <w:color w:val="000000"/>
          <w:sz w:val="28"/>
        </w:rPr>
      </w:pPr>
      <w:r>
        <w:rPr>
          <w:rFonts w:hint="eastAsia" w:ascii="仿宋" w:hAnsi="仿宋" w:eastAsia="仿宋"/>
          <w:color w:val="000000"/>
          <w:sz w:val="28"/>
        </w:rPr>
        <w:t>回避表决情况：本议案不涉及回避表决情形。</w:t>
      </w:r>
    </w:p>
    <w:p w14:paraId="17D4E2A1">
      <w:pPr>
        <w:spacing w:line="360" w:lineRule="auto"/>
        <w:ind w:firstLine="560" w:firstLineChars="200"/>
        <w:rPr>
          <w:rFonts w:ascii="仿宋" w:hAnsi="仿宋" w:eastAsia="仿宋"/>
          <w:color w:val="000000"/>
          <w:sz w:val="28"/>
        </w:rPr>
      </w:pPr>
      <w:r>
        <w:rPr>
          <w:rFonts w:hint="eastAsia" w:ascii="仿宋" w:hAnsi="仿宋" w:eastAsia="仿宋"/>
          <w:color w:val="000000"/>
          <w:sz w:val="28"/>
        </w:rPr>
        <w:t>本议案须提交股东会审议。</w:t>
      </w:r>
    </w:p>
    <w:p w14:paraId="1FDAE26A">
      <w:pPr>
        <w:pStyle w:val="9"/>
        <w:numPr>
          <w:ilvl w:val="0"/>
          <w:numId w:val="1"/>
        </w:numPr>
        <w:spacing w:line="360" w:lineRule="auto"/>
        <w:ind w:firstLineChars="0"/>
        <w:outlineLvl w:val="1"/>
        <w:rPr>
          <w:rFonts w:ascii="仿宋" w:hAnsi="仿宋" w:eastAsia="仿宋"/>
          <w:b/>
          <w:color w:val="000000"/>
          <w:sz w:val="28"/>
        </w:rPr>
      </w:pPr>
      <w:r>
        <w:rPr>
          <w:rFonts w:hint="eastAsia" w:ascii="仿宋" w:hAnsi="仿宋" w:eastAsia="仿宋"/>
          <w:b/>
          <w:color w:val="000000"/>
          <w:sz w:val="28"/>
        </w:rPr>
        <w:t>会议以同意8票，反对0票，弃权0票的表决结果审议通过《关于&lt;公司2024年度募集资金存放与使用情况的专项报告&gt;的议案》。</w:t>
      </w:r>
    </w:p>
    <w:p w14:paraId="08C8034A">
      <w:pPr>
        <w:spacing w:line="360" w:lineRule="auto"/>
        <w:ind w:firstLine="560" w:firstLineChars="200"/>
        <w:rPr>
          <w:rFonts w:ascii="仿宋" w:hAnsi="仿宋" w:eastAsia="仿宋"/>
          <w:color w:val="000000"/>
          <w:sz w:val="28"/>
        </w:rPr>
      </w:pPr>
      <w:r>
        <w:rPr>
          <w:rFonts w:hint="eastAsia" w:ascii="仿宋" w:hAnsi="仿宋" w:eastAsia="仿宋"/>
          <w:color w:val="000000"/>
          <w:sz w:val="28"/>
        </w:rPr>
        <w:t>根据中国证监会和深圳证券交易所的有关规定，公司董事会编制了截至2024年12月31日止的募集资金年度存放与实际使用情况的专项报告。公司聘请了中审亚太对专项报告内容予以鉴证，出具了《关于广东天亿马信息产业股份有限公司募集资金年度存放与实际使用情况的鉴证报告》。保荐机构五矿证券有限公司（以下简称“五矿证券”）对该事项发表了核查意见。</w:t>
      </w:r>
    </w:p>
    <w:p w14:paraId="27EBC033">
      <w:pPr>
        <w:spacing w:line="360" w:lineRule="auto"/>
        <w:ind w:firstLine="560" w:firstLineChars="200"/>
        <w:rPr>
          <w:rFonts w:ascii="仿宋" w:hAnsi="仿宋" w:eastAsia="仿宋"/>
          <w:color w:val="000000"/>
          <w:sz w:val="28"/>
        </w:rPr>
      </w:pPr>
      <w:r>
        <w:rPr>
          <w:rFonts w:hint="eastAsia" w:ascii="仿宋" w:hAnsi="仿宋" w:eastAsia="仿宋"/>
          <w:color w:val="000000"/>
          <w:sz w:val="28"/>
        </w:rPr>
        <w:t>具体内容详见同日披露于巨潮资讯网（www.cninfo.com.cn）的《广东天亿马信息产业股份有限公司2024年度募集资金存放与使用情况的专项报告》（公告编号：2025-033）、《中审亚太会计师事务所（特殊普通合伙）关于广东天亿马信息产业股份有限公司募集资金年度存放与实际使用情况的鉴证报告》及《五矿证券有限公司关于广东天亿马信息产业股份有限公司2024年度募集资金存放与使用情况的核查意见》。</w:t>
      </w:r>
    </w:p>
    <w:p w14:paraId="681A3D4C">
      <w:pPr>
        <w:spacing w:line="360" w:lineRule="auto"/>
        <w:ind w:firstLine="560" w:firstLineChars="200"/>
        <w:rPr>
          <w:rFonts w:ascii="仿宋" w:hAnsi="仿宋" w:eastAsia="仿宋"/>
          <w:color w:val="000000"/>
          <w:sz w:val="28"/>
        </w:rPr>
      </w:pPr>
      <w:r>
        <w:rPr>
          <w:rFonts w:hint="eastAsia" w:ascii="仿宋" w:hAnsi="仿宋" w:eastAsia="仿宋"/>
          <w:color w:val="000000"/>
          <w:sz w:val="28"/>
        </w:rPr>
        <w:t>回避表决情况：本议案不涉及回避表决情形。</w:t>
      </w:r>
    </w:p>
    <w:p w14:paraId="2FFC9F71">
      <w:pPr>
        <w:pStyle w:val="9"/>
        <w:numPr>
          <w:ilvl w:val="0"/>
          <w:numId w:val="1"/>
        </w:numPr>
        <w:spacing w:line="360" w:lineRule="auto"/>
        <w:ind w:firstLineChars="0"/>
        <w:outlineLvl w:val="1"/>
        <w:rPr>
          <w:rFonts w:ascii="仿宋" w:hAnsi="仿宋" w:eastAsia="仿宋"/>
          <w:b/>
          <w:color w:val="000000"/>
          <w:sz w:val="28"/>
        </w:rPr>
      </w:pPr>
      <w:r>
        <w:rPr>
          <w:rFonts w:hint="eastAsia" w:ascii="仿宋" w:hAnsi="仿宋" w:eastAsia="仿宋"/>
          <w:b/>
          <w:color w:val="000000"/>
          <w:sz w:val="28"/>
        </w:rPr>
        <w:t>会议以同意8票，反对0票，弃权0票的表决结果审议通过《关于&lt;2024年度财务审计报告&gt;的议案》。</w:t>
      </w:r>
    </w:p>
    <w:p w14:paraId="5C267E90">
      <w:pPr>
        <w:spacing w:line="360" w:lineRule="auto"/>
        <w:ind w:firstLine="560" w:firstLineChars="200"/>
        <w:rPr>
          <w:rFonts w:ascii="仿宋" w:hAnsi="仿宋" w:eastAsia="仿宋"/>
          <w:color w:val="000000"/>
          <w:sz w:val="28"/>
        </w:rPr>
      </w:pPr>
      <w:r>
        <w:rPr>
          <w:rFonts w:hint="eastAsia" w:ascii="仿宋" w:hAnsi="仿宋" w:eastAsia="仿宋"/>
          <w:color w:val="000000"/>
          <w:sz w:val="28"/>
        </w:rPr>
        <w:t>公司聘请中审亚太对公司2024年度财务状况进行审计，并出具了标准无保留意见的《审计报告》。具体内容详见同日披露于巨潮资讯网（www.cninfo.com.cn）的《中审亚太会计师事务所（特殊普通合伙）关于广东天亿马信息产业股份有限公司2024年度财务报表审计报告（中审亚太审字（2025）004102号）》。</w:t>
      </w:r>
    </w:p>
    <w:p w14:paraId="63921736">
      <w:pPr>
        <w:spacing w:line="360" w:lineRule="auto"/>
        <w:ind w:firstLine="560" w:firstLineChars="200"/>
        <w:rPr>
          <w:rFonts w:ascii="仿宋" w:hAnsi="仿宋" w:eastAsia="仿宋"/>
          <w:color w:val="000000"/>
          <w:sz w:val="28"/>
        </w:rPr>
      </w:pPr>
      <w:r>
        <w:rPr>
          <w:rFonts w:hint="eastAsia" w:ascii="仿宋" w:hAnsi="仿宋" w:eastAsia="仿宋"/>
          <w:color w:val="000000"/>
          <w:sz w:val="28"/>
        </w:rPr>
        <w:t>回避表决情况：本议案不涉及回避表决情形。</w:t>
      </w:r>
    </w:p>
    <w:p w14:paraId="23D94468">
      <w:pPr>
        <w:pStyle w:val="9"/>
        <w:numPr>
          <w:ilvl w:val="0"/>
          <w:numId w:val="1"/>
        </w:numPr>
        <w:spacing w:line="360" w:lineRule="auto"/>
        <w:ind w:firstLineChars="0"/>
        <w:outlineLvl w:val="1"/>
        <w:rPr>
          <w:rFonts w:ascii="仿宋" w:hAnsi="仿宋" w:eastAsia="仿宋"/>
          <w:b/>
          <w:color w:val="000000"/>
          <w:sz w:val="28"/>
        </w:rPr>
      </w:pPr>
      <w:r>
        <w:rPr>
          <w:rFonts w:hint="eastAsia" w:ascii="仿宋" w:hAnsi="仿宋" w:eastAsia="仿宋"/>
          <w:b/>
          <w:color w:val="000000"/>
          <w:sz w:val="28"/>
        </w:rPr>
        <w:t>会议以同意8票，反对0票，弃权0票的表决结果审议通过《关于&lt;公司非经营性资金占用及其他关联资金往来情况汇总表的专项审核报告&gt;的议案》。</w:t>
      </w:r>
    </w:p>
    <w:p w14:paraId="500FFEAE">
      <w:pPr>
        <w:spacing w:line="360" w:lineRule="auto"/>
        <w:ind w:firstLine="560" w:firstLineChars="200"/>
        <w:rPr>
          <w:rFonts w:ascii="仿宋" w:hAnsi="仿宋" w:eastAsia="仿宋"/>
          <w:color w:val="000000"/>
          <w:sz w:val="28"/>
        </w:rPr>
      </w:pPr>
      <w:r>
        <w:rPr>
          <w:rFonts w:hint="eastAsia" w:ascii="仿宋" w:hAnsi="仿宋" w:eastAsia="仿宋"/>
          <w:color w:val="000000"/>
          <w:sz w:val="28"/>
        </w:rPr>
        <w:t>公司按照相关规定编制了2024年度非经营性资金占用及其他关联资金往来情况汇总表，并聘请中审亚太进行审核。具体内容详见同日披露于巨潮资讯网（www.cninfo.com.cn）的《中审亚太会计师事务所（特殊普通合伙）关于广东天亿马信息产业股份有限公司非经营性资金占用及其他关联资金往来情况汇总表的专项审核报告》。</w:t>
      </w:r>
    </w:p>
    <w:p w14:paraId="767F00A7">
      <w:pPr>
        <w:spacing w:line="360" w:lineRule="auto"/>
        <w:ind w:firstLine="560" w:firstLineChars="200"/>
        <w:rPr>
          <w:rFonts w:ascii="仿宋" w:hAnsi="仿宋" w:eastAsia="仿宋"/>
          <w:color w:val="000000"/>
          <w:sz w:val="28"/>
        </w:rPr>
      </w:pPr>
      <w:r>
        <w:rPr>
          <w:rFonts w:hint="eastAsia" w:ascii="仿宋" w:hAnsi="仿宋" w:eastAsia="仿宋"/>
          <w:color w:val="000000"/>
          <w:sz w:val="28"/>
        </w:rPr>
        <w:t>回避表决情况：本议案不涉及回避表决情形。</w:t>
      </w:r>
    </w:p>
    <w:p w14:paraId="7D2FFDDF">
      <w:pPr>
        <w:pStyle w:val="9"/>
        <w:numPr>
          <w:ilvl w:val="0"/>
          <w:numId w:val="1"/>
        </w:numPr>
        <w:spacing w:line="360" w:lineRule="auto"/>
        <w:ind w:firstLineChars="0"/>
        <w:outlineLvl w:val="1"/>
        <w:rPr>
          <w:rFonts w:ascii="仿宋" w:hAnsi="仿宋" w:eastAsia="仿宋"/>
          <w:b/>
          <w:color w:val="000000"/>
          <w:sz w:val="28"/>
        </w:rPr>
      </w:pPr>
      <w:r>
        <w:rPr>
          <w:rFonts w:hint="eastAsia" w:ascii="仿宋" w:hAnsi="仿宋" w:eastAsia="仿宋"/>
          <w:b/>
          <w:color w:val="000000"/>
          <w:sz w:val="28"/>
        </w:rPr>
        <w:t>会议以同意8票，反对0票，弃权0票的表决结果审议通过《关于&lt;公司内部控制有效性的自我评价报告&gt;及&lt;公司内部控制有效性审计报告&gt;的议案》。</w:t>
      </w:r>
    </w:p>
    <w:p w14:paraId="7607C899">
      <w:pPr>
        <w:spacing w:line="360" w:lineRule="auto"/>
        <w:ind w:firstLine="560" w:firstLineChars="200"/>
        <w:rPr>
          <w:rFonts w:ascii="仿宋" w:hAnsi="仿宋" w:eastAsia="仿宋"/>
          <w:color w:val="000000"/>
          <w:sz w:val="28"/>
        </w:rPr>
      </w:pPr>
      <w:r>
        <w:rPr>
          <w:rFonts w:hint="eastAsia" w:ascii="仿宋" w:hAnsi="仿宋" w:eastAsia="仿宋"/>
          <w:color w:val="000000"/>
          <w:sz w:val="28"/>
        </w:rPr>
        <w:t>公司对截至2024年12月31日（内部控制评价报告基准日）的内部控制有效性进行了评价，编制了《广东天亿马信息产业股份有限公司内部控制自我评价报告》，并聘请中审亚太予以审计。五矿证券发表了核查意见。具体内容详见同日披露于巨潮资讯网（www.cninfo.com.cn）的《广东天亿马信息产业股份有限公司内部控制自我评价报告》及相关公告。</w:t>
      </w:r>
    </w:p>
    <w:p w14:paraId="1022EA9C">
      <w:pPr>
        <w:spacing w:line="360" w:lineRule="auto"/>
        <w:ind w:firstLine="560" w:firstLineChars="200"/>
        <w:rPr>
          <w:rFonts w:ascii="仿宋" w:hAnsi="仿宋" w:eastAsia="仿宋"/>
          <w:color w:val="000000"/>
          <w:sz w:val="28"/>
        </w:rPr>
      </w:pPr>
      <w:r>
        <w:rPr>
          <w:rFonts w:hint="eastAsia" w:ascii="仿宋" w:hAnsi="仿宋" w:eastAsia="仿宋"/>
          <w:color w:val="000000"/>
          <w:sz w:val="28"/>
        </w:rPr>
        <w:t>回避表决情况：本议案不涉及回避表决情形。</w:t>
      </w:r>
    </w:p>
    <w:p w14:paraId="4EF5372D">
      <w:pPr>
        <w:pStyle w:val="9"/>
        <w:numPr>
          <w:ilvl w:val="0"/>
          <w:numId w:val="1"/>
        </w:numPr>
        <w:spacing w:line="360" w:lineRule="auto"/>
        <w:ind w:firstLineChars="0"/>
        <w:outlineLvl w:val="1"/>
        <w:rPr>
          <w:rFonts w:ascii="仿宋" w:hAnsi="仿宋" w:eastAsia="仿宋"/>
          <w:b/>
          <w:color w:val="000000"/>
          <w:sz w:val="28"/>
        </w:rPr>
      </w:pPr>
      <w:r>
        <w:rPr>
          <w:rFonts w:hint="eastAsia" w:ascii="仿宋" w:hAnsi="仿宋" w:eastAsia="仿宋"/>
          <w:b/>
          <w:color w:val="000000"/>
          <w:sz w:val="28"/>
        </w:rPr>
        <w:t>会议以同意8票，反对0票，弃权0票的表决结果审议通过《关于使用部分闲置自有资金进行现金管理的议案》。</w:t>
      </w:r>
    </w:p>
    <w:p w14:paraId="2C33F9F8">
      <w:pPr>
        <w:spacing w:line="360" w:lineRule="auto"/>
        <w:ind w:firstLine="560" w:firstLineChars="200"/>
        <w:rPr>
          <w:rFonts w:ascii="仿宋" w:hAnsi="仿宋" w:eastAsia="仿宋"/>
          <w:color w:val="000000"/>
          <w:sz w:val="28"/>
        </w:rPr>
      </w:pPr>
      <w:r>
        <w:rPr>
          <w:rFonts w:hint="eastAsia" w:ascii="仿宋" w:hAnsi="仿宋" w:eastAsia="仿宋"/>
          <w:color w:val="000000"/>
          <w:sz w:val="28"/>
        </w:rPr>
        <w:t>为加强闲置自有资金管理，提高资金使用效率及收益水平，在确保公司正常经营资金需求和风险有效控制的前提下，公司(含并表范围内子公司)拟使用不超过人民币3亿元(含本数)的闲置自有资金进行现金管理，并授权董事长或其指定授权对象，在上述额度内签署相关合同文件，具体事项由财务部门负责组织实施。上述资金额度自股东会审议通过之日起12个月内可循环滚动使用。具体内容详见同日披露于巨潮资讯网（www.cninfo.com.cn）的《广东天亿马信息产业股份有限公司关于使用部分闲置自有资金进行现金管理的公告》（公告编号：2025-034）。</w:t>
      </w:r>
    </w:p>
    <w:p w14:paraId="39885161">
      <w:pPr>
        <w:spacing w:line="360" w:lineRule="auto"/>
        <w:ind w:firstLine="560" w:firstLineChars="200"/>
        <w:rPr>
          <w:rFonts w:ascii="仿宋" w:hAnsi="仿宋" w:eastAsia="仿宋"/>
          <w:color w:val="000000"/>
          <w:sz w:val="28"/>
        </w:rPr>
      </w:pPr>
      <w:r>
        <w:rPr>
          <w:rFonts w:hint="eastAsia" w:ascii="仿宋" w:hAnsi="仿宋" w:eastAsia="仿宋"/>
          <w:color w:val="000000"/>
          <w:sz w:val="28"/>
        </w:rPr>
        <w:t>回避表决情况：本议案不涉及回避表决情形。</w:t>
      </w:r>
    </w:p>
    <w:p w14:paraId="7F864FCE">
      <w:pPr>
        <w:spacing w:line="360" w:lineRule="auto"/>
        <w:ind w:firstLine="560" w:firstLineChars="200"/>
        <w:rPr>
          <w:rFonts w:ascii="仿宋" w:hAnsi="仿宋" w:eastAsia="仿宋"/>
          <w:color w:val="000000"/>
          <w:sz w:val="28"/>
        </w:rPr>
      </w:pPr>
      <w:r>
        <w:rPr>
          <w:rFonts w:hint="eastAsia" w:ascii="仿宋" w:hAnsi="仿宋" w:eastAsia="仿宋"/>
          <w:color w:val="000000"/>
          <w:sz w:val="28"/>
        </w:rPr>
        <w:t>议案须提交股东会审议。</w:t>
      </w:r>
    </w:p>
    <w:p w14:paraId="0583E376">
      <w:pPr>
        <w:pStyle w:val="9"/>
        <w:numPr>
          <w:ilvl w:val="0"/>
          <w:numId w:val="1"/>
        </w:numPr>
        <w:spacing w:line="360" w:lineRule="auto"/>
        <w:ind w:firstLineChars="0"/>
        <w:outlineLvl w:val="1"/>
        <w:rPr>
          <w:rFonts w:ascii="仿宋" w:hAnsi="仿宋" w:eastAsia="仿宋"/>
          <w:b/>
          <w:color w:val="000000"/>
          <w:sz w:val="28"/>
        </w:rPr>
      </w:pPr>
      <w:r>
        <w:rPr>
          <w:rFonts w:hint="eastAsia" w:ascii="仿宋" w:hAnsi="仿宋" w:eastAsia="仿宋"/>
          <w:b/>
          <w:color w:val="000000"/>
          <w:sz w:val="28"/>
        </w:rPr>
        <w:t>会议以同意5票，反对0票，弃权0票的表决结果审议通过《关于回购注销部分已授予但尚未解除限售的限制性股票的议案》。</w:t>
      </w:r>
    </w:p>
    <w:p w14:paraId="32C710AA">
      <w:pPr>
        <w:spacing w:line="360" w:lineRule="auto"/>
        <w:ind w:firstLine="560" w:firstLineChars="200"/>
        <w:rPr>
          <w:rFonts w:ascii="仿宋" w:hAnsi="仿宋" w:eastAsia="仿宋"/>
          <w:color w:val="000000"/>
          <w:sz w:val="28"/>
        </w:rPr>
      </w:pPr>
      <w:r>
        <w:rPr>
          <w:rFonts w:hint="eastAsia" w:ascii="仿宋" w:hAnsi="仿宋" w:eastAsia="仿宋"/>
          <w:color w:val="000000"/>
          <w:sz w:val="28"/>
        </w:rPr>
        <w:t>根据公司经审计的2024年度财务报告，公司层面2024年业绩考核未达标，公司拟回购并注销首次授予2名激励对象对应当年已获授但尚未解除限售的第一类限制性股票合计256,000股。具体内容详见同日披露于巨潮资讯网（www.cninfo.com.cn）的《广东天亿马信息产业股份有限公司关于回购注销部分已授予但尚未解除限售的限制性股票的公告》（公告编号：2025-035）。</w:t>
      </w:r>
    </w:p>
    <w:p w14:paraId="38AA6186">
      <w:pPr>
        <w:spacing w:line="360" w:lineRule="auto"/>
        <w:ind w:firstLine="560" w:firstLineChars="200"/>
        <w:rPr>
          <w:rFonts w:ascii="仿宋" w:hAnsi="仿宋" w:eastAsia="仿宋"/>
          <w:color w:val="000000"/>
          <w:sz w:val="28"/>
        </w:rPr>
      </w:pPr>
      <w:r>
        <w:rPr>
          <w:rFonts w:hint="eastAsia" w:ascii="仿宋" w:hAnsi="仿宋" w:eastAsia="仿宋"/>
          <w:color w:val="000000"/>
          <w:sz w:val="28"/>
        </w:rPr>
        <w:t>回避表决情况：董事林明玲、马学沛、马淦江为该议案关联方，回避表决。</w:t>
      </w:r>
    </w:p>
    <w:p w14:paraId="405D30E1">
      <w:pPr>
        <w:spacing w:line="360" w:lineRule="auto"/>
        <w:ind w:firstLine="560" w:firstLineChars="200"/>
        <w:rPr>
          <w:rFonts w:ascii="仿宋" w:hAnsi="仿宋" w:eastAsia="仿宋"/>
          <w:color w:val="000000"/>
          <w:sz w:val="28"/>
        </w:rPr>
      </w:pPr>
      <w:r>
        <w:rPr>
          <w:rFonts w:hint="eastAsia" w:ascii="仿宋" w:hAnsi="仿宋" w:eastAsia="仿宋"/>
          <w:color w:val="000000"/>
          <w:sz w:val="28"/>
        </w:rPr>
        <w:t>本议案须提交股东会审议。</w:t>
      </w:r>
    </w:p>
    <w:p w14:paraId="64D98E81">
      <w:pPr>
        <w:pStyle w:val="9"/>
        <w:numPr>
          <w:ilvl w:val="0"/>
          <w:numId w:val="1"/>
        </w:numPr>
        <w:spacing w:line="360" w:lineRule="auto"/>
        <w:ind w:firstLineChars="0"/>
        <w:outlineLvl w:val="1"/>
        <w:rPr>
          <w:rFonts w:ascii="仿宋" w:hAnsi="仿宋" w:eastAsia="仿宋"/>
          <w:b/>
          <w:color w:val="000000"/>
          <w:sz w:val="28"/>
        </w:rPr>
      </w:pPr>
      <w:r>
        <w:rPr>
          <w:rFonts w:hint="eastAsia" w:ascii="仿宋" w:hAnsi="仿宋" w:eastAsia="仿宋"/>
          <w:b/>
          <w:color w:val="000000"/>
          <w:sz w:val="28"/>
        </w:rPr>
        <w:t>会议以同意3票，反对0票，弃权0票的表决结果审议通过《关于作废部分已授予但尚未归属的限制性股票的议案》。</w:t>
      </w:r>
    </w:p>
    <w:p w14:paraId="0E59243A">
      <w:pPr>
        <w:spacing w:line="360" w:lineRule="auto"/>
        <w:ind w:firstLine="560" w:firstLineChars="200"/>
        <w:rPr>
          <w:rFonts w:ascii="仿宋" w:hAnsi="仿宋" w:eastAsia="仿宋"/>
          <w:color w:val="000000"/>
          <w:sz w:val="28"/>
        </w:rPr>
      </w:pPr>
      <w:r>
        <w:rPr>
          <w:rFonts w:hint="eastAsia" w:ascii="仿宋" w:hAnsi="仿宋" w:eastAsia="仿宋"/>
          <w:color w:val="000000"/>
          <w:sz w:val="28"/>
        </w:rPr>
        <w:t>根据公司经审计的2024年度财务报告，公司层面2024年业绩考核未达标，首次授予激励对象对应当年已获授但尚未解除限售的68.6805万股第二类限制性股票由公司作废。具体内容详见同日披露于巨潮资讯网（www.cninfo.com.cn）的《广东天亿马信息产业股份有限公司</w:t>
      </w:r>
      <w:r>
        <w:rPr>
          <w:rFonts w:hint="eastAsia" w:ascii="仿宋" w:hAnsi="仿宋" w:eastAsia="仿宋"/>
          <w:color w:val="000000"/>
          <w:sz w:val="28"/>
          <w:lang w:eastAsia="zh-CN"/>
        </w:rPr>
        <w:t>关</w:t>
      </w:r>
      <w:bookmarkStart w:id="0" w:name="_GoBack"/>
      <w:bookmarkEnd w:id="0"/>
      <w:r>
        <w:rPr>
          <w:rFonts w:hint="eastAsia" w:ascii="仿宋" w:hAnsi="仿宋" w:eastAsia="仿宋"/>
          <w:color w:val="000000"/>
          <w:sz w:val="28"/>
        </w:rPr>
        <w:t>于作废部分已授予但尚未归属的限制性股票的公告》（公告编号：2025-036）。</w:t>
      </w:r>
    </w:p>
    <w:p w14:paraId="5106AEAE">
      <w:pPr>
        <w:spacing w:line="360" w:lineRule="auto"/>
        <w:ind w:firstLine="560" w:firstLineChars="200"/>
        <w:rPr>
          <w:rFonts w:ascii="仿宋" w:hAnsi="仿宋" w:eastAsia="仿宋"/>
          <w:color w:val="000000"/>
          <w:sz w:val="28"/>
        </w:rPr>
      </w:pPr>
      <w:r>
        <w:rPr>
          <w:rFonts w:hint="eastAsia" w:ascii="仿宋" w:hAnsi="仿宋" w:eastAsia="仿宋"/>
          <w:color w:val="000000"/>
          <w:sz w:val="28"/>
        </w:rPr>
        <w:t>回避表决情况：董事林明玲、马学沛、马淦江、高俊斌、张毅为该议案关联方，回避表决。</w:t>
      </w:r>
    </w:p>
    <w:p w14:paraId="63AAA547">
      <w:pPr>
        <w:pStyle w:val="9"/>
        <w:numPr>
          <w:ilvl w:val="0"/>
          <w:numId w:val="1"/>
        </w:numPr>
        <w:spacing w:line="360" w:lineRule="auto"/>
        <w:ind w:firstLineChars="0"/>
        <w:outlineLvl w:val="1"/>
        <w:rPr>
          <w:rFonts w:ascii="仿宋" w:hAnsi="仿宋" w:eastAsia="仿宋"/>
          <w:b/>
          <w:color w:val="000000"/>
          <w:sz w:val="28"/>
        </w:rPr>
      </w:pPr>
      <w:r>
        <w:rPr>
          <w:rFonts w:hint="eastAsia" w:ascii="仿宋" w:hAnsi="仿宋" w:eastAsia="仿宋"/>
          <w:b/>
          <w:color w:val="000000"/>
          <w:sz w:val="28"/>
        </w:rPr>
        <w:t>会议以同意8票，反对0票，弃权0票的表决结果审议通过《关于拟减少公司注册资本并修订章程的议案》。</w:t>
      </w:r>
    </w:p>
    <w:p w14:paraId="2D2EBDDC">
      <w:pPr>
        <w:spacing w:line="360" w:lineRule="auto"/>
        <w:ind w:firstLine="560" w:firstLineChars="200"/>
        <w:rPr>
          <w:rFonts w:ascii="仿宋" w:hAnsi="仿宋" w:eastAsia="仿宋"/>
          <w:color w:val="000000"/>
          <w:sz w:val="28"/>
        </w:rPr>
      </w:pPr>
      <w:r>
        <w:rPr>
          <w:rFonts w:hint="eastAsia" w:ascii="仿宋" w:hAnsi="仿宋" w:eastAsia="仿宋"/>
          <w:color w:val="000000"/>
          <w:sz w:val="28"/>
        </w:rPr>
        <w:t>公司根据对限制性股票回购注销结果变更注册资本，授权管理层进行章程修订并办理相关工商变更登记事项。具体内容详见同日披露于巨潮资讯网（www.cninfo.com.cn）的《广东天亿马信息产业股份有限公司关于减少公司注册资本并修订章程的公告》（公告编号：2025-037）。</w:t>
      </w:r>
    </w:p>
    <w:p w14:paraId="5A63FA26">
      <w:pPr>
        <w:spacing w:line="360" w:lineRule="auto"/>
        <w:ind w:firstLine="560" w:firstLineChars="200"/>
        <w:rPr>
          <w:rFonts w:ascii="仿宋" w:hAnsi="仿宋" w:eastAsia="仿宋"/>
          <w:color w:val="000000"/>
          <w:sz w:val="28"/>
        </w:rPr>
      </w:pPr>
      <w:r>
        <w:rPr>
          <w:rFonts w:hint="eastAsia" w:ascii="仿宋" w:hAnsi="仿宋" w:eastAsia="仿宋"/>
          <w:color w:val="000000"/>
          <w:sz w:val="28"/>
        </w:rPr>
        <w:t>回避表决情况：本议案不涉及回避表决情形。</w:t>
      </w:r>
    </w:p>
    <w:p w14:paraId="15CA31EC">
      <w:pPr>
        <w:spacing w:line="360" w:lineRule="auto"/>
        <w:ind w:firstLine="560" w:firstLineChars="200"/>
        <w:rPr>
          <w:rFonts w:ascii="仿宋" w:hAnsi="仿宋" w:eastAsia="仿宋"/>
          <w:color w:val="000000"/>
          <w:sz w:val="28"/>
        </w:rPr>
      </w:pPr>
      <w:r>
        <w:rPr>
          <w:rFonts w:hint="eastAsia" w:ascii="仿宋" w:hAnsi="仿宋" w:eastAsia="仿宋"/>
          <w:color w:val="000000"/>
          <w:sz w:val="28"/>
        </w:rPr>
        <w:t>议案须提交股东会审议。</w:t>
      </w:r>
    </w:p>
    <w:p w14:paraId="49031852">
      <w:pPr>
        <w:pStyle w:val="9"/>
        <w:numPr>
          <w:ilvl w:val="0"/>
          <w:numId w:val="1"/>
        </w:numPr>
        <w:spacing w:line="360" w:lineRule="auto"/>
        <w:ind w:firstLineChars="0"/>
        <w:outlineLvl w:val="1"/>
        <w:rPr>
          <w:rFonts w:ascii="仿宋" w:hAnsi="仿宋" w:eastAsia="仿宋"/>
          <w:b/>
          <w:color w:val="000000"/>
          <w:sz w:val="28"/>
        </w:rPr>
      </w:pPr>
      <w:r>
        <w:rPr>
          <w:rFonts w:hint="eastAsia" w:ascii="仿宋" w:hAnsi="仿宋" w:eastAsia="仿宋"/>
          <w:b/>
          <w:color w:val="000000"/>
          <w:sz w:val="28"/>
        </w:rPr>
        <w:t>会议以同意8票，反对0票，弃权0票的表决结果审议通过《关于未来三年（2025-2027年）股东回报规划的议案》。</w:t>
      </w:r>
    </w:p>
    <w:p w14:paraId="6FA686B0">
      <w:pPr>
        <w:spacing w:line="360" w:lineRule="auto"/>
        <w:ind w:firstLine="560" w:firstLineChars="200"/>
        <w:rPr>
          <w:rFonts w:ascii="仿宋" w:hAnsi="仿宋" w:eastAsia="仿宋"/>
          <w:color w:val="000000"/>
          <w:sz w:val="28"/>
        </w:rPr>
      </w:pPr>
      <w:r>
        <w:rPr>
          <w:rFonts w:hint="eastAsia" w:ascii="仿宋" w:hAnsi="仿宋" w:eastAsia="仿宋"/>
          <w:color w:val="000000"/>
          <w:sz w:val="28"/>
        </w:rPr>
        <w:t>为进一步完善公司利润分配政策，建立对投资者持续、稳定、科学的回报机制，公司结合实际情况，制定了《未来三年（2025-2027年）股东分红回报规划》。具体内容详见同日披露于巨潮资讯网（www.cninfo.com.cn）的《广东天亿马信息产业股份有限公司未来三年（2025-2027年）股东分红回报规划的》（公告编号：2025-038）。</w:t>
      </w:r>
    </w:p>
    <w:p w14:paraId="383566BC">
      <w:pPr>
        <w:spacing w:line="360" w:lineRule="auto"/>
        <w:ind w:firstLine="560" w:firstLineChars="200"/>
        <w:rPr>
          <w:rFonts w:ascii="仿宋" w:hAnsi="仿宋" w:eastAsia="仿宋"/>
          <w:color w:val="000000"/>
          <w:sz w:val="28"/>
        </w:rPr>
      </w:pPr>
      <w:r>
        <w:rPr>
          <w:rFonts w:hint="eastAsia" w:ascii="仿宋" w:hAnsi="仿宋" w:eastAsia="仿宋"/>
          <w:color w:val="000000"/>
          <w:sz w:val="28"/>
        </w:rPr>
        <w:t>回避表决情况：本议案不涉及回避表决情形。</w:t>
      </w:r>
    </w:p>
    <w:p w14:paraId="42468C43">
      <w:pPr>
        <w:spacing w:line="360" w:lineRule="auto"/>
        <w:ind w:firstLine="560" w:firstLineChars="200"/>
        <w:rPr>
          <w:rFonts w:ascii="仿宋" w:hAnsi="仿宋" w:eastAsia="仿宋"/>
          <w:color w:val="000000"/>
          <w:sz w:val="28"/>
        </w:rPr>
      </w:pPr>
      <w:r>
        <w:rPr>
          <w:rFonts w:hint="eastAsia" w:ascii="仿宋" w:hAnsi="仿宋" w:eastAsia="仿宋"/>
          <w:color w:val="000000"/>
          <w:sz w:val="28"/>
        </w:rPr>
        <w:t>议案须提交股东会审议。</w:t>
      </w:r>
    </w:p>
    <w:p w14:paraId="73A50EB5">
      <w:pPr>
        <w:pStyle w:val="9"/>
        <w:numPr>
          <w:ilvl w:val="0"/>
          <w:numId w:val="1"/>
        </w:numPr>
        <w:spacing w:line="360" w:lineRule="auto"/>
        <w:ind w:firstLineChars="0"/>
        <w:outlineLvl w:val="1"/>
        <w:rPr>
          <w:rFonts w:ascii="仿宋" w:hAnsi="仿宋" w:eastAsia="仿宋"/>
          <w:b/>
          <w:color w:val="000000"/>
          <w:sz w:val="28"/>
        </w:rPr>
      </w:pPr>
      <w:r>
        <w:rPr>
          <w:rFonts w:hint="eastAsia" w:ascii="仿宋" w:hAnsi="仿宋" w:eastAsia="仿宋"/>
          <w:b/>
          <w:color w:val="000000"/>
          <w:sz w:val="28"/>
        </w:rPr>
        <w:t>会议以同意8票，反对0票，弃权0票的表决结果审议通过《关于提请召开公司2024年年度股东会的议案》。</w:t>
      </w:r>
    </w:p>
    <w:p w14:paraId="57992A07">
      <w:pPr>
        <w:spacing w:line="360" w:lineRule="auto"/>
        <w:ind w:firstLine="560" w:firstLineChars="200"/>
        <w:rPr>
          <w:rFonts w:ascii="仿宋" w:hAnsi="仿宋" w:eastAsia="仿宋"/>
          <w:color w:val="000000"/>
          <w:sz w:val="28"/>
        </w:rPr>
      </w:pPr>
      <w:r>
        <w:rPr>
          <w:rFonts w:hint="eastAsia" w:ascii="仿宋" w:hAnsi="仿宋" w:eastAsia="仿宋"/>
          <w:color w:val="000000"/>
          <w:sz w:val="28"/>
        </w:rPr>
        <w:t>鉴于本次董事会会议审议通过的有关议案仍需提交公司股东会审议，董事会拟定于2025年5月13日在公司会议室召开2024年年度股东会。具体内容详见同日披露于巨潮资讯网（www.cninfo.com.cn）的《广东天亿马信息产业股份有限公司关于召开2024年年度股东会的通知公告》（公告编号：2025-039）。</w:t>
      </w:r>
    </w:p>
    <w:p w14:paraId="281BF3F3">
      <w:pPr>
        <w:spacing w:line="360" w:lineRule="auto"/>
        <w:ind w:firstLine="560" w:firstLineChars="200"/>
        <w:rPr>
          <w:rFonts w:ascii="仿宋" w:hAnsi="仿宋" w:eastAsia="仿宋"/>
          <w:color w:val="000000"/>
          <w:sz w:val="28"/>
        </w:rPr>
      </w:pPr>
      <w:r>
        <w:rPr>
          <w:rFonts w:hint="eastAsia" w:ascii="仿宋" w:hAnsi="仿宋" w:eastAsia="仿宋"/>
          <w:color w:val="000000"/>
          <w:sz w:val="28"/>
        </w:rPr>
        <w:t>回避表决情况：本议案不涉及回避表决情形。</w:t>
      </w:r>
    </w:p>
    <w:p w14:paraId="21336A5F">
      <w:pPr>
        <w:spacing w:line="360" w:lineRule="auto"/>
        <w:ind w:firstLine="562" w:firstLineChars="200"/>
        <w:outlineLvl w:val="0"/>
        <w:rPr>
          <w:rFonts w:ascii="仿宋" w:hAnsi="仿宋" w:eastAsia="仿宋"/>
          <w:b/>
          <w:color w:val="000000"/>
          <w:sz w:val="28"/>
        </w:rPr>
      </w:pPr>
      <w:r>
        <w:rPr>
          <w:rFonts w:hint="eastAsia" w:ascii="仿宋" w:hAnsi="仿宋" w:eastAsia="仿宋"/>
          <w:b/>
          <w:color w:val="000000"/>
          <w:sz w:val="28"/>
        </w:rPr>
        <w:t>三、备查文件</w:t>
      </w:r>
    </w:p>
    <w:p w14:paraId="0591F214">
      <w:pPr>
        <w:spacing w:line="360" w:lineRule="auto"/>
        <w:ind w:firstLine="560" w:firstLineChars="200"/>
        <w:rPr>
          <w:rFonts w:ascii="仿宋" w:hAnsi="仿宋" w:eastAsia="仿宋"/>
          <w:color w:val="000000"/>
          <w:sz w:val="28"/>
        </w:rPr>
      </w:pPr>
      <w:r>
        <w:rPr>
          <w:rFonts w:hint="eastAsia" w:ascii="仿宋" w:hAnsi="仿宋" w:eastAsia="仿宋"/>
          <w:color w:val="000000"/>
          <w:sz w:val="28"/>
        </w:rPr>
        <w:t>（一）《广东天亿马信息产业股份有限公司第三届董事会第三十次会议决议》；</w:t>
      </w:r>
    </w:p>
    <w:p w14:paraId="6A36742C">
      <w:pPr>
        <w:spacing w:line="360" w:lineRule="auto"/>
        <w:ind w:firstLine="560" w:firstLineChars="200"/>
        <w:rPr>
          <w:rFonts w:ascii="仿宋" w:hAnsi="仿宋" w:eastAsia="仿宋"/>
          <w:color w:val="000000"/>
          <w:sz w:val="28"/>
        </w:rPr>
      </w:pPr>
      <w:r>
        <w:rPr>
          <w:rFonts w:hint="eastAsia" w:ascii="仿宋" w:hAnsi="仿宋" w:eastAsia="仿宋"/>
          <w:color w:val="000000"/>
          <w:sz w:val="28"/>
        </w:rPr>
        <w:t>（二）《广东天亿马信息产业股份有限公司第三届董事会第三次独立董事专门会议决议》；</w:t>
      </w:r>
    </w:p>
    <w:p w14:paraId="76062894">
      <w:pPr>
        <w:spacing w:line="360" w:lineRule="auto"/>
        <w:ind w:firstLine="560" w:firstLineChars="200"/>
        <w:rPr>
          <w:rFonts w:ascii="仿宋" w:hAnsi="仿宋" w:eastAsia="仿宋"/>
          <w:color w:val="000000"/>
          <w:sz w:val="28"/>
        </w:rPr>
      </w:pPr>
      <w:r>
        <w:rPr>
          <w:rFonts w:hint="eastAsia" w:ascii="仿宋" w:hAnsi="仿宋" w:eastAsia="仿宋"/>
          <w:color w:val="000000"/>
          <w:sz w:val="28"/>
        </w:rPr>
        <w:t>（三）五矿证券有限公司出具的相关核查意见；</w:t>
      </w:r>
    </w:p>
    <w:p w14:paraId="169DD704">
      <w:pPr>
        <w:spacing w:line="360" w:lineRule="auto"/>
        <w:ind w:firstLine="560" w:firstLineChars="200"/>
        <w:rPr>
          <w:rFonts w:ascii="仿宋" w:hAnsi="仿宋" w:eastAsia="仿宋"/>
          <w:color w:val="000000"/>
          <w:sz w:val="28"/>
        </w:rPr>
      </w:pPr>
      <w:r>
        <w:rPr>
          <w:rFonts w:hint="eastAsia" w:ascii="仿宋" w:hAnsi="仿宋" w:eastAsia="仿宋"/>
          <w:color w:val="000000"/>
          <w:sz w:val="28"/>
        </w:rPr>
        <w:t>（四）中审亚太会计师事务所（特殊普通合伙）出具的相关报告。</w:t>
      </w:r>
    </w:p>
    <w:p w14:paraId="04CCEE68">
      <w:pPr>
        <w:spacing w:line="360" w:lineRule="auto"/>
        <w:ind w:firstLine="560" w:firstLineChars="200"/>
        <w:rPr>
          <w:rFonts w:ascii="仿宋" w:hAnsi="仿宋" w:eastAsia="仿宋"/>
          <w:color w:val="000000"/>
          <w:sz w:val="28"/>
        </w:rPr>
      </w:pPr>
      <w:r>
        <w:rPr>
          <w:rFonts w:hint="eastAsia" w:ascii="仿宋" w:hAnsi="仿宋" w:eastAsia="仿宋"/>
          <w:color w:val="000000"/>
          <w:sz w:val="28"/>
        </w:rPr>
        <w:t>特此公告。</w:t>
      </w:r>
    </w:p>
    <w:p w14:paraId="043FA4E1">
      <w:pPr>
        <w:spacing w:before="156" w:beforeLines="50" w:line="360" w:lineRule="auto"/>
        <w:ind w:firstLine="560" w:firstLineChars="200"/>
        <w:jc w:val="right"/>
        <w:rPr>
          <w:rFonts w:ascii="仿宋" w:hAnsi="仿宋" w:eastAsia="仿宋"/>
          <w:sz w:val="28"/>
        </w:rPr>
      </w:pPr>
      <w:r>
        <w:rPr>
          <w:rFonts w:hint="eastAsia" w:ascii="仿宋" w:hAnsi="仿宋" w:eastAsia="仿宋"/>
          <w:sz w:val="28"/>
        </w:rPr>
        <w:t>广东天亿马信息产业股份有限公司</w:t>
      </w:r>
    </w:p>
    <w:p w14:paraId="160822D5">
      <w:pPr>
        <w:spacing w:before="156" w:beforeLines="50" w:line="360" w:lineRule="auto"/>
        <w:ind w:firstLine="560" w:firstLineChars="200"/>
        <w:jc w:val="right"/>
        <w:rPr>
          <w:rFonts w:ascii="仿宋" w:hAnsi="仿宋" w:eastAsia="仿宋"/>
          <w:sz w:val="28"/>
        </w:rPr>
      </w:pPr>
      <w:r>
        <w:rPr>
          <w:rFonts w:hint="eastAsia" w:ascii="仿宋" w:hAnsi="仿宋" w:eastAsia="仿宋"/>
          <w:sz w:val="28"/>
        </w:rPr>
        <w:t>董事会</w:t>
      </w:r>
    </w:p>
    <w:p w14:paraId="36C59E58">
      <w:pPr>
        <w:wordWrap w:val="0"/>
        <w:spacing w:before="156" w:beforeLines="50" w:line="360" w:lineRule="auto"/>
        <w:ind w:firstLine="560" w:firstLineChars="200"/>
        <w:jc w:val="right"/>
      </w:pPr>
      <w:r>
        <w:rPr>
          <w:rFonts w:hint="eastAsia" w:ascii="仿宋" w:hAnsi="仿宋" w:eastAsia="仿宋"/>
          <w:sz w:val="28"/>
          <w:szCs w:val="28"/>
        </w:rPr>
        <w:t>2025年4月22日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1E062D"/>
    <w:multiLevelType w:val="multilevel"/>
    <w:tmpl w:val="771E062D"/>
    <w:lvl w:ilvl="0" w:tentative="0">
      <w:start w:val="1"/>
      <w:numFmt w:val="chineseCountingThousand"/>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25D6"/>
    <w:rsid w:val="00000305"/>
    <w:rsid w:val="00000799"/>
    <w:rsid w:val="00004A0A"/>
    <w:rsid w:val="0000574E"/>
    <w:rsid w:val="00010942"/>
    <w:rsid w:val="000115FA"/>
    <w:rsid w:val="0001645F"/>
    <w:rsid w:val="00020418"/>
    <w:rsid w:val="00022B4C"/>
    <w:rsid w:val="000333CD"/>
    <w:rsid w:val="00040196"/>
    <w:rsid w:val="000409D0"/>
    <w:rsid w:val="000456B2"/>
    <w:rsid w:val="00050890"/>
    <w:rsid w:val="00054F3D"/>
    <w:rsid w:val="00057CFB"/>
    <w:rsid w:val="000635E5"/>
    <w:rsid w:val="000752E6"/>
    <w:rsid w:val="00093C2E"/>
    <w:rsid w:val="000A1A88"/>
    <w:rsid w:val="000A346E"/>
    <w:rsid w:val="000A500A"/>
    <w:rsid w:val="000A635F"/>
    <w:rsid w:val="000A6B03"/>
    <w:rsid w:val="000A74D0"/>
    <w:rsid w:val="000B29C8"/>
    <w:rsid w:val="000D0FD9"/>
    <w:rsid w:val="000D7768"/>
    <w:rsid w:val="000E085E"/>
    <w:rsid w:val="000E0AEA"/>
    <w:rsid w:val="000E798E"/>
    <w:rsid w:val="000F278A"/>
    <w:rsid w:val="0010538A"/>
    <w:rsid w:val="00115B3D"/>
    <w:rsid w:val="0012376A"/>
    <w:rsid w:val="00123B7B"/>
    <w:rsid w:val="00126F57"/>
    <w:rsid w:val="001323A3"/>
    <w:rsid w:val="0014600D"/>
    <w:rsid w:val="00146BBF"/>
    <w:rsid w:val="00153E5F"/>
    <w:rsid w:val="0016243B"/>
    <w:rsid w:val="00172917"/>
    <w:rsid w:val="00180EFA"/>
    <w:rsid w:val="00185D82"/>
    <w:rsid w:val="00191CBC"/>
    <w:rsid w:val="00196FFE"/>
    <w:rsid w:val="001A223E"/>
    <w:rsid w:val="001A4775"/>
    <w:rsid w:val="001A725F"/>
    <w:rsid w:val="001B135D"/>
    <w:rsid w:val="001B3E1C"/>
    <w:rsid w:val="001B49ED"/>
    <w:rsid w:val="001C3D16"/>
    <w:rsid w:val="001C53F6"/>
    <w:rsid w:val="001D0616"/>
    <w:rsid w:val="001D12F9"/>
    <w:rsid w:val="001D68AD"/>
    <w:rsid w:val="001F44B9"/>
    <w:rsid w:val="00201335"/>
    <w:rsid w:val="00202F1C"/>
    <w:rsid w:val="0020322E"/>
    <w:rsid w:val="002075FE"/>
    <w:rsid w:val="00211186"/>
    <w:rsid w:val="00215315"/>
    <w:rsid w:val="002316A8"/>
    <w:rsid w:val="00254CF1"/>
    <w:rsid w:val="00260138"/>
    <w:rsid w:val="002662F9"/>
    <w:rsid w:val="0027452B"/>
    <w:rsid w:val="00277E56"/>
    <w:rsid w:val="00282FE0"/>
    <w:rsid w:val="002938AE"/>
    <w:rsid w:val="00293AFB"/>
    <w:rsid w:val="00294006"/>
    <w:rsid w:val="00295B78"/>
    <w:rsid w:val="002A024F"/>
    <w:rsid w:val="002A0568"/>
    <w:rsid w:val="002A22FC"/>
    <w:rsid w:val="002A2D8D"/>
    <w:rsid w:val="002A3A41"/>
    <w:rsid w:val="002A4524"/>
    <w:rsid w:val="002B57E6"/>
    <w:rsid w:val="002B6900"/>
    <w:rsid w:val="002C0525"/>
    <w:rsid w:val="002C1DAF"/>
    <w:rsid w:val="002C27F6"/>
    <w:rsid w:val="002C4D52"/>
    <w:rsid w:val="002E46F5"/>
    <w:rsid w:val="002E482C"/>
    <w:rsid w:val="002E488C"/>
    <w:rsid w:val="002E4DAC"/>
    <w:rsid w:val="002E660F"/>
    <w:rsid w:val="002E7DE1"/>
    <w:rsid w:val="002F023C"/>
    <w:rsid w:val="00311579"/>
    <w:rsid w:val="00311C74"/>
    <w:rsid w:val="00320F97"/>
    <w:rsid w:val="003230D8"/>
    <w:rsid w:val="00324ACD"/>
    <w:rsid w:val="00326C36"/>
    <w:rsid w:val="00326C7D"/>
    <w:rsid w:val="00341771"/>
    <w:rsid w:val="003634D6"/>
    <w:rsid w:val="00364665"/>
    <w:rsid w:val="00374839"/>
    <w:rsid w:val="00374A27"/>
    <w:rsid w:val="00374B27"/>
    <w:rsid w:val="00376731"/>
    <w:rsid w:val="003909FB"/>
    <w:rsid w:val="00393063"/>
    <w:rsid w:val="003976C7"/>
    <w:rsid w:val="00397B0C"/>
    <w:rsid w:val="003A22BC"/>
    <w:rsid w:val="003B1850"/>
    <w:rsid w:val="003B3D27"/>
    <w:rsid w:val="003B56C0"/>
    <w:rsid w:val="003B7540"/>
    <w:rsid w:val="003B7CB6"/>
    <w:rsid w:val="003C3B3F"/>
    <w:rsid w:val="003D048C"/>
    <w:rsid w:val="003D1811"/>
    <w:rsid w:val="003D5BFD"/>
    <w:rsid w:val="003D6EE6"/>
    <w:rsid w:val="003E0DAE"/>
    <w:rsid w:val="003F398C"/>
    <w:rsid w:val="003F4BF1"/>
    <w:rsid w:val="003F735E"/>
    <w:rsid w:val="003F7AA3"/>
    <w:rsid w:val="004007A8"/>
    <w:rsid w:val="00401C45"/>
    <w:rsid w:val="00404A85"/>
    <w:rsid w:val="004155B9"/>
    <w:rsid w:val="0041743E"/>
    <w:rsid w:val="004261B1"/>
    <w:rsid w:val="00434D38"/>
    <w:rsid w:val="00436378"/>
    <w:rsid w:val="0046006C"/>
    <w:rsid w:val="0046137B"/>
    <w:rsid w:val="004643B8"/>
    <w:rsid w:val="00467566"/>
    <w:rsid w:val="00467BB0"/>
    <w:rsid w:val="00467CA7"/>
    <w:rsid w:val="004740F0"/>
    <w:rsid w:val="00480E8F"/>
    <w:rsid w:val="0048358F"/>
    <w:rsid w:val="00487019"/>
    <w:rsid w:val="00487270"/>
    <w:rsid w:val="004875CF"/>
    <w:rsid w:val="00490E37"/>
    <w:rsid w:val="004940DD"/>
    <w:rsid w:val="00495B16"/>
    <w:rsid w:val="004B4474"/>
    <w:rsid w:val="004B5746"/>
    <w:rsid w:val="004B7960"/>
    <w:rsid w:val="004B7DB7"/>
    <w:rsid w:val="004C20AB"/>
    <w:rsid w:val="004C3CEB"/>
    <w:rsid w:val="004D66E7"/>
    <w:rsid w:val="004E020E"/>
    <w:rsid w:val="004E045F"/>
    <w:rsid w:val="004E2EBC"/>
    <w:rsid w:val="004E3721"/>
    <w:rsid w:val="004E58FC"/>
    <w:rsid w:val="004F1938"/>
    <w:rsid w:val="004F3542"/>
    <w:rsid w:val="004F4C5C"/>
    <w:rsid w:val="0051040B"/>
    <w:rsid w:val="00514AFD"/>
    <w:rsid w:val="005154B9"/>
    <w:rsid w:val="00523FCE"/>
    <w:rsid w:val="00525B16"/>
    <w:rsid w:val="005260DE"/>
    <w:rsid w:val="00527B86"/>
    <w:rsid w:val="0054300F"/>
    <w:rsid w:val="00543845"/>
    <w:rsid w:val="00544C83"/>
    <w:rsid w:val="00546B5C"/>
    <w:rsid w:val="00547B1F"/>
    <w:rsid w:val="00550D66"/>
    <w:rsid w:val="00551A43"/>
    <w:rsid w:val="005551E5"/>
    <w:rsid w:val="00574C4A"/>
    <w:rsid w:val="005822B3"/>
    <w:rsid w:val="00592484"/>
    <w:rsid w:val="005A269A"/>
    <w:rsid w:val="005A52B3"/>
    <w:rsid w:val="005B75A3"/>
    <w:rsid w:val="005B7B9A"/>
    <w:rsid w:val="005C793F"/>
    <w:rsid w:val="005E44DD"/>
    <w:rsid w:val="005E68BD"/>
    <w:rsid w:val="005F002C"/>
    <w:rsid w:val="005F1EB1"/>
    <w:rsid w:val="005F30BE"/>
    <w:rsid w:val="005F4964"/>
    <w:rsid w:val="00604396"/>
    <w:rsid w:val="006267AD"/>
    <w:rsid w:val="0062714C"/>
    <w:rsid w:val="00630594"/>
    <w:rsid w:val="006409B6"/>
    <w:rsid w:val="006454AB"/>
    <w:rsid w:val="0065310A"/>
    <w:rsid w:val="0065589A"/>
    <w:rsid w:val="00657000"/>
    <w:rsid w:val="00661A45"/>
    <w:rsid w:val="006677DC"/>
    <w:rsid w:val="0067268D"/>
    <w:rsid w:val="006737FE"/>
    <w:rsid w:val="00690215"/>
    <w:rsid w:val="006A426D"/>
    <w:rsid w:val="006B1693"/>
    <w:rsid w:val="006B1C5D"/>
    <w:rsid w:val="006B2660"/>
    <w:rsid w:val="006D26DE"/>
    <w:rsid w:val="006D40AC"/>
    <w:rsid w:val="006D6BD0"/>
    <w:rsid w:val="006E26FF"/>
    <w:rsid w:val="006F12F5"/>
    <w:rsid w:val="006F164A"/>
    <w:rsid w:val="006F643B"/>
    <w:rsid w:val="00711987"/>
    <w:rsid w:val="00712AEC"/>
    <w:rsid w:val="00713528"/>
    <w:rsid w:val="00720341"/>
    <w:rsid w:val="00721640"/>
    <w:rsid w:val="00721A29"/>
    <w:rsid w:val="007221E0"/>
    <w:rsid w:val="00724DEC"/>
    <w:rsid w:val="007260E5"/>
    <w:rsid w:val="0072767F"/>
    <w:rsid w:val="00750CB5"/>
    <w:rsid w:val="00757644"/>
    <w:rsid w:val="00764A97"/>
    <w:rsid w:val="007673FD"/>
    <w:rsid w:val="00771F22"/>
    <w:rsid w:val="007756F9"/>
    <w:rsid w:val="007774D0"/>
    <w:rsid w:val="00777893"/>
    <w:rsid w:val="00783016"/>
    <w:rsid w:val="007A0A80"/>
    <w:rsid w:val="007A2F28"/>
    <w:rsid w:val="007A3E70"/>
    <w:rsid w:val="007A554B"/>
    <w:rsid w:val="007B732A"/>
    <w:rsid w:val="007C689B"/>
    <w:rsid w:val="007C6D84"/>
    <w:rsid w:val="007D1DF9"/>
    <w:rsid w:val="007D3793"/>
    <w:rsid w:val="007E141C"/>
    <w:rsid w:val="007E1AB4"/>
    <w:rsid w:val="007E25D6"/>
    <w:rsid w:val="007E5B09"/>
    <w:rsid w:val="007F2435"/>
    <w:rsid w:val="007F398C"/>
    <w:rsid w:val="007F5F27"/>
    <w:rsid w:val="007F7CE2"/>
    <w:rsid w:val="00804B4B"/>
    <w:rsid w:val="00812DCA"/>
    <w:rsid w:val="00813D5E"/>
    <w:rsid w:val="008148E3"/>
    <w:rsid w:val="00817B7B"/>
    <w:rsid w:val="00824461"/>
    <w:rsid w:val="008329E4"/>
    <w:rsid w:val="00840A3A"/>
    <w:rsid w:val="00850CD0"/>
    <w:rsid w:val="008576DC"/>
    <w:rsid w:val="00863B9D"/>
    <w:rsid w:val="00865A32"/>
    <w:rsid w:val="008714C4"/>
    <w:rsid w:val="00873661"/>
    <w:rsid w:val="00884B9F"/>
    <w:rsid w:val="00890137"/>
    <w:rsid w:val="00892627"/>
    <w:rsid w:val="0089341F"/>
    <w:rsid w:val="00895942"/>
    <w:rsid w:val="008A7E29"/>
    <w:rsid w:val="008B27AD"/>
    <w:rsid w:val="008B3A66"/>
    <w:rsid w:val="008B4A12"/>
    <w:rsid w:val="008B6EE8"/>
    <w:rsid w:val="008B7754"/>
    <w:rsid w:val="008C0558"/>
    <w:rsid w:val="008C1839"/>
    <w:rsid w:val="008C5940"/>
    <w:rsid w:val="008D0D5C"/>
    <w:rsid w:val="008D2401"/>
    <w:rsid w:val="008E71C1"/>
    <w:rsid w:val="008F1CA2"/>
    <w:rsid w:val="009108BA"/>
    <w:rsid w:val="009114A1"/>
    <w:rsid w:val="00921C08"/>
    <w:rsid w:val="00926350"/>
    <w:rsid w:val="0092697E"/>
    <w:rsid w:val="009362BE"/>
    <w:rsid w:val="00942A2A"/>
    <w:rsid w:val="00945A59"/>
    <w:rsid w:val="0094658A"/>
    <w:rsid w:val="00950A53"/>
    <w:rsid w:val="00952A7D"/>
    <w:rsid w:val="0095549D"/>
    <w:rsid w:val="00956491"/>
    <w:rsid w:val="00961868"/>
    <w:rsid w:val="0096660C"/>
    <w:rsid w:val="0096723A"/>
    <w:rsid w:val="009719A5"/>
    <w:rsid w:val="00976D06"/>
    <w:rsid w:val="009777CC"/>
    <w:rsid w:val="00982677"/>
    <w:rsid w:val="00987069"/>
    <w:rsid w:val="00992A0E"/>
    <w:rsid w:val="009A38C1"/>
    <w:rsid w:val="009A3C44"/>
    <w:rsid w:val="009B1D3C"/>
    <w:rsid w:val="009B209A"/>
    <w:rsid w:val="009B2108"/>
    <w:rsid w:val="009B7637"/>
    <w:rsid w:val="009C4D9E"/>
    <w:rsid w:val="009C54B5"/>
    <w:rsid w:val="009D3553"/>
    <w:rsid w:val="009D5F00"/>
    <w:rsid w:val="009E60D2"/>
    <w:rsid w:val="009F186C"/>
    <w:rsid w:val="009F1BF7"/>
    <w:rsid w:val="009F1DEE"/>
    <w:rsid w:val="009F38D5"/>
    <w:rsid w:val="009F46B8"/>
    <w:rsid w:val="009F697D"/>
    <w:rsid w:val="009F79BE"/>
    <w:rsid w:val="00A00AC3"/>
    <w:rsid w:val="00A14CFC"/>
    <w:rsid w:val="00A16667"/>
    <w:rsid w:val="00A20D1B"/>
    <w:rsid w:val="00A31466"/>
    <w:rsid w:val="00A337E1"/>
    <w:rsid w:val="00A53335"/>
    <w:rsid w:val="00A556E3"/>
    <w:rsid w:val="00A55D42"/>
    <w:rsid w:val="00A5615D"/>
    <w:rsid w:val="00A5669B"/>
    <w:rsid w:val="00A56898"/>
    <w:rsid w:val="00A606EB"/>
    <w:rsid w:val="00A607CA"/>
    <w:rsid w:val="00A67512"/>
    <w:rsid w:val="00A70AD3"/>
    <w:rsid w:val="00A77C92"/>
    <w:rsid w:val="00A825D6"/>
    <w:rsid w:val="00A86358"/>
    <w:rsid w:val="00AB04A1"/>
    <w:rsid w:val="00AB070B"/>
    <w:rsid w:val="00AB592D"/>
    <w:rsid w:val="00AB60FF"/>
    <w:rsid w:val="00AB6A5D"/>
    <w:rsid w:val="00AC190B"/>
    <w:rsid w:val="00AC296B"/>
    <w:rsid w:val="00AD1570"/>
    <w:rsid w:val="00AD233D"/>
    <w:rsid w:val="00AD3432"/>
    <w:rsid w:val="00AD608A"/>
    <w:rsid w:val="00AE14DB"/>
    <w:rsid w:val="00AE1EF7"/>
    <w:rsid w:val="00AE26AD"/>
    <w:rsid w:val="00AE4FFF"/>
    <w:rsid w:val="00AF0D1C"/>
    <w:rsid w:val="00AF3395"/>
    <w:rsid w:val="00B01CD1"/>
    <w:rsid w:val="00B042F5"/>
    <w:rsid w:val="00B05AFF"/>
    <w:rsid w:val="00B1311F"/>
    <w:rsid w:val="00B209AA"/>
    <w:rsid w:val="00B237FF"/>
    <w:rsid w:val="00B24CC0"/>
    <w:rsid w:val="00B25F1B"/>
    <w:rsid w:val="00B2778B"/>
    <w:rsid w:val="00B31C12"/>
    <w:rsid w:val="00B36FA1"/>
    <w:rsid w:val="00B43F0B"/>
    <w:rsid w:val="00B54223"/>
    <w:rsid w:val="00B55D62"/>
    <w:rsid w:val="00B638AC"/>
    <w:rsid w:val="00B67264"/>
    <w:rsid w:val="00B77D13"/>
    <w:rsid w:val="00B90B79"/>
    <w:rsid w:val="00B90B8D"/>
    <w:rsid w:val="00B92FAE"/>
    <w:rsid w:val="00B94923"/>
    <w:rsid w:val="00BA1AA9"/>
    <w:rsid w:val="00BA3AFB"/>
    <w:rsid w:val="00BA703F"/>
    <w:rsid w:val="00BB0B2F"/>
    <w:rsid w:val="00BB2B65"/>
    <w:rsid w:val="00BB5A92"/>
    <w:rsid w:val="00BB65E8"/>
    <w:rsid w:val="00BC3688"/>
    <w:rsid w:val="00BC469F"/>
    <w:rsid w:val="00BC5ECF"/>
    <w:rsid w:val="00BD1BE7"/>
    <w:rsid w:val="00BD253D"/>
    <w:rsid w:val="00BE09AD"/>
    <w:rsid w:val="00BE2F4C"/>
    <w:rsid w:val="00BE3F76"/>
    <w:rsid w:val="00BE7124"/>
    <w:rsid w:val="00BF40A6"/>
    <w:rsid w:val="00C070BC"/>
    <w:rsid w:val="00C07182"/>
    <w:rsid w:val="00C07D9D"/>
    <w:rsid w:val="00C07FFE"/>
    <w:rsid w:val="00C12831"/>
    <w:rsid w:val="00C13770"/>
    <w:rsid w:val="00C17C69"/>
    <w:rsid w:val="00C21497"/>
    <w:rsid w:val="00C328A9"/>
    <w:rsid w:val="00C3401C"/>
    <w:rsid w:val="00C3425D"/>
    <w:rsid w:val="00C53253"/>
    <w:rsid w:val="00C62137"/>
    <w:rsid w:val="00C737A2"/>
    <w:rsid w:val="00C8316E"/>
    <w:rsid w:val="00C83545"/>
    <w:rsid w:val="00C9332A"/>
    <w:rsid w:val="00CA4FB7"/>
    <w:rsid w:val="00CB0268"/>
    <w:rsid w:val="00CB04BD"/>
    <w:rsid w:val="00CB3ADE"/>
    <w:rsid w:val="00CB7C10"/>
    <w:rsid w:val="00CC724F"/>
    <w:rsid w:val="00CD3315"/>
    <w:rsid w:val="00CD3CE5"/>
    <w:rsid w:val="00CD6E19"/>
    <w:rsid w:val="00CE1948"/>
    <w:rsid w:val="00CE34AD"/>
    <w:rsid w:val="00CE5553"/>
    <w:rsid w:val="00CE68CD"/>
    <w:rsid w:val="00CF0C5A"/>
    <w:rsid w:val="00CF266B"/>
    <w:rsid w:val="00D03761"/>
    <w:rsid w:val="00D10363"/>
    <w:rsid w:val="00D105DE"/>
    <w:rsid w:val="00D11D5A"/>
    <w:rsid w:val="00D14316"/>
    <w:rsid w:val="00D16F21"/>
    <w:rsid w:val="00D23B40"/>
    <w:rsid w:val="00D416A8"/>
    <w:rsid w:val="00D44602"/>
    <w:rsid w:val="00D453BC"/>
    <w:rsid w:val="00D453FD"/>
    <w:rsid w:val="00D46E5C"/>
    <w:rsid w:val="00D47187"/>
    <w:rsid w:val="00D609F3"/>
    <w:rsid w:val="00D6136C"/>
    <w:rsid w:val="00D6390C"/>
    <w:rsid w:val="00D6585C"/>
    <w:rsid w:val="00D65C41"/>
    <w:rsid w:val="00D70BDB"/>
    <w:rsid w:val="00D73CF9"/>
    <w:rsid w:val="00D75B87"/>
    <w:rsid w:val="00D85C44"/>
    <w:rsid w:val="00D86CF0"/>
    <w:rsid w:val="00D9187B"/>
    <w:rsid w:val="00D932DB"/>
    <w:rsid w:val="00DA2D1D"/>
    <w:rsid w:val="00DA7113"/>
    <w:rsid w:val="00DB2257"/>
    <w:rsid w:val="00DB33E5"/>
    <w:rsid w:val="00DB73CE"/>
    <w:rsid w:val="00DD194E"/>
    <w:rsid w:val="00DD286F"/>
    <w:rsid w:val="00DD2AD8"/>
    <w:rsid w:val="00DD37D1"/>
    <w:rsid w:val="00DD6DB0"/>
    <w:rsid w:val="00DD760E"/>
    <w:rsid w:val="00DF0A29"/>
    <w:rsid w:val="00DF26E4"/>
    <w:rsid w:val="00DF2889"/>
    <w:rsid w:val="00DF2D38"/>
    <w:rsid w:val="00DF48B6"/>
    <w:rsid w:val="00E01143"/>
    <w:rsid w:val="00E016FA"/>
    <w:rsid w:val="00E01CA7"/>
    <w:rsid w:val="00E05523"/>
    <w:rsid w:val="00E05659"/>
    <w:rsid w:val="00E2099D"/>
    <w:rsid w:val="00E3370E"/>
    <w:rsid w:val="00E352E6"/>
    <w:rsid w:val="00E3683C"/>
    <w:rsid w:val="00E37271"/>
    <w:rsid w:val="00E415C1"/>
    <w:rsid w:val="00E42C99"/>
    <w:rsid w:val="00E50460"/>
    <w:rsid w:val="00E5744B"/>
    <w:rsid w:val="00E67D1A"/>
    <w:rsid w:val="00E77707"/>
    <w:rsid w:val="00E834A7"/>
    <w:rsid w:val="00E844CD"/>
    <w:rsid w:val="00E84F4E"/>
    <w:rsid w:val="00E87496"/>
    <w:rsid w:val="00E96330"/>
    <w:rsid w:val="00EB15BF"/>
    <w:rsid w:val="00EB4EE7"/>
    <w:rsid w:val="00EB4F20"/>
    <w:rsid w:val="00EC009F"/>
    <w:rsid w:val="00EC20BC"/>
    <w:rsid w:val="00EC2BE0"/>
    <w:rsid w:val="00EC50B4"/>
    <w:rsid w:val="00EC5ABD"/>
    <w:rsid w:val="00EC654E"/>
    <w:rsid w:val="00ED3F41"/>
    <w:rsid w:val="00ED4E05"/>
    <w:rsid w:val="00ED580F"/>
    <w:rsid w:val="00EE181C"/>
    <w:rsid w:val="00EE3E1B"/>
    <w:rsid w:val="00EF52DF"/>
    <w:rsid w:val="00F057CE"/>
    <w:rsid w:val="00F10BF1"/>
    <w:rsid w:val="00F10E23"/>
    <w:rsid w:val="00F13B73"/>
    <w:rsid w:val="00F13DF7"/>
    <w:rsid w:val="00F15F3A"/>
    <w:rsid w:val="00F16CBA"/>
    <w:rsid w:val="00F22C9F"/>
    <w:rsid w:val="00F25110"/>
    <w:rsid w:val="00F370D6"/>
    <w:rsid w:val="00F42E7E"/>
    <w:rsid w:val="00F43FD4"/>
    <w:rsid w:val="00F53001"/>
    <w:rsid w:val="00F62C4E"/>
    <w:rsid w:val="00F632F3"/>
    <w:rsid w:val="00F709E5"/>
    <w:rsid w:val="00F75153"/>
    <w:rsid w:val="00F77C16"/>
    <w:rsid w:val="00F8386D"/>
    <w:rsid w:val="00F902F4"/>
    <w:rsid w:val="00F92943"/>
    <w:rsid w:val="00F969D7"/>
    <w:rsid w:val="00FA488C"/>
    <w:rsid w:val="00FA52C2"/>
    <w:rsid w:val="00FB0778"/>
    <w:rsid w:val="00FB7742"/>
    <w:rsid w:val="00FC0A01"/>
    <w:rsid w:val="00FC5F84"/>
    <w:rsid w:val="00FC7FA0"/>
    <w:rsid w:val="00FD0E1D"/>
    <w:rsid w:val="00FD3417"/>
    <w:rsid w:val="00FD5E77"/>
    <w:rsid w:val="00FE0D26"/>
    <w:rsid w:val="00FF1EEC"/>
    <w:rsid w:val="00FF2735"/>
    <w:rsid w:val="00FF3453"/>
    <w:rsid w:val="00FF7C54"/>
    <w:rsid w:val="00FF7F47"/>
    <w:rsid w:val="0975784A"/>
    <w:rsid w:val="682C2920"/>
    <w:rsid w:val="7C707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paragraph" w:styleId="9">
    <w:name w:val="List Paragraph"/>
    <w:basedOn w:val="1"/>
    <w:qFormat/>
    <w:uiPriority w:val="34"/>
    <w:pPr>
      <w:ind w:firstLine="420" w:firstLineChars="200"/>
    </w:pPr>
  </w:style>
  <w:style w:type="character" w:customStyle="1" w:styleId="10">
    <w:name w:val="批注框文本 Char"/>
    <w:basedOn w:val="6"/>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Collection xmlns="http://www.yonyou.com/datasource"/>
</file>

<file path=customXml/item2.xml><?xml version="1.0" encoding="utf-8"?>
<relations xmlns="http://www.yonyou.com/relation"/>
</file>

<file path=customXml/itemProps1.xml><?xml version="1.0" encoding="utf-8"?>
<ds:datastoreItem xmlns:ds="http://schemas.openxmlformats.org/officeDocument/2006/customXml" ds:itemID="{93BF0C72-76CC-408E-BBFD-2C6622C66155}">
  <ds:schemaRefs/>
</ds:datastoreItem>
</file>

<file path=customXml/itemProps2.xml><?xml version="1.0" encoding="utf-8"?>
<ds:datastoreItem xmlns:ds="http://schemas.openxmlformats.org/officeDocument/2006/customXml" ds:itemID="{92357E4A-B128-4822-898F-2731E4286357}">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Pages>
  <Words>5573</Words>
  <Characters>6219</Characters>
  <Lines>44</Lines>
  <Paragraphs>12</Paragraphs>
  <TotalTime>267</TotalTime>
  <ScaleCrop>false</ScaleCrop>
  <LinksUpToDate>false</LinksUpToDate>
  <CharactersWithSpaces>6232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2022-08-23T07:03:00Z</dcterms:created>
  <dc:creator>hsq</dc:creator>
  <cp:lastModifiedBy>黄舒倩</cp:lastModifiedBy>
  <dcterms:modified xsi:type="dcterms:W3CDTF">2025-04-22T03:37:50Z</dcterms:modified>
  <cp:revision>478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eyJoZGlkIjoiYjc3NTVmODk5OWI4YTU0YmU5MTlhYzJjMjBkNzFlNmEiLCJ1c2VySWQiOiIyNDMwNTgyMjAifQ==</vt:lpwstr>
  </property>
  <property fmtid="{D5CDD505-2E9C-101B-9397-08002B2CF9AE}" pid="3" name="KSOProductBuildVer">
    <vt:lpwstr>2052-12.1.0.20784</vt:lpwstr>
  </property>
  <property fmtid="{D5CDD505-2E9C-101B-9397-08002B2CF9AE}" pid="4" name="ICV">
    <vt:lpwstr>296CA7663EFD4D309A833CAECF5F0514_12</vt:lpwstr>
  </property>
</Properties>
</file>