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1B362">
      <w:pPr>
        <w:spacing w:before="2400" w:line="773" w:lineRule="exact"/>
        <w:jc w:val="center"/>
        <w:rPr>
          <w:rFonts w:ascii="Times New Roman" w:hAnsi="Times New Roman" w:cs="Times New Roman" w:eastAsiaTheme="majorEastAsia"/>
          <w:b/>
          <w:bCs/>
          <w:sz w:val="36"/>
          <w:szCs w:val="36"/>
        </w:rPr>
      </w:pPr>
      <w:r>
        <w:rPr>
          <w:rFonts w:ascii="Times New Roman" w:hAnsi="Times New Roman" w:cs="Times New Roman" w:eastAsiaTheme="majorEastAsia"/>
          <w:b/>
          <w:bCs/>
          <w:sz w:val="36"/>
          <w:szCs w:val="36"/>
        </w:rPr>
        <w:t>广东天亿马信息产业股份有限公司</w:t>
      </w:r>
    </w:p>
    <w:p w14:paraId="5C18FEA8">
      <w:pPr>
        <w:spacing w:before="1000" w:line="24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2024年年度报告</w:t>
      </w:r>
    </w:p>
    <w:p w14:paraId="57D2F75A">
      <w:pPr>
        <w:spacing w:before="1000" w:after="1000" w:line="0" w:lineRule="atLeast"/>
        <w:jc w:val="center"/>
        <w:rPr>
          <w:rFonts w:ascii="Times New Roman" w:hAnsi="Times New Roman" w:cs="Times New Roman" w:eastAsiaTheme="majorEastAsia"/>
          <w:b/>
          <w:bCs/>
          <w:szCs w:val="21"/>
        </w:rPr>
      </w:pPr>
      <w:r>
        <w:rPr>
          <w:rFonts w:ascii="Times New Roman" w:hAnsi="Times New Roman" w:cs="Times New Roman" w:eastAsiaTheme="majorEastAsia"/>
          <w:b/>
          <w:bCs/>
          <w:szCs w:val="21"/>
        </w:rPr>
        <w:t>2025-031</w:t>
      </w:r>
    </w:p>
    <w:p w14:paraId="2FE8A1ED">
      <w:pPr>
        <w:spacing w:before="1000" w:after="1000" w:line="0" w:lineRule="atLeast"/>
        <w:jc w:val="center"/>
        <w:rPr>
          <w:rFonts w:ascii="Times New Roman" w:hAnsi="Times New Roman" w:eastAsia="宋体" w:cs="Times New Roman"/>
        </w:rPr>
      </w:pPr>
      <w:r>
        <w:rPr>
          <w:rFonts w:ascii="Times New Roman" w:hAnsi="Times New Roman" w:eastAsia="宋体" w:cs="Times New Roman"/>
        </w:rPr>
        <w:drawing>
          <wp:inline distT="0" distB="0" distL="0" distR="0">
            <wp:extent cx="2851150" cy="160401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stretch>
                      <a:fillRect/>
                    </a:stretch>
                  </pic:blipFill>
                  <pic:spPr>
                    <a:xfrm>
                      <a:off x="0" y="0"/>
                      <a:ext cx="2877539" cy="1619190"/>
                    </a:xfrm>
                    <a:prstGeom prst="rect">
                      <a:avLst/>
                    </a:prstGeom>
                  </pic:spPr>
                </pic:pic>
              </a:graphicData>
            </a:graphic>
          </wp:inline>
        </w:drawing>
      </w:r>
    </w:p>
    <w:p w14:paraId="006B88F5">
      <w:pPr>
        <w:spacing w:before="400" w:line="320" w:lineRule="exact"/>
        <w:jc w:val="center"/>
        <w:rPr>
          <w:rFonts w:ascii="Times New Roman" w:hAnsi="Times New Roman" w:eastAsia="宋体" w:cs="Times New Roman"/>
          <w:b/>
          <w:bCs/>
          <w:sz w:val="32"/>
          <w:szCs w:val="32"/>
        </w:rPr>
      </w:pPr>
      <w:r>
        <w:rPr>
          <w:rFonts w:ascii="Times New Roman" w:hAnsi="Times New Roman" w:eastAsia="宋体" w:cs="Times New Roman"/>
          <w:b/>
          <w:bCs/>
          <w:sz w:val="32"/>
          <w:szCs w:val="32"/>
        </w:rPr>
        <w:t>202</w:t>
      </w:r>
      <w:r>
        <w:rPr>
          <w:rFonts w:hint="eastAsia" w:ascii="Times New Roman" w:hAnsi="Times New Roman" w:eastAsia="宋体" w:cs="Times New Roman"/>
          <w:b/>
          <w:bCs/>
          <w:sz w:val="32"/>
          <w:szCs w:val="32"/>
        </w:rPr>
        <w:t>5</w:t>
      </w:r>
      <w:r>
        <w:rPr>
          <w:rFonts w:ascii="Times New Roman" w:hAnsi="Times New Roman" w:eastAsia="宋体" w:cs="Times New Roman"/>
          <w:b/>
          <w:bCs/>
          <w:sz w:val="32"/>
          <w:szCs w:val="32"/>
        </w:rPr>
        <w:t>年04月</w:t>
      </w:r>
    </w:p>
    <w:p w14:paraId="085AB764">
      <w:pPr>
        <w:spacing w:before="1000" w:line="240" w:lineRule="exact"/>
        <w:jc w:val="center"/>
        <w:rPr>
          <w:rFonts w:ascii="Times New Roman" w:hAnsi="Times New Roman" w:cs="Times New Roman" w:eastAsiaTheme="majorEastAsia"/>
          <w:b/>
          <w:bCs/>
          <w:szCs w:val="21"/>
        </w:rPr>
      </w:pPr>
    </w:p>
    <w:p w14:paraId="64F28C26">
      <w:pPr>
        <w:rPr>
          <w:rFonts w:ascii="Times New Roman" w:hAnsi="Times New Roman" w:cs="Times New Roman" w:eastAsiaTheme="majorEastAsia"/>
        </w:rPr>
      </w:pPr>
      <w:r>
        <w:rPr>
          <w:rFonts w:ascii="Times New Roman" w:hAnsi="Times New Roman" w:cs="Times New Roman" w:eastAsiaTheme="majorEastAsia"/>
        </w:rPr>
        <w:br w:type="page"/>
      </w:r>
    </w:p>
    <w:p w14:paraId="630A6497">
      <w:pPr>
        <w:spacing w:before="1000" w:after="40" w:line="440" w:lineRule="exact"/>
        <w:jc w:val="center"/>
        <w:rPr>
          <w:rFonts w:ascii="Times New Roman" w:hAnsi="Times New Roman" w:cs="Times New Roman" w:eastAsiaTheme="majorEastAsia"/>
          <w:b/>
          <w:bCs/>
          <w:sz w:val="44"/>
          <w:szCs w:val="44"/>
        </w:rPr>
      </w:pPr>
      <w:r>
        <w:rPr>
          <w:rFonts w:ascii="Times New Roman" w:hAnsi="Times New Roman" w:cs="Times New Roman" w:eastAsiaTheme="majorEastAsia"/>
          <w:b/>
          <w:bCs/>
          <w:sz w:val="44"/>
          <w:szCs w:val="44"/>
        </w:rPr>
        <w:t>2024年年度报告</w:t>
      </w:r>
    </w:p>
    <w:p w14:paraId="3838EB8F">
      <w:pPr>
        <w:pStyle w:val="18"/>
        <w:spacing w:before="340" w:after="330" w:line="773" w:lineRule="exact"/>
        <w:jc w:val="center"/>
        <w:rPr>
          <w:rFonts w:ascii="Times New Roman" w:hAnsi="Times New Roman" w:cs="Times New Roman" w:eastAsiaTheme="majorEastAsia"/>
          <w:b/>
          <w:bCs/>
          <w:sz w:val="32"/>
          <w:szCs w:val="32"/>
        </w:rPr>
      </w:pPr>
      <w:bookmarkStart w:id="0" w:name="_Toc988889"/>
      <w:r>
        <w:rPr>
          <w:rFonts w:ascii="Times New Roman" w:hAnsi="Times New Roman" w:cs="Times New Roman" w:eastAsiaTheme="majorEastAsia"/>
          <w:b/>
          <w:bCs/>
          <w:sz w:val="32"/>
          <w:szCs w:val="32"/>
        </w:rPr>
        <w:t>第一节 重要提示、目录和释义</w:t>
      </w:r>
      <w:bookmarkEnd w:id="0"/>
    </w:p>
    <w:p w14:paraId="5FE7B571">
      <w:pPr>
        <w:spacing w:before="40" w:after="40" w:line="560" w:lineRule="exact"/>
        <w:ind w:firstLine="480" w:firstLineChars="200"/>
        <w:jc w:val="both"/>
        <w:rPr>
          <w:rFonts w:ascii="Times New Roman" w:hAnsi="Times New Roman" w:cs="Times New Roman" w:eastAsiaTheme="majorEastAsia"/>
          <w:b/>
          <w:bCs/>
          <w:sz w:val="24"/>
          <w:szCs w:val="28"/>
        </w:rPr>
      </w:pPr>
      <w:r>
        <w:rPr>
          <w:rFonts w:ascii="Times New Roman" w:hAnsi="Times New Roman" w:cs="Times New Roman" w:eastAsiaTheme="majorEastAsia"/>
          <w:b/>
          <w:bCs/>
          <w:sz w:val="24"/>
          <w:szCs w:val="28"/>
        </w:rPr>
        <w:t>公司董事会、监事会及董事、监事、高级管理人员保证年度报告内容的真实、准确、完整，不存在虚假记载、误导性陈述或者重大遗漏，并承担个别和连带的法律责任。</w:t>
      </w:r>
    </w:p>
    <w:p w14:paraId="0CDCAEEE">
      <w:pPr>
        <w:spacing w:line="560" w:lineRule="exact"/>
        <w:ind w:firstLine="480" w:firstLineChars="200"/>
        <w:jc w:val="both"/>
        <w:rPr>
          <w:rFonts w:ascii="Times New Roman" w:hAnsi="Times New Roman" w:cs="Times New Roman" w:eastAsiaTheme="majorEastAsia"/>
          <w:b/>
          <w:bCs/>
          <w:sz w:val="24"/>
          <w:szCs w:val="28"/>
        </w:rPr>
      </w:pPr>
      <w:r>
        <w:rPr>
          <w:rFonts w:ascii="Times New Roman" w:hAnsi="Times New Roman" w:cs="Times New Roman" w:eastAsiaTheme="majorEastAsia"/>
          <w:b/>
          <w:bCs/>
          <w:sz w:val="24"/>
          <w:szCs w:val="28"/>
        </w:rPr>
        <w:t>公司负责人林明玲、主管会计工作负责人陈焕盛及会计机构负责人(会计主管人员)赖宏伟声明：保证本年度报告中财务报告的真实、准确、完整。</w:t>
      </w:r>
    </w:p>
    <w:p w14:paraId="412D31FB">
      <w:pPr>
        <w:spacing w:line="560" w:lineRule="exact"/>
        <w:jc w:val="both"/>
        <w:rPr>
          <w:rFonts w:ascii="Times New Roman" w:hAnsi="Times New Roman" w:cs="Times New Roman" w:eastAsiaTheme="majorEastAsia"/>
          <w:b/>
          <w:bCs/>
          <w:sz w:val="24"/>
          <w:szCs w:val="28"/>
        </w:rPr>
      </w:pPr>
      <w:r>
        <w:rPr>
          <w:rFonts w:ascii="Times New Roman" w:hAnsi="Times New Roman" w:cs="Times New Roman" w:eastAsiaTheme="majorEastAsia"/>
          <w:b/>
          <w:bCs/>
          <w:sz w:val="24"/>
          <w:szCs w:val="28"/>
        </w:rPr>
        <w:t>所有董事均已出席了审议本报告的董事会会议。</w:t>
      </w:r>
    </w:p>
    <w:p w14:paraId="2862A0BD">
      <w:pPr>
        <w:pStyle w:val="10"/>
        <w:spacing w:beforeAutospacing="0" w:afterAutospacing="0" w:line="560" w:lineRule="atLeast"/>
        <w:ind w:firstLine="648"/>
        <w:jc w:val="both"/>
        <w:rPr>
          <w:rFonts w:ascii="Times New Roman" w:hAnsi="Times New Roman" w:cs="Times New Roman" w:eastAsiaTheme="majorEastAsia"/>
          <w:b/>
          <w:bCs/>
          <w:szCs w:val="28"/>
        </w:rPr>
      </w:pPr>
      <w:r>
        <w:rPr>
          <w:rFonts w:ascii="Times New Roman" w:hAnsi="Times New Roman" w:cs="Times New Roman" w:eastAsiaTheme="majorEastAsia"/>
          <w:b/>
          <w:bCs/>
          <w:szCs w:val="28"/>
        </w:rPr>
        <w:t>报告期内，智慧城市行业市场需求放缓、竞争加剧，公司谨慎承接业务，导致本期营业收入和净利润同比有较大幅度下滑。同时报告期末应收账款较大，基于谨慎性原则，公司按照会计政策计提了应收账款减值准备，以及股权激励等费用亦对本期利润影响较大。</w:t>
      </w:r>
    </w:p>
    <w:p w14:paraId="2D390AAA">
      <w:pPr>
        <w:pStyle w:val="10"/>
        <w:spacing w:beforeAutospacing="0" w:afterAutospacing="0" w:line="560" w:lineRule="atLeast"/>
        <w:ind w:firstLine="648"/>
        <w:jc w:val="both"/>
        <w:rPr>
          <w:rFonts w:ascii="Times New Roman" w:hAnsi="Times New Roman" w:cs="Times New Roman" w:eastAsiaTheme="majorEastAsia"/>
          <w:b/>
          <w:bCs/>
          <w:szCs w:val="28"/>
        </w:rPr>
      </w:pPr>
      <w:r>
        <w:rPr>
          <w:rFonts w:ascii="Times New Roman" w:hAnsi="Times New Roman" w:cs="Times New Roman" w:eastAsiaTheme="majorEastAsia"/>
          <w:b/>
          <w:bCs/>
          <w:szCs w:val="28"/>
        </w:rPr>
        <w:t>2025年，公司将围绕“转型、提质”的战略总目标，紧抓“数字经济”发展机遇，坚持内生增长与外部并购相结合策略，不断增强自身实力和核心竞争力。在原有核心业务方面，公司继续巩固夯实“智慧政务、智慧教育、智慧医疗、智慧交通、智慧企业”等领域既有优势，全力提升方案解决能力；同时稳步拓展算力服务、智慧轨道、数字能源等新业务。截至报告期末，公司已获得在手订单约8亿元，为2025年业绩提升和改善打下坚实的基础。</w:t>
      </w:r>
    </w:p>
    <w:p w14:paraId="30B8F08B">
      <w:pPr>
        <w:pStyle w:val="10"/>
        <w:spacing w:beforeAutospacing="0" w:afterAutospacing="0" w:line="560" w:lineRule="atLeast"/>
        <w:ind w:firstLine="648"/>
        <w:jc w:val="both"/>
        <w:rPr>
          <w:rFonts w:ascii="Times New Roman" w:hAnsi="Times New Roman" w:cs="Times New Roman" w:eastAsiaTheme="majorEastAsia"/>
          <w:b/>
          <w:bCs/>
          <w:szCs w:val="28"/>
        </w:rPr>
      </w:pPr>
      <w:r>
        <w:rPr>
          <w:rFonts w:ascii="Times New Roman" w:hAnsi="Times New Roman" w:cs="Times New Roman" w:eastAsiaTheme="majorEastAsia"/>
          <w:b/>
          <w:bCs/>
          <w:szCs w:val="28"/>
        </w:rPr>
        <w:t>大力推进外部并购，积极布局新赛道。2024年公司完成了具有广东省首批数据经纪人资质的翼启数据并购，并率先获得全国首批数据确权授权标准符合性DRCA证书；未来公司将充分利用上市公司平台和资源优势，加强资本运作并购力度，优化产业布局和产品结构，推进公司业务提质、转型。</w:t>
      </w:r>
    </w:p>
    <w:p w14:paraId="07277F94">
      <w:pPr>
        <w:pStyle w:val="10"/>
        <w:spacing w:line="560" w:lineRule="atLeast"/>
        <w:ind w:firstLine="648"/>
        <w:jc w:val="both"/>
        <w:rPr>
          <w:rFonts w:ascii="Times New Roman" w:hAnsi="Times New Roman" w:cs="Times New Roman" w:eastAsiaTheme="majorEastAsia"/>
          <w:b/>
          <w:bCs/>
          <w:szCs w:val="28"/>
        </w:rPr>
      </w:pPr>
      <w:r>
        <w:rPr>
          <w:rFonts w:ascii="Times New Roman" w:hAnsi="Times New Roman" w:cs="Times New Roman" w:eastAsiaTheme="majorEastAsia"/>
          <w:b/>
          <w:bCs/>
          <w:szCs w:val="28"/>
        </w:rPr>
        <w:t>公司年度报告涉及的未来计划等前瞻性陈述，不构成公司对投资者的实质承诺，投资者及相关人士均应当对此保持足够的风险认识，并请理解计划、预测与承诺之间的差异。本公司在本报告第三节“管理层讨论与分析”之“十一、公司未来发展的展望”描述了公司未来经营中可能存在的风险和应对措施，敬请广大投资者予以关注，注意投资风险。</w:t>
      </w:r>
    </w:p>
    <w:p w14:paraId="2FB5D61A">
      <w:pPr>
        <w:spacing w:line="560" w:lineRule="exact"/>
        <w:ind w:firstLine="480" w:firstLineChars="200"/>
        <w:jc w:val="both"/>
        <w:rPr>
          <w:rFonts w:ascii="Times New Roman" w:hAnsi="Times New Roman" w:cs="Times New Roman" w:eastAsiaTheme="majorEastAsia"/>
          <w:b/>
          <w:bCs/>
          <w:sz w:val="24"/>
          <w:szCs w:val="28"/>
        </w:rPr>
      </w:pPr>
      <w:r>
        <w:rPr>
          <w:rFonts w:ascii="Times New Roman" w:hAnsi="Times New Roman" w:cs="Times New Roman" w:eastAsiaTheme="majorEastAsia"/>
          <w:b/>
          <w:bCs/>
          <w:sz w:val="24"/>
          <w:szCs w:val="28"/>
        </w:rPr>
        <w:t>公司计划不派发现金红利，不送红股，不以公积金转增股本。</w:t>
      </w:r>
    </w:p>
    <w:p w14:paraId="305FC4CB">
      <w:pPr>
        <w:rPr>
          <w:rFonts w:ascii="Times New Roman" w:hAnsi="Times New Roman" w:cs="Times New Roman" w:eastAsiaTheme="majorEastAsia"/>
        </w:rPr>
      </w:pPr>
      <w:r>
        <w:rPr>
          <w:rFonts w:ascii="Times New Roman" w:hAnsi="Times New Roman" w:cs="Times New Roman" w:eastAsiaTheme="majorEastAsia"/>
        </w:rPr>
        <w:br w:type="page"/>
      </w:r>
    </w:p>
    <w:p w14:paraId="16259298">
      <w:pPr>
        <w:spacing w:line="720" w:lineRule="exact"/>
        <w:jc w:val="center"/>
        <w:rPr>
          <w:rFonts w:ascii="Times New Roman" w:hAnsi="Times New Roman" w:cs="Times New Roman" w:eastAsiaTheme="majorEastAsia"/>
          <w:b/>
          <w:bCs/>
          <w:sz w:val="36"/>
          <w:szCs w:val="36"/>
        </w:rPr>
      </w:pPr>
      <w:r>
        <w:rPr>
          <w:rFonts w:ascii="Times New Roman" w:hAnsi="Times New Roman" w:cs="Times New Roman" w:eastAsiaTheme="majorEastAsia"/>
          <w:b/>
          <w:bCs/>
          <w:sz w:val="36"/>
          <w:szCs w:val="36"/>
        </w:rPr>
        <w:t>目录</w:t>
      </w:r>
    </w:p>
    <w:p w14:paraId="23560F42">
      <w:pPr>
        <w:pStyle w:val="8"/>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r>
        <w:fldChar w:fldCharType="begin"/>
      </w:r>
      <w:r>
        <w:instrText xml:space="preserve"> HYPERLINK \l "_Toc988889" </w:instrText>
      </w:r>
      <w:r>
        <w:fldChar w:fldCharType="separate"/>
      </w:r>
      <w:r>
        <w:rPr>
          <w:rFonts w:ascii="Times New Roman" w:hAnsi="Times New Roman" w:cs="Times New Roman"/>
          <w:b/>
          <w:bCs/>
          <w:sz w:val="24"/>
        </w:rPr>
        <w:t>第一节 重要提示、目录和释义</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_Toc988889 \h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fldChar w:fldCharType="end"/>
      </w:r>
    </w:p>
    <w:p w14:paraId="1379A5F2">
      <w:pPr>
        <w:pStyle w:val="8"/>
        <w:rPr>
          <w:rFonts w:ascii="Times New Roman" w:hAnsi="Times New Roman" w:cs="Times New Roman"/>
        </w:rPr>
      </w:pPr>
      <w:r>
        <w:fldChar w:fldCharType="begin"/>
      </w:r>
      <w:r>
        <w:instrText xml:space="preserve"> HYPERLINK \l "_Toc988890" </w:instrText>
      </w:r>
      <w:r>
        <w:fldChar w:fldCharType="separate"/>
      </w:r>
      <w:r>
        <w:rPr>
          <w:rFonts w:ascii="Times New Roman" w:hAnsi="Times New Roman" w:cs="Times New Roman"/>
          <w:b/>
          <w:bCs/>
          <w:sz w:val="24"/>
        </w:rPr>
        <w:t>第二节 公司简介和主要财务指标</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_Toc988890 \h </w:instrText>
      </w:r>
      <w:r>
        <w:rPr>
          <w:rFonts w:ascii="Times New Roman" w:hAnsi="Times New Roman" w:cs="Times New Roman"/>
        </w:rPr>
        <w:fldChar w:fldCharType="separate"/>
      </w:r>
      <w:r>
        <w:rPr>
          <w:rFonts w:ascii="Times New Roman" w:hAnsi="Times New Roman" w:cs="Times New Roman"/>
        </w:rPr>
        <w:t>8</w:t>
      </w:r>
      <w:r>
        <w:rPr>
          <w:rFonts w:ascii="Times New Roman" w:hAnsi="Times New Roman" w:cs="Times New Roman"/>
        </w:rPr>
        <w:fldChar w:fldCharType="end"/>
      </w:r>
      <w:r>
        <w:rPr>
          <w:rFonts w:ascii="Times New Roman" w:hAnsi="Times New Roman" w:cs="Times New Roman"/>
        </w:rPr>
        <w:fldChar w:fldCharType="end"/>
      </w:r>
    </w:p>
    <w:p w14:paraId="01451AEE">
      <w:pPr>
        <w:pStyle w:val="8"/>
        <w:rPr>
          <w:rFonts w:ascii="Times New Roman" w:hAnsi="Times New Roman" w:cs="Times New Roman"/>
        </w:rPr>
      </w:pPr>
      <w:r>
        <w:fldChar w:fldCharType="begin"/>
      </w:r>
      <w:r>
        <w:instrText xml:space="preserve"> HYPERLINK \l "_Toc988901" </w:instrText>
      </w:r>
      <w:r>
        <w:fldChar w:fldCharType="separate"/>
      </w:r>
      <w:r>
        <w:rPr>
          <w:rFonts w:ascii="Times New Roman" w:hAnsi="Times New Roman" w:cs="Times New Roman"/>
          <w:b/>
          <w:bCs/>
          <w:sz w:val="24"/>
        </w:rPr>
        <w:t>第三节 管理层讨论与分析</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_Toc988901 \h </w:instrText>
      </w:r>
      <w:r>
        <w:rPr>
          <w:rFonts w:ascii="Times New Roman" w:hAnsi="Times New Roman" w:cs="Times New Roman"/>
        </w:rPr>
        <w:fldChar w:fldCharType="separate"/>
      </w:r>
      <w:r>
        <w:rPr>
          <w:rFonts w:ascii="Times New Roman" w:hAnsi="Times New Roman" w:cs="Times New Roman"/>
        </w:rPr>
        <w:t>12</w:t>
      </w:r>
      <w:r>
        <w:rPr>
          <w:rFonts w:ascii="Times New Roman" w:hAnsi="Times New Roman" w:cs="Times New Roman"/>
        </w:rPr>
        <w:fldChar w:fldCharType="end"/>
      </w:r>
      <w:r>
        <w:rPr>
          <w:rFonts w:ascii="Times New Roman" w:hAnsi="Times New Roman" w:cs="Times New Roman"/>
        </w:rPr>
        <w:fldChar w:fldCharType="end"/>
      </w:r>
    </w:p>
    <w:p w14:paraId="782F35D4">
      <w:pPr>
        <w:pStyle w:val="8"/>
        <w:rPr>
          <w:rFonts w:ascii="Times New Roman" w:hAnsi="Times New Roman" w:cs="Times New Roman"/>
        </w:rPr>
      </w:pPr>
      <w:r>
        <w:fldChar w:fldCharType="begin"/>
      </w:r>
      <w:r>
        <w:instrText xml:space="preserve"> HYPERLINK \l "_Toc988944" </w:instrText>
      </w:r>
      <w:r>
        <w:fldChar w:fldCharType="separate"/>
      </w:r>
      <w:r>
        <w:rPr>
          <w:rFonts w:ascii="Times New Roman" w:hAnsi="Times New Roman" w:cs="Times New Roman"/>
          <w:b/>
          <w:bCs/>
          <w:sz w:val="24"/>
        </w:rPr>
        <w:t>第四节 公司治理</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_Toc988944 \h </w:instrText>
      </w:r>
      <w:r>
        <w:rPr>
          <w:rFonts w:ascii="Times New Roman" w:hAnsi="Times New Roman" w:cs="Times New Roman"/>
        </w:rPr>
        <w:fldChar w:fldCharType="separate"/>
      </w:r>
      <w:r>
        <w:rPr>
          <w:rFonts w:ascii="Times New Roman" w:hAnsi="Times New Roman" w:cs="Times New Roman"/>
        </w:rPr>
        <w:t>45</w:t>
      </w:r>
      <w:r>
        <w:rPr>
          <w:rFonts w:ascii="Times New Roman" w:hAnsi="Times New Roman" w:cs="Times New Roman"/>
        </w:rPr>
        <w:fldChar w:fldCharType="end"/>
      </w:r>
      <w:r>
        <w:rPr>
          <w:rFonts w:ascii="Times New Roman" w:hAnsi="Times New Roman" w:cs="Times New Roman"/>
        </w:rPr>
        <w:fldChar w:fldCharType="end"/>
      </w:r>
    </w:p>
    <w:p w14:paraId="1E7D890B">
      <w:pPr>
        <w:pStyle w:val="8"/>
        <w:rPr>
          <w:rFonts w:ascii="Times New Roman" w:hAnsi="Times New Roman" w:cs="Times New Roman"/>
        </w:rPr>
      </w:pPr>
      <w:r>
        <w:fldChar w:fldCharType="begin"/>
      </w:r>
      <w:r>
        <w:instrText xml:space="preserve"> HYPERLINK \l "_Toc988982" </w:instrText>
      </w:r>
      <w:r>
        <w:fldChar w:fldCharType="separate"/>
      </w:r>
      <w:r>
        <w:rPr>
          <w:rFonts w:ascii="Times New Roman" w:hAnsi="Times New Roman" w:cs="Times New Roman"/>
          <w:b/>
          <w:bCs/>
          <w:sz w:val="24"/>
        </w:rPr>
        <w:t>第五节 环境和社会责任</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_Toc988982 \h </w:instrText>
      </w:r>
      <w:r>
        <w:rPr>
          <w:rFonts w:ascii="Times New Roman" w:hAnsi="Times New Roman" w:cs="Times New Roman"/>
        </w:rPr>
        <w:fldChar w:fldCharType="separate"/>
      </w:r>
      <w:r>
        <w:rPr>
          <w:rFonts w:ascii="Times New Roman" w:hAnsi="Times New Roman" w:cs="Times New Roman"/>
        </w:rPr>
        <w:t>66</w:t>
      </w:r>
      <w:r>
        <w:rPr>
          <w:rFonts w:ascii="Times New Roman" w:hAnsi="Times New Roman" w:cs="Times New Roman"/>
        </w:rPr>
        <w:fldChar w:fldCharType="end"/>
      </w:r>
      <w:r>
        <w:rPr>
          <w:rFonts w:ascii="Times New Roman" w:hAnsi="Times New Roman" w:cs="Times New Roman"/>
        </w:rPr>
        <w:fldChar w:fldCharType="end"/>
      </w:r>
    </w:p>
    <w:p w14:paraId="48B8B63F">
      <w:pPr>
        <w:pStyle w:val="8"/>
        <w:rPr>
          <w:rFonts w:ascii="Times New Roman" w:hAnsi="Times New Roman" w:cs="Times New Roman"/>
        </w:rPr>
      </w:pPr>
      <w:r>
        <w:fldChar w:fldCharType="begin"/>
      </w:r>
      <w:r>
        <w:instrText xml:space="preserve"> HYPERLINK \l "_Toc988986" </w:instrText>
      </w:r>
      <w:r>
        <w:fldChar w:fldCharType="separate"/>
      </w:r>
      <w:r>
        <w:rPr>
          <w:rFonts w:ascii="Times New Roman" w:hAnsi="Times New Roman" w:cs="Times New Roman"/>
          <w:b/>
          <w:bCs/>
          <w:sz w:val="24"/>
        </w:rPr>
        <w:t>第六节 重要事项</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_Toc988986 \h </w:instrText>
      </w:r>
      <w:r>
        <w:rPr>
          <w:rFonts w:ascii="Times New Roman" w:hAnsi="Times New Roman" w:cs="Times New Roman"/>
        </w:rPr>
        <w:fldChar w:fldCharType="separate"/>
      </w:r>
      <w:r>
        <w:rPr>
          <w:rFonts w:ascii="Times New Roman" w:hAnsi="Times New Roman" w:cs="Times New Roman"/>
        </w:rPr>
        <w:t>68</w:t>
      </w:r>
      <w:r>
        <w:rPr>
          <w:rFonts w:ascii="Times New Roman" w:hAnsi="Times New Roman" w:cs="Times New Roman"/>
        </w:rPr>
        <w:fldChar w:fldCharType="end"/>
      </w:r>
      <w:r>
        <w:rPr>
          <w:rFonts w:ascii="Times New Roman" w:hAnsi="Times New Roman" w:cs="Times New Roman"/>
        </w:rPr>
        <w:fldChar w:fldCharType="end"/>
      </w:r>
    </w:p>
    <w:p w14:paraId="4FEF3ADA">
      <w:pPr>
        <w:pStyle w:val="8"/>
        <w:rPr>
          <w:rFonts w:ascii="Times New Roman" w:hAnsi="Times New Roman" w:cs="Times New Roman"/>
        </w:rPr>
      </w:pPr>
      <w:r>
        <w:fldChar w:fldCharType="begin"/>
      </w:r>
      <w:r>
        <w:instrText xml:space="preserve"> HYPERLINK \l "_Toc989022" </w:instrText>
      </w:r>
      <w:r>
        <w:fldChar w:fldCharType="separate"/>
      </w:r>
      <w:r>
        <w:rPr>
          <w:rFonts w:ascii="Times New Roman" w:hAnsi="Times New Roman" w:cs="Times New Roman"/>
          <w:b/>
          <w:bCs/>
          <w:sz w:val="24"/>
        </w:rPr>
        <w:t>第七节 股份变动及股东情况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_Toc989022 \h </w:instrText>
      </w:r>
      <w:r>
        <w:rPr>
          <w:rFonts w:ascii="Times New Roman" w:hAnsi="Times New Roman" w:cs="Times New Roman"/>
        </w:rPr>
        <w:fldChar w:fldCharType="separate"/>
      </w:r>
      <w:r>
        <w:rPr>
          <w:rFonts w:ascii="Times New Roman" w:hAnsi="Times New Roman" w:cs="Times New Roman"/>
        </w:rPr>
        <w:t>87</w:t>
      </w:r>
      <w:r>
        <w:rPr>
          <w:rFonts w:ascii="Times New Roman" w:hAnsi="Times New Roman" w:cs="Times New Roman"/>
        </w:rPr>
        <w:fldChar w:fldCharType="end"/>
      </w:r>
      <w:r>
        <w:rPr>
          <w:rFonts w:ascii="Times New Roman" w:hAnsi="Times New Roman" w:cs="Times New Roman"/>
        </w:rPr>
        <w:fldChar w:fldCharType="end"/>
      </w:r>
    </w:p>
    <w:p w14:paraId="781BD874">
      <w:pPr>
        <w:pStyle w:val="8"/>
        <w:rPr>
          <w:rFonts w:ascii="Times New Roman" w:hAnsi="Times New Roman" w:cs="Times New Roman"/>
        </w:rPr>
      </w:pPr>
      <w:r>
        <w:fldChar w:fldCharType="begin"/>
      </w:r>
      <w:r>
        <w:instrText xml:space="preserve"> HYPERLINK \l "_Toc989038" </w:instrText>
      </w:r>
      <w:r>
        <w:fldChar w:fldCharType="separate"/>
      </w:r>
      <w:r>
        <w:rPr>
          <w:rFonts w:ascii="Times New Roman" w:hAnsi="Times New Roman" w:cs="Times New Roman"/>
          <w:b/>
          <w:bCs/>
          <w:sz w:val="24"/>
        </w:rPr>
        <w:t>第八节 优先股相关情况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_Toc989038 \h </w:instrText>
      </w:r>
      <w:r>
        <w:rPr>
          <w:rFonts w:ascii="Times New Roman" w:hAnsi="Times New Roman" w:cs="Times New Roman"/>
        </w:rPr>
        <w:fldChar w:fldCharType="separate"/>
      </w:r>
      <w:r>
        <w:rPr>
          <w:rFonts w:ascii="Times New Roman" w:hAnsi="Times New Roman" w:cs="Times New Roman"/>
        </w:rPr>
        <w:t>93</w:t>
      </w:r>
      <w:r>
        <w:rPr>
          <w:rFonts w:ascii="Times New Roman" w:hAnsi="Times New Roman" w:cs="Times New Roman"/>
        </w:rPr>
        <w:fldChar w:fldCharType="end"/>
      </w:r>
      <w:r>
        <w:rPr>
          <w:rFonts w:ascii="Times New Roman" w:hAnsi="Times New Roman" w:cs="Times New Roman"/>
        </w:rPr>
        <w:fldChar w:fldCharType="end"/>
      </w:r>
    </w:p>
    <w:p w14:paraId="2023EEAA">
      <w:pPr>
        <w:pStyle w:val="8"/>
        <w:rPr>
          <w:rFonts w:ascii="Times New Roman" w:hAnsi="Times New Roman" w:cs="Times New Roman"/>
        </w:rPr>
      </w:pPr>
      <w:r>
        <w:fldChar w:fldCharType="begin"/>
      </w:r>
      <w:r>
        <w:instrText xml:space="preserve"> HYPERLINK \l "_Toc989039" </w:instrText>
      </w:r>
      <w:r>
        <w:fldChar w:fldCharType="separate"/>
      </w:r>
      <w:r>
        <w:rPr>
          <w:rFonts w:ascii="Times New Roman" w:hAnsi="Times New Roman" w:cs="Times New Roman"/>
          <w:b/>
          <w:bCs/>
          <w:sz w:val="24"/>
        </w:rPr>
        <w:t>第九节 债券相关情况</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_Toc989039 \h </w:instrText>
      </w:r>
      <w:r>
        <w:rPr>
          <w:rFonts w:ascii="Times New Roman" w:hAnsi="Times New Roman" w:cs="Times New Roman"/>
        </w:rPr>
        <w:fldChar w:fldCharType="separate"/>
      </w:r>
      <w:r>
        <w:rPr>
          <w:rFonts w:ascii="Times New Roman" w:hAnsi="Times New Roman" w:cs="Times New Roman"/>
        </w:rPr>
        <w:t>94</w:t>
      </w:r>
      <w:r>
        <w:rPr>
          <w:rFonts w:ascii="Times New Roman" w:hAnsi="Times New Roman" w:cs="Times New Roman"/>
        </w:rPr>
        <w:fldChar w:fldCharType="end"/>
      </w:r>
      <w:r>
        <w:rPr>
          <w:rFonts w:ascii="Times New Roman" w:hAnsi="Times New Roman" w:cs="Times New Roman"/>
        </w:rPr>
        <w:fldChar w:fldCharType="end"/>
      </w:r>
    </w:p>
    <w:p w14:paraId="17195C48">
      <w:pPr>
        <w:pStyle w:val="8"/>
        <w:rPr>
          <w:rFonts w:ascii="Times New Roman" w:hAnsi="Times New Roman" w:cs="Times New Roman"/>
        </w:rPr>
      </w:pPr>
      <w:r>
        <w:fldChar w:fldCharType="begin"/>
      </w:r>
      <w:r>
        <w:instrText xml:space="preserve"> HYPERLINK \l "_Toc989040" </w:instrText>
      </w:r>
      <w:r>
        <w:fldChar w:fldCharType="separate"/>
      </w:r>
      <w:r>
        <w:rPr>
          <w:rFonts w:ascii="Times New Roman" w:hAnsi="Times New Roman" w:cs="Times New Roman"/>
          <w:b/>
          <w:bCs/>
          <w:sz w:val="24"/>
        </w:rPr>
        <w:t>第十节 财务报告</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_Toc989040 \h </w:instrText>
      </w:r>
      <w:r>
        <w:rPr>
          <w:rFonts w:ascii="Times New Roman" w:hAnsi="Times New Roman" w:cs="Times New Roman"/>
        </w:rPr>
        <w:fldChar w:fldCharType="separate"/>
      </w:r>
      <w:r>
        <w:rPr>
          <w:rFonts w:ascii="Times New Roman" w:hAnsi="Times New Roman" w:cs="Times New Roman"/>
        </w:rPr>
        <w:t>95</w: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p>
    <w:p w14:paraId="23639A11">
      <w:pPr>
        <w:rPr>
          <w:rFonts w:ascii="Times New Roman" w:hAnsi="Times New Roman" w:cs="Times New Roman" w:eastAsiaTheme="majorEastAsia"/>
        </w:rPr>
      </w:pPr>
      <w:r>
        <w:rPr>
          <w:rFonts w:ascii="Times New Roman" w:hAnsi="Times New Roman" w:cs="Times New Roman" w:eastAsiaTheme="majorEastAsia"/>
        </w:rPr>
        <w:br w:type="page"/>
      </w:r>
      <w:bookmarkStart w:id="527" w:name="_GoBack"/>
      <w:bookmarkEnd w:id="527"/>
    </w:p>
    <w:p w14:paraId="165F65B0">
      <w:pPr>
        <w:spacing w:line="64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备查文件目录</w:t>
      </w:r>
    </w:p>
    <w:p w14:paraId="5A7B43AB">
      <w:pPr>
        <w:pStyle w:val="10"/>
        <w:spacing w:before="156" w:beforeLines="50" w:beforeAutospacing="0" w:after="156" w:afterLines="50" w:afterAutospacing="0" w:line="360" w:lineRule="auto"/>
        <w:ind w:firstLine="408"/>
        <w:rPr>
          <w:rFonts w:ascii="Times New Roman" w:hAnsi="Times New Roman" w:cs="Times New Roman" w:eastAsiaTheme="majorEastAsia"/>
        </w:rPr>
      </w:pPr>
      <w:r>
        <w:rPr>
          <w:rFonts w:ascii="Times New Roman" w:hAnsi="Times New Roman" w:cs="Times New Roman" w:eastAsiaTheme="majorEastAsia"/>
        </w:rPr>
        <w:t>（一）载有公司法定代表人、主管会计工作负责人、会计机构负责人签名并盖章的财务报表；</w:t>
      </w:r>
    </w:p>
    <w:p w14:paraId="664B6A17">
      <w:pPr>
        <w:pStyle w:val="10"/>
        <w:spacing w:before="156" w:beforeLines="50" w:beforeAutospacing="0" w:after="156" w:afterLines="50" w:afterAutospacing="0" w:line="360" w:lineRule="auto"/>
        <w:ind w:firstLine="408"/>
        <w:rPr>
          <w:rFonts w:ascii="Times New Roman" w:hAnsi="Times New Roman" w:cs="Times New Roman" w:eastAsiaTheme="majorEastAsia"/>
        </w:rPr>
      </w:pPr>
      <w:r>
        <w:rPr>
          <w:rFonts w:ascii="Times New Roman" w:hAnsi="Times New Roman" w:cs="Times New Roman" w:eastAsiaTheme="majorEastAsia"/>
        </w:rPr>
        <w:t>（二）载有会计师事务所盖章、注册会计师签名并盖章的审计报告原件；</w:t>
      </w:r>
    </w:p>
    <w:p w14:paraId="34696D00">
      <w:pPr>
        <w:pStyle w:val="10"/>
        <w:spacing w:before="156" w:beforeLines="50" w:beforeAutospacing="0" w:after="156" w:afterLines="50" w:afterAutospacing="0" w:line="360" w:lineRule="auto"/>
        <w:ind w:firstLine="408"/>
        <w:rPr>
          <w:rFonts w:ascii="Times New Roman" w:hAnsi="Times New Roman" w:cs="Times New Roman" w:eastAsiaTheme="majorEastAsia"/>
        </w:rPr>
      </w:pPr>
      <w:r>
        <w:rPr>
          <w:rFonts w:ascii="Times New Roman" w:hAnsi="Times New Roman" w:cs="Times New Roman" w:eastAsiaTheme="majorEastAsia"/>
        </w:rPr>
        <w:t>（三）报告期内在中国证券监督管理委员会指定媒体上公开披露过的所有公司文件的正本及公告的原稿；</w:t>
      </w:r>
    </w:p>
    <w:p w14:paraId="4DC13424">
      <w:pPr>
        <w:pStyle w:val="10"/>
        <w:spacing w:before="156" w:beforeLines="50" w:beforeAutospacing="0" w:after="156" w:afterLines="50" w:afterAutospacing="0" w:line="360" w:lineRule="auto"/>
        <w:ind w:firstLine="408"/>
        <w:rPr>
          <w:rFonts w:ascii="Times New Roman" w:hAnsi="Times New Roman" w:cs="Times New Roman" w:eastAsiaTheme="majorEastAsia"/>
        </w:rPr>
      </w:pPr>
      <w:r>
        <w:rPr>
          <w:rFonts w:ascii="Times New Roman" w:hAnsi="Times New Roman" w:cs="Times New Roman" w:eastAsiaTheme="majorEastAsia"/>
        </w:rPr>
        <w:t>（四）经公司法定代表人签字的2024年年度报告全文原件；</w:t>
      </w:r>
    </w:p>
    <w:p w14:paraId="1AE95466">
      <w:pPr>
        <w:pStyle w:val="10"/>
        <w:spacing w:before="156" w:beforeLines="50" w:beforeAutospacing="0" w:after="156" w:afterLines="50" w:afterAutospacing="0" w:line="360" w:lineRule="auto"/>
        <w:ind w:firstLine="408"/>
        <w:rPr>
          <w:rFonts w:ascii="Times New Roman" w:hAnsi="Times New Roman" w:cs="Times New Roman" w:eastAsiaTheme="majorEastAsia"/>
        </w:rPr>
      </w:pPr>
      <w:r>
        <w:rPr>
          <w:rFonts w:ascii="Times New Roman" w:hAnsi="Times New Roman" w:cs="Times New Roman" w:eastAsiaTheme="majorEastAsia"/>
        </w:rPr>
        <w:t>（五）其他备查文件。</w:t>
      </w:r>
    </w:p>
    <w:p w14:paraId="53EC45CE">
      <w:pPr>
        <w:rPr>
          <w:rFonts w:ascii="Times New Roman" w:hAnsi="Times New Roman" w:cs="Times New Roman" w:eastAsiaTheme="majorEastAsia"/>
        </w:rPr>
      </w:pPr>
      <w:r>
        <w:rPr>
          <w:rFonts w:ascii="Times New Roman" w:hAnsi="Times New Roman" w:cs="Times New Roman" w:eastAsiaTheme="majorEastAsia"/>
        </w:rPr>
        <w:br w:type="page"/>
      </w:r>
    </w:p>
    <w:p w14:paraId="67B62485">
      <w:pPr>
        <w:spacing w:before="40" w:after="40" w:line="56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释义</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077"/>
        <w:gridCol w:w="1418"/>
        <w:gridCol w:w="4144"/>
      </w:tblGrid>
      <w:tr w14:paraId="2C361E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077" w:type="dxa"/>
            <w:tcBorders>
              <w:top w:val="single" w:color="auto" w:sz="2" w:space="0"/>
              <w:left w:val="single" w:color="auto" w:sz="2" w:space="0"/>
              <w:bottom w:val="single" w:color="auto" w:sz="2" w:space="0"/>
              <w:right w:val="single" w:color="auto" w:sz="2" w:space="0"/>
            </w:tcBorders>
            <w:shd w:val="clear" w:color="auto" w:fill="D3D3D3"/>
            <w:vAlign w:val="center"/>
          </w:tcPr>
          <w:p w14:paraId="4CDE2E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释义项</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DE3B00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shd w:val="clear" w:color="auto" w:fill="D3D3D3"/>
            <w:vAlign w:val="center"/>
          </w:tcPr>
          <w:p w14:paraId="3A9320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释义内容</w:t>
            </w:r>
          </w:p>
        </w:tc>
      </w:tr>
      <w:tr w14:paraId="71E049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0BACD5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公司、本公司、本集团、天亿马、天亿马股份</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78350E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214333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广东天亿马信息产业股份有限公司及合并范围内子公司</w:t>
            </w:r>
          </w:p>
        </w:tc>
      </w:tr>
      <w:tr w14:paraId="508055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9A683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母公司、股份公司</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53FCA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A70CC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w:t>
            </w:r>
          </w:p>
        </w:tc>
      </w:tr>
      <w:tr w14:paraId="2DF2AB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73692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互联精英</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3F214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676ED6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r>
      <w:tr w14:paraId="2D1534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0DA4A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香港天亿马</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1DB145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9FDC9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天亿马（香港）信息产业有限公司</w:t>
            </w:r>
          </w:p>
        </w:tc>
      </w:tr>
      <w:tr w14:paraId="029491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6B6D83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2F763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4C4D7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r>
      <w:tr w14:paraId="6F39D4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63EE4D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广州天亿马</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87F33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3530F9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广州市天亿马信息技术有限公司</w:t>
            </w:r>
          </w:p>
        </w:tc>
      </w:tr>
      <w:tr w14:paraId="353FF2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1A53BC6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天亿马技术</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5F6E9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2D6D30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r>
      <w:tr w14:paraId="39119C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751D0D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天亿马科技</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4604B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4FB4B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r>
      <w:tr w14:paraId="72AD31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2D2401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天亿马数字产业</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340513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5F672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广东天亿马数字产业有限公司</w:t>
            </w:r>
          </w:p>
        </w:tc>
      </w:tr>
      <w:tr w14:paraId="148CC3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9B8F4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天亿马数字能源</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67339D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68EAD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r>
      <w:tr w14:paraId="7F840A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712C19B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81D0C3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CE2DB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r>
      <w:tr w14:paraId="57D444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1E416A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翼启数据</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3B44CA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F4CEA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广东翼启数据产业有限公司（曾用名：广东翼启计算机软件开发有限公司）</w:t>
            </w:r>
          </w:p>
        </w:tc>
      </w:tr>
      <w:tr w14:paraId="13EBB5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8188E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路创科技</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597B8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1703A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广州路创轨道科技有限公司</w:t>
            </w:r>
          </w:p>
        </w:tc>
      </w:tr>
      <w:tr w14:paraId="3FFE56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D2AC6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股东会</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8B35B6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46825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广东天亿马信息产业股份有限公司股东会</w:t>
            </w:r>
          </w:p>
        </w:tc>
      </w:tr>
      <w:tr w14:paraId="58A17E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73F52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B6AB4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27F46B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广东天亿马信息产业股份有限公司董事会</w:t>
            </w:r>
          </w:p>
        </w:tc>
      </w:tr>
      <w:tr w14:paraId="0B2CA5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7D292B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397915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45650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广东天亿马信息产业股份有限公司监事会</w:t>
            </w:r>
          </w:p>
        </w:tc>
      </w:tr>
      <w:tr w14:paraId="529300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3256E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三会</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2E353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6370CF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股份公司股东会、董事会、监事会</w:t>
            </w:r>
          </w:p>
        </w:tc>
      </w:tr>
      <w:tr w14:paraId="29B1D0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03E264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高级管理人员</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857C9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0B20D7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公司总经理、副总经理、董事会秘书、财务总监（财务负责人）</w:t>
            </w:r>
          </w:p>
        </w:tc>
      </w:tr>
      <w:tr w14:paraId="77DF75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0AF86F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三会议事规则</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C050D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A908E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股份公司《股东会议事规则》《董事会议事规则》《监事会议事规则》</w:t>
            </w:r>
          </w:p>
        </w:tc>
      </w:tr>
      <w:tr w14:paraId="31DBEE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659C92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《公司法》</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1187D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F6478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《中华人民共和国公司法》</w:t>
            </w:r>
          </w:p>
        </w:tc>
      </w:tr>
      <w:tr w14:paraId="0605E6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6B7CD3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《证券法》</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9BC227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619F98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《中华人民共和国证券法》</w:t>
            </w:r>
          </w:p>
        </w:tc>
      </w:tr>
      <w:tr w14:paraId="371D32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BB0FF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《公司章程》</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E45BDF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23627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最近一次经公司股东会批准的现行有效的章程</w:t>
            </w:r>
          </w:p>
        </w:tc>
      </w:tr>
      <w:tr w14:paraId="123FDA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15D9D6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五矿证券</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97034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481E6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五矿证券有限公司</w:t>
            </w:r>
          </w:p>
        </w:tc>
      </w:tr>
      <w:tr w14:paraId="4E4BDA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1FE9E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报告期、本期</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E9B6E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00F5E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2024年1月1日至2024年12月31日</w:t>
            </w:r>
          </w:p>
        </w:tc>
      </w:tr>
      <w:tr w14:paraId="553328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834BA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上年同期、上期</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3A131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A1A5B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2023年1月1日至2023年12月31日</w:t>
            </w:r>
          </w:p>
        </w:tc>
      </w:tr>
      <w:tr w14:paraId="6E141A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1553A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上年期末</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1E60C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D2DAC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2023年12月31日</w:t>
            </w:r>
          </w:p>
        </w:tc>
      </w:tr>
      <w:tr w14:paraId="30D660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AFA40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期初、报告期初、本报告期初</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6E6A1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11837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w:t>
            </w:r>
          </w:p>
        </w:tc>
      </w:tr>
      <w:tr w14:paraId="34AC6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95686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期末、报告期末、本报告期末</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AEC49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8CCE1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2024年12月31日</w:t>
            </w:r>
          </w:p>
        </w:tc>
      </w:tr>
      <w:tr w14:paraId="26459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AEE7A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元、万元</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31F7E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5C82BB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人民币元、人民币万元</w:t>
            </w:r>
          </w:p>
        </w:tc>
      </w:tr>
      <w:tr w14:paraId="534E97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1650A2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智慧城市</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C02C0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688770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运用物联网、云计算、大数据、空间地理信息集成等新一代信息技术，促进城市规划、建设、管理和服务智慧化的新理念和新模式</w:t>
            </w:r>
          </w:p>
        </w:tc>
      </w:tr>
      <w:tr w14:paraId="703BFF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8A4E7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智慧政务</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4A0200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5E7D78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运用云计算、大数据、物联网、人工智能等技术，通过监测、整合、分析、智能响应，实现各职能部门的各种资源的高度整合，提高政府的业务办理和管理效率</w:t>
            </w:r>
          </w:p>
        </w:tc>
      </w:tr>
      <w:tr w14:paraId="7E89CD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012764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智慧教育</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7F068C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4ADC4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即教育信息化，是指在教育管理、教育教学和教育科研等教育领域全面深入地运用现代信息技术来促进教育改革与发展的过程</w:t>
            </w:r>
          </w:p>
        </w:tc>
      </w:tr>
      <w:tr w14:paraId="7A8F77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0A49B1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智慧医疗</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9EEAC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05F672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通过大数据、物联网、云计算等技术，建立健康档案医疗信息平台，达到患者与医务人员、医疗机构、医疗设备之间的互动，实现数据化、标准化和智能化管理目的，从而提高医疗品质、效率与效益的新型医疗模式</w:t>
            </w:r>
          </w:p>
        </w:tc>
      </w:tr>
      <w:tr w14:paraId="0FF67D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7D0B68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解决方案</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D2C6B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2856E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涵盖IT基础设施建设、系统集成、软件开发及系统运行维护等系列服务，使整套系统能够实现特定的业务功能，满足客户业务需求的服务</w:t>
            </w:r>
          </w:p>
        </w:tc>
      </w:tr>
      <w:tr w14:paraId="498637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EE86B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1DB01D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6C6156E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根据客户的具体业务需求，将硬件平台、安全机制、操作系统、工具软件以及为客户需求定制开发的应用软件，集成为具有优良性价比的计算机信息系统工程</w:t>
            </w:r>
          </w:p>
        </w:tc>
      </w:tr>
      <w:tr w14:paraId="745BEB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69665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物联网</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535D6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F0924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即物物相连的互联网，是通过射频识别（RFID）、红外感应器、全球定位系统、激光扫描等信息传感设备，按约定的协议，把任何物品与互联网连接起来，进行信息交换和通讯，以实现智能化识别、定位、跟踪、监控和管理的一种网络</w:t>
            </w:r>
          </w:p>
        </w:tc>
      </w:tr>
      <w:tr w14:paraId="3BB4D5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681002C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云计算</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112DE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369FBD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一种按使用量付费的模式，这种模式提供可用的、便捷的、按需的网络访问，进入可配置的计算资源共享池（资源包括网络，服务器，存储，应用软件，服务），这些资源能够被快速提供，只需投入很少的管理工作，或与服务供应商进行很少的交互</w:t>
            </w:r>
          </w:p>
        </w:tc>
      </w:tr>
      <w:tr w14:paraId="2EE566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37A0D0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大数据</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09C9F7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B6DFA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一种规模大到在获取、存储、管理、分析方面大大超出了传统数据库软件工具能力范围的数据集合，具有海量的数据规模、快速的数据流转、多样的数据类型和价值密度低四大特征</w:t>
            </w:r>
          </w:p>
        </w:tc>
      </w:tr>
      <w:tr w14:paraId="295F88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1792C4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GIS</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226965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1E21E7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地理信息系统，是Geographic</w:t>
            </w:r>
          </w:p>
          <w:p w14:paraId="41B53F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Information System</w:t>
            </w:r>
          </w:p>
          <w:p w14:paraId="5FA2F0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的缩写，是以地理空间数据库为基础，在计算机软硬件的支持下，对地理空间信息进行采集、存储、检索、显示和分析的综合性技术系统</w:t>
            </w:r>
          </w:p>
        </w:tc>
      </w:tr>
      <w:tr w14:paraId="06CDDE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4AB80A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人工智能</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265169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46647BC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研究、开发用于模拟、延伸和扩展人的智能的理论、方法、技术及应用系统的一门新的技术学科</w:t>
            </w:r>
          </w:p>
        </w:tc>
      </w:tr>
      <w:tr w14:paraId="72A523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B68DA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5G</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5A5AA3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245F8BA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全球第五代移动通信系统，是fifth-generation</w:t>
            </w:r>
          </w:p>
          <w:p w14:paraId="1D6990E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的缩写，指移动电话系统第五代，也是4G 的延伸</w:t>
            </w:r>
          </w:p>
        </w:tc>
      </w:tr>
      <w:tr w14:paraId="6D337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77" w:type="dxa"/>
            <w:tcBorders>
              <w:top w:val="single" w:color="auto" w:sz="2" w:space="0"/>
              <w:left w:val="single" w:color="auto" w:sz="2" w:space="0"/>
              <w:bottom w:val="single" w:color="auto" w:sz="2" w:space="0"/>
              <w:right w:val="single" w:color="auto" w:sz="2" w:space="0"/>
            </w:tcBorders>
            <w:vAlign w:val="center"/>
          </w:tcPr>
          <w:p w14:paraId="5659EF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3D WebGL</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45170B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w:t>
            </w:r>
          </w:p>
        </w:tc>
        <w:tc>
          <w:tcPr>
            <w:tcW w:w="4144" w:type="dxa"/>
            <w:tcBorders>
              <w:top w:val="single" w:color="auto" w:sz="2" w:space="0"/>
              <w:left w:val="single" w:color="auto" w:sz="2" w:space="0"/>
              <w:bottom w:val="single" w:color="auto" w:sz="2" w:space="0"/>
              <w:right w:val="single" w:color="auto" w:sz="2" w:space="0"/>
            </w:tcBorders>
            <w:vAlign w:val="center"/>
          </w:tcPr>
          <w:p w14:paraId="76984F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是3D</w:t>
            </w:r>
          </w:p>
          <w:p w14:paraId="15D957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Web Graphics Library 的缩写，是一种三维绘图技术，该技术基于 Cesium 开源框架，面向 HTML 5</w:t>
            </w:r>
          </w:p>
          <w:p w14:paraId="5C5AE8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的三维应用开发，能快速构建内容丰富、响应迅速、体验流畅的三维场景与模型</w:t>
            </w:r>
          </w:p>
        </w:tc>
      </w:tr>
    </w:tbl>
    <w:p w14:paraId="046F9AA8">
      <w:pPr>
        <w:rPr>
          <w:rFonts w:ascii="Times New Roman" w:hAnsi="Times New Roman" w:cs="Times New Roman" w:eastAsiaTheme="majorEastAsia"/>
        </w:rPr>
      </w:pPr>
      <w:r>
        <w:rPr>
          <w:rFonts w:ascii="Times New Roman" w:hAnsi="Times New Roman" w:cs="Times New Roman" w:eastAsiaTheme="majorEastAsia"/>
        </w:rPr>
        <w:br w:type="page"/>
      </w:r>
    </w:p>
    <w:p w14:paraId="56834CF9">
      <w:pPr>
        <w:pStyle w:val="18"/>
        <w:spacing w:before="340" w:after="330" w:line="773" w:lineRule="exact"/>
        <w:jc w:val="center"/>
        <w:rPr>
          <w:rFonts w:ascii="Times New Roman" w:hAnsi="Times New Roman" w:cs="Times New Roman" w:eastAsiaTheme="majorEastAsia"/>
          <w:b/>
          <w:bCs/>
          <w:sz w:val="32"/>
          <w:szCs w:val="32"/>
        </w:rPr>
      </w:pPr>
      <w:bookmarkStart w:id="1" w:name="_Toc988890"/>
      <w:r>
        <w:rPr>
          <w:rFonts w:ascii="Times New Roman" w:hAnsi="Times New Roman" w:cs="Times New Roman" w:eastAsiaTheme="majorEastAsia"/>
          <w:b/>
          <w:bCs/>
          <w:sz w:val="32"/>
          <w:szCs w:val="32"/>
        </w:rPr>
        <w:t>第二节 公司简介和主要财务指标</w:t>
      </w:r>
      <w:bookmarkEnd w:id="1"/>
    </w:p>
    <w:p w14:paraId="0D2E0A1F">
      <w:pPr>
        <w:pStyle w:val="2"/>
        <w:spacing w:before="300" w:after="300" w:line="320" w:lineRule="exact"/>
        <w:rPr>
          <w:rFonts w:ascii="Times New Roman" w:hAnsi="Times New Roman" w:cs="Times New Roman" w:eastAsiaTheme="majorEastAsia"/>
          <w:b/>
          <w:bCs/>
          <w:sz w:val="24"/>
          <w:szCs w:val="24"/>
        </w:rPr>
      </w:pPr>
      <w:bookmarkStart w:id="2" w:name="_Toc988891"/>
      <w:r>
        <w:rPr>
          <w:rFonts w:ascii="Times New Roman" w:hAnsi="Times New Roman" w:cs="Times New Roman" w:eastAsiaTheme="majorEastAsia"/>
          <w:b/>
          <w:bCs/>
          <w:sz w:val="24"/>
          <w:szCs w:val="24"/>
        </w:rPr>
        <w:t>一、公司信息</w:t>
      </w:r>
      <w:bookmarkEnd w:id="2"/>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3228"/>
        <w:gridCol w:w="1592"/>
        <w:gridCol w:w="2410"/>
      </w:tblGrid>
      <w:tr w14:paraId="642AB0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C05C68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股票简称</w:t>
            </w:r>
          </w:p>
        </w:tc>
        <w:tc>
          <w:tcPr>
            <w:tcW w:w="3228" w:type="dxa"/>
            <w:tcBorders>
              <w:top w:val="single" w:color="auto" w:sz="2" w:space="0"/>
              <w:left w:val="single" w:color="auto" w:sz="2" w:space="0"/>
              <w:bottom w:val="single" w:color="auto" w:sz="2" w:space="0"/>
              <w:right w:val="single" w:color="auto" w:sz="2" w:space="0"/>
            </w:tcBorders>
            <w:vAlign w:val="center"/>
          </w:tcPr>
          <w:p w14:paraId="3AAACC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w:t>
            </w:r>
          </w:p>
        </w:tc>
        <w:tc>
          <w:tcPr>
            <w:tcW w:w="1592" w:type="dxa"/>
            <w:tcBorders>
              <w:top w:val="single" w:color="auto" w:sz="2" w:space="0"/>
              <w:left w:val="single" w:color="auto" w:sz="2" w:space="0"/>
              <w:bottom w:val="single" w:color="auto" w:sz="2" w:space="0"/>
              <w:right w:val="single" w:color="auto" w:sz="2" w:space="0"/>
            </w:tcBorders>
            <w:shd w:val="clear" w:color="auto" w:fill="D3D3D3"/>
            <w:vAlign w:val="center"/>
          </w:tcPr>
          <w:p w14:paraId="2DA9069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股票代码</w:t>
            </w:r>
          </w:p>
        </w:tc>
        <w:tc>
          <w:tcPr>
            <w:tcW w:w="2410" w:type="dxa"/>
            <w:tcBorders>
              <w:top w:val="single" w:color="auto" w:sz="2" w:space="0"/>
              <w:left w:val="single" w:color="auto" w:sz="2" w:space="0"/>
              <w:bottom w:val="single" w:color="auto" w:sz="2" w:space="0"/>
              <w:right w:val="single" w:color="auto" w:sz="2" w:space="0"/>
            </w:tcBorders>
            <w:vAlign w:val="center"/>
          </w:tcPr>
          <w:p w14:paraId="6CF5F8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301178</w:t>
            </w:r>
          </w:p>
        </w:tc>
      </w:tr>
      <w:tr w14:paraId="73F319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6F610B3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公司的中文名称</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21374A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w:t>
            </w:r>
          </w:p>
        </w:tc>
      </w:tr>
      <w:tr w14:paraId="39194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376FF1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公司的中文简称</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246E35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w:t>
            </w:r>
          </w:p>
        </w:tc>
      </w:tr>
      <w:tr w14:paraId="1A014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D02D7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公司的外文名称（如有）</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784939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Guangdong TianYiMa Information Industry Co., Ltd.</w:t>
            </w:r>
          </w:p>
        </w:tc>
      </w:tr>
      <w:tr w14:paraId="5BC32B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E5E33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公司的外文名称缩写（如有）</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66792B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TYM</w:t>
            </w:r>
          </w:p>
        </w:tc>
      </w:tr>
      <w:tr w14:paraId="41086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7ACF32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公司的法定代表人</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43754D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r>
      <w:tr w14:paraId="0254C7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3094DE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注册地址</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1D4C2D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汕头市嵩山路南20号天澜国际大厦西塔2111-2112房</w:t>
            </w:r>
          </w:p>
        </w:tc>
      </w:tr>
      <w:tr w14:paraId="41652C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0F188E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注册地址的邮政编码</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F3924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515054</w:t>
            </w:r>
          </w:p>
        </w:tc>
      </w:tr>
      <w:tr w14:paraId="3C06C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AA550D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公司注册地址历史变更情况</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2089B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年5月，公司注册地址由汕头市黄河路高新电脑中心218号变更为汕头市丹阳庄韩江大厦十楼1001号；2003年5月，变更为汕头市长平路中段南国商场三层F3002号之A、B间；2015年7月28日，变更为汕头市中山东路珠池港区物流楼B座206房；2018年4月11日，变更为汕头市嵩山路南20号天澜国际大厦西塔2111-2112房。</w:t>
            </w:r>
          </w:p>
        </w:tc>
      </w:tr>
      <w:tr w14:paraId="5A772A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DF0C58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办公地址</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335F0F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广东省汕头市海滨路55号海逸投资大厦4-5层</w:t>
            </w:r>
          </w:p>
        </w:tc>
      </w:tr>
      <w:tr w14:paraId="71CD06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DB6934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办公地址的邮政编码</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13C2CC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515041</w:t>
            </w:r>
          </w:p>
        </w:tc>
      </w:tr>
      <w:tr w14:paraId="25FA80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014E9D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公司网址</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71EDEF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http://www.tym.com.cn</w:t>
            </w:r>
          </w:p>
        </w:tc>
      </w:tr>
      <w:tr w14:paraId="6DB13B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0D1C510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电子信箱</w:t>
            </w:r>
          </w:p>
        </w:tc>
        <w:tc>
          <w:tcPr>
            <w:tcW w:w="7230" w:type="dxa"/>
            <w:gridSpan w:val="3"/>
            <w:tcBorders>
              <w:top w:val="single" w:color="auto" w:sz="2" w:space="0"/>
              <w:left w:val="single" w:color="auto" w:sz="2" w:space="0"/>
              <w:bottom w:val="single" w:color="auto" w:sz="2" w:space="0"/>
              <w:right w:val="single" w:color="auto" w:sz="2" w:space="0"/>
            </w:tcBorders>
            <w:vAlign w:val="center"/>
          </w:tcPr>
          <w:p w14:paraId="1D6CBB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Securities@tym.com.cn</w:t>
            </w:r>
          </w:p>
        </w:tc>
      </w:tr>
    </w:tbl>
    <w:p w14:paraId="14B5A71D">
      <w:pPr>
        <w:pStyle w:val="2"/>
        <w:spacing w:before="300" w:after="300" w:line="320" w:lineRule="exact"/>
        <w:rPr>
          <w:rFonts w:ascii="Times New Roman" w:hAnsi="Times New Roman" w:cs="Times New Roman" w:eastAsiaTheme="majorEastAsia"/>
          <w:b/>
          <w:bCs/>
          <w:sz w:val="24"/>
          <w:szCs w:val="24"/>
        </w:rPr>
      </w:pPr>
      <w:bookmarkStart w:id="3" w:name="_Toc988892"/>
      <w:r>
        <w:rPr>
          <w:rFonts w:ascii="Times New Roman" w:hAnsi="Times New Roman" w:cs="Times New Roman" w:eastAsiaTheme="majorEastAsia"/>
          <w:b/>
          <w:bCs/>
          <w:sz w:val="24"/>
          <w:szCs w:val="24"/>
        </w:rPr>
        <w:t>二、联系人和联系方式</w:t>
      </w:r>
      <w:bookmarkEnd w:id="3"/>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376"/>
        <w:gridCol w:w="3261"/>
        <w:gridCol w:w="4002"/>
      </w:tblGrid>
      <w:tr w14:paraId="2A881A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4510696B">
            <w:pPr>
              <w:rPr>
                <w:rFonts w:ascii="Times New Roman" w:hAnsi="Times New Roman" w:cs="Times New Roman" w:eastAsiaTheme="majorEastAsia"/>
              </w:rPr>
            </w:pPr>
          </w:p>
        </w:tc>
        <w:tc>
          <w:tcPr>
            <w:tcW w:w="3261" w:type="dxa"/>
            <w:tcBorders>
              <w:top w:val="single" w:color="auto" w:sz="2" w:space="0"/>
              <w:left w:val="single" w:color="auto" w:sz="2" w:space="0"/>
              <w:bottom w:val="single" w:color="auto" w:sz="2" w:space="0"/>
              <w:right w:val="single" w:color="auto" w:sz="2" w:space="0"/>
            </w:tcBorders>
            <w:shd w:val="clear" w:color="auto" w:fill="D3D3D3"/>
            <w:vAlign w:val="center"/>
          </w:tcPr>
          <w:p w14:paraId="7C25E1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董事会秘书</w:t>
            </w:r>
          </w:p>
        </w:tc>
        <w:tc>
          <w:tcPr>
            <w:tcW w:w="4002" w:type="dxa"/>
            <w:tcBorders>
              <w:top w:val="single" w:color="auto" w:sz="2" w:space="0"/>
              <w:left w:val="single" w:color="auto" w:sz="2" w:space="0"/>
              <w:bottom w:val="single" w:color="auto" w:sz="2" w:space="0"/>
              <w:right w:val="single" w:color="auto" w:sz="2" w:space="0"/>
            </w:tcBorders>
            <w:shd w:val="clear" w:color="auto" w:fill="D3D3D3"/>
            <w:vAlign w:val="center"/>
          </w:tcPr>
          <w:p w14:paraId="052B3D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证券事务代表</w:t>
            </w:r>
          </w:p>
        </w:tc>
      </w:tr>
      <w:tr w14:paraId="77BC2F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73F58A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姓名</w:t>
            </w:r>
          </w:p>
        </w:tc>
        <w:tc>
          <w:tcPr>
            <w:tcW w:w="3261" w:type="dxa"/>
            <w:tcBorders>
              <w:top w:val="single" w:color="auto" w:sz="2" w:space="0"/>
              <w:left w:val="single" w:color="auto" w:sz="2" w:space="0"/>
              <w:bottom w:val="single" w:color="auto" w:sz="2" w:space="0"/>
              <w:right w:val="single" w:color="auto" w:sz="2" w:space="0"/>
            </w:tcBorders>
            <w:vAlign w:val="center"/>
          </w:tcPr>
          <w:p w14:paraId="48BA4D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曹维</w:t>
            </w:r>
          </w:p>
        </w:tc>
        <w:tc>
          <w:tcPr>
            <w:tcW w:w="4002" w:type="dxa"/>
            <w:tcBorders>
              <w:top w:val="single" w:color="auto" w:sz="2" w:space="0"/>
              <w:left w:val="single" w:color="auto" w:sz="2" w:space="0"/>
              <w:bottom w:val="single" w:color="auto" w:sz="2" w:space="0"/>
              <w:right w:val="single" w:color="auto" w:sz="2" w:space="0"/>
            </w:tcBorders>
            <w:vAlign w:val="center"/>
          </w:tcPr>
          <w:p w14:paraId="58ADCB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黄舒倩</w:t>
            </w:r>
          </w:p>
        </w:tc>
      </w:tr>
      <w:tr w14:paraId="2D67C0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4F0E1B0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联系地址</w:t>
            </w:r>
          </w:p>
        </w:tc>
        <w:tc>
          <w:tcPr>
            <w:tcW w:w="3261" w:type="dxa"/>
            <w:tcBorders>
              <w:top w:val="single" w:color="auto" w:sz="2" w:space="0"/>
              <w:left w:val="single" w:color="auto" w:sz="2" w:space="0"/>
              <w:bottom w:val="single" w:color="auto" w:sz="2" w:space="0"/>
              <w:right w:val="single" w:color="auto" w:sz="2" w:space="0"/>
            </w:tcBorders>
            <w:vAlign w:val="center"/>
          </w:tcPr>
          <w:p w14:paraId="31FD1B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广东省汕头市海滨路 55 号海逸投资大厦 4-5 楼</w:t>
            </w:r>
          </w:p>
        </w:tc>
        <w:tc>
          <w:tcPr>
            <w:tcW w:w="4002" w:type="dxa"/>
            <w:tcBorders>
              <w:top w:val="single" w:color="auto" w:sz="2" w:space="0"/>
              <w:left w:val="single" w:color="auto" w:sz="2" w:space="0"/>
              <w:bottom w:val="single" w:color="auto" w:sz="2" w:space="0"/>
              <w:right w:val="single" w:color="auto" w:sz="2" w:space="0"/>
            </w:tcBorders>
            <w:vAlign w:val="center"/>
          </w:tcPr>
          <w:p w14:paraId="1FA5F0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广东省汕头市海滨路 55 号海逸投资大厦 4-5 楼</w:t>
            </w:r>
          </w:p>
        </w:tc>
      </w:tr>
      <w:tr w14:paraId="5F57C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4023BA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电话</w:t>
            </w:r>
          </w:p>
        </w:tc>
        <w:tc>
          <w:tcPr>
            <w:tcW w:w="3261" w:type="dxa"/>
            <w:tcBorders>
              <w:top w:val="single" w:color="auto" w:sz="2" w:space="0"/>
              <w:left w:val="single" w:color="auto" w:sz="2" w:space="0"/>
              <w:bottom w:val="single" w:color="auto" w:sz="2" w:space="0"/>
              <w:right w:val="single" w:color="auto" w:sz="2" w:space="0"/>
            </w:tcBorders>
            <w:vAlign w:val="center"/>
          </w:tcPr>
          <w:p w14:paraId="766C34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0754-88880666</w:t>
            </w:r>
          </w:p>
        </w:tc>
        <w:tc>
          <w:tcPr>
            <w:tcW w:w="4002" w:type="dxa"/>
            <w:tcBorders>
              <w:top w:val="single" w:color="auto" w:sz="2" w:space="0"/>
              <w:left w:val="single" w:color="auto" w:sz="2" w:space="0"/>
              <w:bottom w:val="single" w:color="auto" w:sz="2" w:space="0"/>
              <w:right w:val="single" w:color="auto" w:sz="2" w:space="0"/>
            </w:tcBorders>
            <w:vAlign w:val="center"/>
          </w:tcPr>
          <w:p w14:paraId="0D761C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0754-88880666</w:t>
            </w:r>
          </w:p>
        </w:tc>
      </w:tr>
      <w:tr w14:paraId="3933C7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2F102EE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传真</w:t>
            </w:r>
          </w:p>
        </w:tc>
        <w:tc>
          <w:tcPr>
            <w:tcW w:w="3261" w:type="dxa"/>
            <w:tcBorders>
              <w:top w:val="single" w:color="auto" w:sz="2" w:space="0"/>
              <w:left w:val="single" w:color="auto" w:sz="2" w:space="0"/>
              <w:bottom w:val="single" w:color="auto" w:sz="2" w:space="0"/>
              <w:right w:val="single" w:color="auto" w:sz="2" w:space="0"/>
            </w:tcBorders>
            <w:vAlign w:val="center"/>
          </w:tcPr>
          <w:p w14:paraId="57CF04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0754-88983999</w:t>
            </w:r>
          </w:p>
        </w:tc>
        <w:tc>
          <w:tcPr>
            <w:tcW w:w="4002" w:type="dxa"/>
            <w:tcBorders>
              <w:top w:val="single" w:color="auto" w:sz="2" w:space="0"/>
              <w:left w:val="single" w:color="auto" w:sz="2" w:space="0"/>
              <w:bottom w:val="single" w:color="auto" w:sz="2" w:space="0"/>
              <w:right w:val="single" w:color="auto" w:sz="2" w:space="0"/>
            </w:tcBorders>
            <w:vAlign w:val="center"/>
          </w:tcPr>
          <w:p w14:paraId="023D35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0754-88983999</w:t>
            </w:r>
          </w:p>
        </w:tc>
      </w:tr>
      <w:tr w14:paraId="629BF1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376" w:type="dxa"/>
            <w:tcBorders>
              <w:top w:val="single" w:color="auto" w:sz="2" w:space="0"/>
              <w:left w:val="single" w:color="auto" w:sz="2" w:space="0"/>
              <w:bottom w:val="single" w:color="auto" w:sz="2" w:space="0"/>
              <w:right w:val="single" w:color="auto" w:sz="2" w:space="0"/>
            </w:tcBorders>
            <w:shd w:val="clear" w:color="auto" w:fill="D3D3D3"/>
            <w:vAlign w:val="center"/>
          </w:tcPr>
          <w:p w14:paraId="66F462A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电子信箱</w:t>
            </w:r>
          </w:p>
        </w:tc>
        <w:tc>
          <w:tcPr>
            <w:tcW w:w="3261" w:type="dxa"/>
            <w:tcBorders>
              <w:top w:val="single" w:color="auto" w:sz="2" w:space="0"/>
              <w:left w:val="single" w:color="auto" w:sz="2" w:space="0"/>
              <w:bottom w:val="single" w:color="auto" w:sz="2" w:space="0"/>
              <w:right w:val="single" w:color="auto" w:sz="2" w:space="0"/>
            </w:tcBorders>
            <w:vAlign w:val="center"/>
          </w:tcPr>
          <w:p w14:paraId="2A81BB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Securities@tym.com.cn</w:t>
            </w:r>
          </w:p>
        </w:tc>
        <w:tc>
          <w:tcPr>
            <w:tcW w:w="4002" w:type="dxa"/>
            <w:tcBorders>
              <w:top w:val="single" w:color="auto" w:sz="2" w:space="0"/>
              <w:left w:val="single" w:color="auto" w:sz="2" w:space="0"/>
              <w:bottom w:val="single" w:color="auto" w:sz="2" w:space="0"/>
              <w:right w:val="single" w:color="auto" w:sz="2" w:space="0"/>
            </w:tcBorders>
            <w:vAlign w:val="center"/>
          </w:tcPr>
          <w:p w14:paraId="56E550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Securities@tym.com.cn</w:t>
            </w:r>
          </w:p>
        </w:tc>
      </w:tr>
    </w:tbl>
    <w:p w14:paraId="3D2E77F3">
      <w:pPr>
        <w:pStyle w:val="2"/>
        <w:spacing w:before="300" w:after="300" w:line="320" w:lineRule="exact"/>
        <w:rPr>
          <w:rFonts w:ascii="Times New Roman" w:hAnsi="Times New Roman" w:cs="Times New Roman" w:eastAsiaTheme="majorEastAsia"/>
          <w:b/>
          <w:bCs/>
          <w:sz w:val="24"/>
          <w:szCs w:val="24"/>
        </w:rPr>
      </w:pPr>
      <w:bookmarkStart w:id="4" w:name="_Toc988893"/>
      <w:r>
        <w:rPr>
          <w:rFonts w:ascii="Times New Roman" w:hAnsi="Times New Roman" w:cs="Times New Roman" w:eastAsiaTheme="majorEastAsia"/>
          <w:b/>
          <w:bCs/>
          <w:sz w:val="24"/>
          <w:szCs w:val="24"/>
        </w:rPr>
        <w:t>三、信息披露及备置地点</w:t>
      </w:r>
      <w:bookmarkEnd w:id="4"/>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637"/>
        <w:gridCol w:w="4002"/>
      </w:tblGrid>
      <w:tr w14:paraId="1CF09C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1CC65E5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公司披露年度报告的证券交易所网站</w:t>
            </w:r>
          </w:p>
        </w:tc>
        <w:tc>
          <w:tcPr>
            <w:tcW w:w="4002" w:type="dxa"/>
            <w:tcBorders>
              <w:top w:val="single" w:color="auto" w:sz="2" w:space="0"/>
              <w:left w:val="single" w:color="auto" w:sz="2" w:space="0"/>
              <w:bottom w:val="single" w:color="auto" w:sz="2" w:space="0"/>
              <w:right w:val="single" w:color="auto" w:sz="2" w:space="0"/>
            </w:tcBorders>
            <w:vAlign w:val="center"/>
          </w:tcPr>
          <w:p w14:paraId="0E7C36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深圳证券交易所(http://www.szse.cn)</w:t>
            </w:r>
          </w:p>
        </w:tc>
      </w:tr>
      <w:tr w14:paraId="52813E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7630B52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公司披露年度报告的媒体名称及网址</w:t>
            </w:r>
          </w:p>
        </w:tc>
        <w:tc>
          <w:tcPr>
            <w:tcW w:w="4002" w:type="dxa"/>
            <w:tcBorders>
              <w:top w:val="single" w:color="auto" w:sz="2" w:space="0"/>
              <w:left w:val="single" w:color="auto" w:sz="2" w:space="0"/>
              <w:bottom w:val="single" w:color="auto" w:sz="2" w:space="0"/>
              <w:right w:val="single" w:color="auto" w:sz="2" w:space="0"/>
            </w:tcBorders>
            <w:vAlign w:val="center"/>
          </w:tcPr>
          <w:p w14:paraId="0B1A0E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巨潮资讯网（http://www.cninfo.com.cn）</w:t>
            </w:r>
          </w:p>
        </w:tc>
      </w:tr>
      <w:tr w14:paraId="42E079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42AFEE4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公司年度报告备置地点</w:t>
            </w:r>
          </w:p>
        </w:tc>
        <w:tc>
          <w:tcPr>
            <w:tcW w:w="4002" w:type="dxa"/>
            <w:tcBorders>
              <w:top w:val="single" w:color="auto" w:sz="2" w:space="0"/>
              <w:left w:val="single" w:color="auto" w:sz="2" w:space="0"/>
              <w:bottom w:val="single" w:color="auto" w:sz="2" w:space="0"/>
              <w:right w:val="single" w:color="auto" w:sz="2" w:space="0"/>
            </w:tcBorders>
            <w:vAlign w:val="center"/>
          </w:tcPr>
          <w:p w14:paraId="0CAC47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证券部</w:t>
            </w:r>
          </w:p>
        </w:tc>
      </w:tr>
    </w:tbl>
    <w:p w14:paraId="4D90B479">
      <w:pPr>
        <w:pStyle w:val="2"/>
        <w:spacing w:before="300" w:after="300" w:line="320" w:lineRule="exact"/>
        <w:rPr>
          <w:rFonts w:ascii="Times New Roman" w:hAnsi="Times New Roman" w:cs="Times New Roman" w:eastAsiaTheme="majorEastAsia"/>
          <w:b/>
          <w:bCs/>
          <w:sz w:val="24"/>
          <w:szCs w:val="24"/>
        </w:rPr>
      </w:pPr>
      <w:bookmarkStart w:id="5" w:name="_Toc988894"/>
      <w:r>
        <w:rPr>
          <w:rFonts w:ascii="Times New Roman" w:hAnsi="Times New Roman" w:cs="Times New Roman" w:eastAsiaTheme="majorEastAsia"/>
          <w:b/>
          <w:bCs/>
          <w:sz w:val="24"/>
          <w:szCs w:val="24"/>
        </w:rPr>
        <w:t>四、其他有关资料</w:t>
      </w:r>
      <w:bookmarkEnd w:id="5"/>
    </w:p>
    <w:p w14:paraId="647F603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公司聘请的会计师事务所</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637"/>
        <w:gridCol w:w="4002"/>
      </w:tblGrid>
      <w:tr w14:paraId="4A7B4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46F960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会计师事务所名称</w:t>
            </w:r>
          </w:p>
        </w:tc>
        <w:tc>
          <w:tcPr>
            <w:tcW w:w="4002" w:type="dxa"/>
            <w:tcBorders>
              <w:top w:val="single" w:color="auto" w:sz="2" w:space="0"/>
              <w:left w:val="single" w:color="auto" w:sz="2" w:space="0"/>
              <w:bottom w:val="single" w:color="auto" w:sz="2" w:space="0"/>
              <w:right w:val="single" w:color="auto" w:sz="2" w:space="0"/>
            </w:tcBorders>
            <w:vAlign w:val="center"/>
          </w:tcPr>
          <w:p w14:paraId="658FBA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中审亚太会计师事务所（特殊普通合伙）</w:t>
            </w:r>
          </w:p>
        </w:tc>
      </w:tr>
      <w:tr w14:paraId="10367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437EF92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会计师事务所办公地址</w:t>
            </w:r>
          </w:p>
        </w:tc>
        <w:tc>
          <w:tcPr>
            <w:tcW w:w="4002" w:type="dxa"/>
            <w:tcBorders>
              <w:top w:val="single" w:color="auto" w:sz="2" w:space="0"/>
              <w:left w:val="single" w:color="auto" w:sz="2" w:space="0"/>
              <w:bottom w:val="single" w:color="auto" w:sz="2" w:space="0"/>
              <w:right w:val="single" w:color="auto" w:sz="2" w:space="0"/>
            </w:tcBorders>
            <w:vAlign w:val="center"/>
          </w:tcPr>
          <w:p w14:paraId="40ADC4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北京市海淀区复兴路47号天行建商务大厦20层2206</w:t>
            </w:r>
          </w:p>
        </w:tc>
      </w:tr>
      <w:tr w14:paraId="460A59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637" w:type="dxa"/>
            <w:tcBorders>
              <w:top w:val="single" w:color="auto" w:sz="2" w:space="0"/>
              <w:left w:val="single" w:color="auto" w:sz="2" w:space="0"/>
              <w:bottom w:val="single" w:color="auto" w:sz="2" w:space="0"/>
              <w:right w:val="single" w:color="auto" w:sz="2" w:space="0"/>
            </w:tcBorders>
            <w:shd w:val="clear" w:color="auto" w:fill="D3D3D3"/>
            <w:vAlign w:val="center"/>
          </w:tcPr>
          <w:p w14:paraId="5E693CA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签字会计师姓名</w:t>
            </w:r>
          </w:p>
        </w:tc>
        <w:tc>
          <w:tcPr>
            <w:tcW w:w="4002" w:type="dxa"/>
            <w:tcBorders>
              <w:top w:val="single" w:color="auto" w:sz="2" w:space="0"/>
              <w:left w:val="single" w:color="auto" w:sz="2" w:space="0"/>
              <w:bottom w:val="single" w:color="auto" w:sz="2" w:space="0"/>
              <w:right w:val="single" w:color="auto" w:sz="2" w:space="0"/>
            </w:tcBorders>
            <w:vAlign w:val="center"/>
          </w:tcPr>
          <w:p w14:paraId="0AF980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肖建鑫、王骏</w:t>
            </w:r>
          </w:p>
        </w:tc>
      </w:tr>
    </w:tbl>
    <w:p w14:paraId="642C013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公司聘请的报告期内履行持续督导职责的保荐机构</w:t>
      </w:r>
    </w:p>
    <w:p w14:paraId="7429382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3228"/>
        <w:gridCol w:w="1984"/>
        <w:gridCol w:w="2018"/>
      </w:tblGrid>
      <w:tr w14:paraId="3F70EB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A6526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保荐机构名称</w:t>
            </w:r>
          </w:p>
        </w:tc>
        <w:tc>
          <w:tcPr>
            <w:tcW w:w="3228" w:type="dxa"/>
            <w:tcBorders>
              <w:top w:val="single" w:color="auto" w:sz="2" w:space="0"/>
              <w:left w:val="single" w:color="auto" w:sz="2" w:space="0"/>
              <w:bottom w:val="single" w:color="auto" w:sz="2" w:space="0"/>
              <w:right w:val="single" w:color="auto" w:sz="2" w:space="0"/>
            </w:tcBorders>
            <w:shd w:val="clear" w:color="auto" w:fill="D3D3D3"/>
            <w:vAlign w:val="center"/>
          </w:tcPr>
          <w:p w14:paraId="0E6B35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保荐机构办公地址</w:t>
            </w:r>
          </w:p>
        </w:tc>
        <w:tc>
          <w:tcPr>
            <w:tcW w:w="1984" w:type="dxa"/>
            <w:tcBorders>
              <w:top w:val="single" w:color="auto" w:sz="2" w:space="0"/>
              <w:left w:val="single" w:color="auto" w:sz="2" w:space="0"/>
              <w:bottom w:val="single" w:color="auto" w:sz="2" w:space="0"/>
              <w:right w:val="single" w:color="auto" w:sz="2" w:space="0"/>
            </w:tcBorders>
            <w:shd w:val="clear" w:color="auto" w:fill="D3D3D3"/>
            <w:vAlign w:val="center"/>
          </w:tcPr>
          <w:p w14:paraId="5D3ABBF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保荐代表人姓名</w:t>
            </w:r>
          </w:p>
        </w:tc>
        <w:tc>
          <w:tcPr>
            <w:tcW w:w="2018" w:type="dxa"/>
            <w:tcBorders>
              <w:top w:val="single" w:color="auto" w:sz="2" w:space="0"/>
              <w:left w:val="single" w:color="auto" w:sz="2" w:space="0"/>
              <w:bottom w:val="single" w:color="auto" w:sz="2" w:space="0"/>
              <w:right w:val="single" w:color="auto" w:sz="2" w:space="0"/>
            </w:tcBorders>
            <w:shd w:val="clear" w:color="auto" w:fill="D3D3D3"/>
            <w:vAlign w:val="center"/>
          </w:tcPr>
          <w:p w14:paraId="09A545C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持续督导期间</w:t>
            </w:r>
          </w:p>
        </w:tc>
      </w:tr>
      <w:tr w14:paraId="715C0A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vAlign w:val="center"/>
          </w:tcPr>
          <w:p w14:paraId="1E9154C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五矿证券有限公司</w:t>
            </w:r>
          </w:p>
        </w:tc>
        <w:tc>
          <w:tcPr>
            <w:tcW w:w="3228" w:type="dxa"/>
            <w:tcBorders>
              <w:top w:val="single" w:color="auto" w:sz="2" w:space="0"/>
              <w:left w:val="single" w:color="auto" w:sz="2" w:space="0"/>
              <w:bottom w:val="single" w:color="auto" w:sz="2" w:space="0"/>
              <w:right w:val="single" w:color="auto" w:sz="2" w:space="0"/>
            </w:tcBorders>
            <w:vAlign w:val="center"/>
          </w:tcPr>
          <w:p w14:paraId="5DA260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深圳市南山区粤海街道海珠社区滨海大道3165 号五矿金融大厦2401</w:t>
            </w:r>
          </w:p>
        </w:tc>
        <w:tc>
          <w:tcPr>
            <w:tcW w:w="1984" w:type="dxa"/>
            <w:tcBorders>
              <w:top w:val="single" w:color="auto" w:sz="2" w:space="0"/>
              <w:left w:val="single" w:color="auto" w:sz="2" w:space="0"/>
              <w:bottom w:val="single" w:color="auto" w:sz="2" w:space="0"/>
              <w:right w:val="single" w:color="auto" w:sz="2" w:space="0"/>
            </w:tcBorders>
            <w:vAlign w:val="center"/>
          </w:tcPr>
          <w:p w14:paraId="49EA03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温波、宋平</w:t>
            </w:r>
          </w:p>
        </w:tc>
        <w:tc>
          <w:tcPr>
            <w:tcW w:w="2018" w:type="dxa"/>
            <w:tcBorders>
              <w:top w:val="single" w:color="auto" w:sz="2" w:space="0"/>
              <w:left w:val="single" w:color="auto" w:sz="2" w:space="0"/>
              <w:bottom w:val="single" w:color="auto" w:sz="2" w:space="0"/>
              <w:right w:val="single" w:color="auto" w:sz="2" w:space="0"/>
            </w:tcBorders>
            <w:vAlign w:val="center"/>
          </w:tcPr>
          <w:p w14:paraId="224735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2021年11月12日至首次公开发行募集资金使用完毕日为止。</w:t>
            </w:r>
          </w:p>
        </w:tc>
      </w:tr>
    </w:tbl>
    <w:p w14:paraId="6935066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公司聘请的报告期内履行持续督导职责的财务顾问</w:t>
      </w:r>
    </w:p>
    <w:p w14:paraId="6448B63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728B661">
      <w:pPr>
        <w:pStyle w:val="2"/>
        <w:spacing w:before="300" w:after="300" w:line="320" w:lineRule="exact"/>
        <w:rPr>
          <w:rFonts w:ascii="Times New Roman" w:hAnsi="Times New Roman" w:cs="Times New Roman" w:eastAsiaTheme="majorEastAsia"/>
          <w:b/>
          <w:bCs/>
          <w:sz w:val="24"/>
          <w:szCs w:val="24"/>
        </w:rPr>
      </w:pPr>
      <w:bookmarkStart w:id="6" w:name="_Toc988895"/>
      <w:r>
        <w:rPr>
          <w:rFonts w:ascii="Times New Roman" w:hAnsi="Times New Roman" w:cs="Times New Roman" w:eastAsiaTheme="majorEastAsia"/>
          <w:b/>
          <w:bCs/>
          <w:sz w:val="24"/>
          <w:szCs w:val="24"/>
        </w:rPr>
        <w:t>五、主要会计数据和财务指标</w:t>
      </w:r>
      <w:bookmarkEnd w:id="6"/>
    </w:p>
    <w:p w14:paraId="4304910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公司是否需追溯调整或重述以前年度会计数据</w:t>
      </w:r>
    </w:p>
    <w:p w14:paraId="15C0C12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tbl>
      <w:tblPr>
        <w:tblStyle w:val="12"/>
        <w:tblW w:w="4901"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791"/>
        <w:gridCol w:w="1476"/>
        <w:gridCol w:w="1476"/>
        <w:gridCol w:w="1445"/>
        <w:gridCol w:w="1470"/>
      </w:tblGrid>
      <w:tr w14:paraId="007A00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4E852F6D">
            <w:pPr>
              <w:rPr>
                <w:rFonts w:ascii="Times New Roman" w:hAnsi="Times New Roman" w:cs="Times New Roman" w:eastAsiaTheme="majorEastAsia"/>
              </w:rPr>
            </w:pPr>
          </w:p>
        </w:tc>
        <w:tc>
          <w:tcPr>
            <w:tcW w:w="764" w:type="pct"/>
            <w:tcBorders>
              <w:top w:val="single" w:color="auto" w:sz="2" w:space="0"/>
              <w:left w:val="single" w:color="auto" w:sz="2" w:space="0"/>
              <w:bottom w:val="single" w:color="auto" w:sz="2" w:space="0"/>
              <w:right w:val="single" w:color="auto" w:sz="2" w:space="0"/>
            </w:tcBorders>
            <w:shd w:val="clear" w:color="auto" w:fill="D3D3D3"/>
            <w:vAlign w:val="center"/>
          </w:tcPr>
          <w:p w14:paraId="4AE24F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764" w:type="pct"/>
            <w:tcBorders>
              <w:top w:val="single" w:color="auto" w:sz="2" w:space="0"/>
              <w:left w:val="single" w:color="auto" w:sz="2" w:space="0"/>
              <w:bottom w:val="single" w:color="auto" w:sz="2" w:space="0"/>
              <w:right w:val="single" w:color="auto" w:sz="2" w:space="0"/>
            </w:tcBorders>
            <w:shd w:val="clear" w:color="auto" w:fill="D3D3D3"/>
            <w:vAlign w:val="center"/>
          </w:tcPr>
          <w:p w14:paraId="48DB8B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748" w:type="pct"/>
            <w:tcBorders>
              <w:top w:val="single" w:color="auto" w:sz="2" w:space="0"/>
              <w:left w:val="single" w:color="auto" w:sz="2" w:space="0"/>
              <w:bottom w:val="single" w:color="auto" w:sz="2" w:space="0"/>
              <w:right w:val="single" w:color="auto" w:sz="2" w:space="0"/>
            </w:tcBorders>
            <w:shd w:val="clear" w:color="auto" w:fill="D3D3D3"/>
            <w:vAlign w:val="center"/>
          </w:tcPr>
          <w:p w14:paraId="73087AF4">
            <w:pPr>
              <w:spacing w:before="40" w:after="40" w:line="240" w:lineRule="exact"/>
              <w:ind w:left="-105" w:leftChars="-50" w:right="-105" w:rightChars="-50"/>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本年比上年增减</w:t>
            </w:r>
          </w:p>
        </w:tc>
        <w:tc>
          <w:tcPr>
            <w:tcW w:w="761" w:type="pct"/>
            <w:tcBorders>
              <w:top w:val="single" w:color="auto" w:sz="2" w:space="0"/>
              <w:left w:val="single" w:color="auto" w:sz="2" w:space="0"/>
              <w:bottom w:val="single" w:color="auto" w:sz="2" w:space="0"/>
              <w:right w:val="single" w:color="auto" w:sz="2" w:space="0"/>
            </w:tcBorders>
            <w:shd w:val="clear" w:color="auto" w:fill="D3D3D3"/>
            <w:vAlign w:val="center"/>
          </w:tcPr>
          <w:p w14:paraId="6BC1F6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w:t>
            </w:r>
          </w:p>
        </w:tc>
      </w:tr>
      <w:tr w14:paraId="65347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0DE557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营业收入（元）</w:t>
            </w:r>
          </w:p>
        </w:tc>
        <w:tc>
          <w:tcPr>
            <w:tcW w:w="764" w:type="pct"/>
            <w:tcBorders>
              <w:top w:val="single" w:color="auto" w:sz="2" w:space="0"/>
              <w:left w:val="single" w:color="auto" w:sz="2" w:space="0"/>
              <w:bottom w:val="single" w:color="auto" w:sz="2" w:space="0"/>
              <w:right w:val="single" w:color="auto" w:sz="2" w:space="0"/>
            </w:tcBorders>
            <w:vAlign w:val="center"/>
          </w:tcPr>
          <w:p w14:paraId="3F554A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764" w:type="pct"/>
            <w:tcBorders>
              <w:top w:val="single" w:color="auto" w:sz="2" w:space="0"/>
              <w:left w:val="single" w:color="auto" w:sz="2" w:space="0"/>
              <w:bottom w:val="single" w:color="auto" w:sz="2" w:space="0"/>
              <w:right w:val="single" w:color="auto" w:sz="2" w:space="0"/>
            </w:tcBorders>
            <w:vAlign w:val="center"/>
          </w:tcPr>
          <w:p w14:paraId="0BF2AE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748" w:type="pct"/>
            <w:tcBorders>
              <w:top w:val="single" w:color="auto" w:sz="2" w:space="0"/>
              <w:left w:val="single" w:color="auto" w:sz="2" w:space="0"/>
              <w:bottom w:val="single" w:color="auto" w:sz="2" w:space="0"/>
              <w:right w:val="single" w:color="auto" w:sz="2" w:space="0"/>
            </w:tcBorders>
            <w:vAlign w:val="center"/>
          </w:tcPr>
          <w:p w14:paraId="2E76B7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-45.46%</w:t>
            </w:r>
          </w:p>
        </w:tc>
        <w:tc>
          <w:tcPr>
            <w:tcW w:w="761" w:type="pct"/>
            <w:tcBorders>
              <w:top w:val="single" w:color="auto" w:sz="2" w:space="0"/>
              <w:left w:val="single" w:color="auto" w:sz="2" w:space="0"/>
              <w:bottom w:val="single" w:color="auto" w:sz="2" w:space="0"/>
              <w:right w:val="single" w:color="auto" w:sz="2" w:space="0"/>
            </w:tcBorders>
            <w:vAlign w:val="center"/>
          </w:tcPr>
          <w:p w14:paraId="760CEB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439,217,532.36</w:t>
            </w:r>
          </w:p>
        </w:tc>
      </w:tr>
      <w:tr w14:paraId="30455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779FA32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归属于上市公司股东的净利润（元）</w:t>
            </w:r>
          </w:p>
        </w:tc>
        <w:tc>
          <w:tcPr>
            <w:tcW w:w="764" w:type="pct"/>
            <w:tcBorders>
              <w:top w:val="single" w:color="auto" w:sz="2" w:space="0"/>
              <w:left w:val="single" w:color="auto" w:sz="2" w:space="0"/>
              <w:bottom w:val="single" w:color="auto" w:sz="2" w:space="0"/>
              <w:right w:val="single" w:color="auto" w:sz="2" w:space="0"/>
            </w:tcBorders>
            <w:vAlign w:val="center"/>
          </w:tcPr>
          <w:p w14:paraId="178183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-49,552,838.46</w:t>
            </w:r>
          </w:p>
        </w:tc>
        <w:tc>
          <w:tcPr>
            <w:tcW w:w="764" w:type="pct"/>
            <w:tcBorders>
              <w:top w:val="single" w:color="auto" w:sz="2" w:space="0"/>
              <w:left w:val="single" w:color="auto" w:sz="2" w:space="0"/>
              <w:bottom w:val="single" w:color="auto" w:sz="2" w:space="0"/>
              <w:right w:val="single" w:color="auto" w:sz="2" w:space="0"/>
            </w:tcBorders>
            <w:vAlign w:val="center"/>
          </w:tcPr>
          <w:p w14:paraId="583093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6,389,000.49</w:t>
            </w:r>
          </w:p>
        </w:tc>
        <w:tc>
          <w:tcPr>
            <w:tcW w:w="748" w:type="pct"/>
            <w:tcBorders>
              <w:top w:val="single" w:color="auto" w:sz="2" w:space="0"/>
              <w:left w:val="single" w:color="auto" w:sz="2" w:space="0"/>
              <w:bottom w:val="single" w:color="auto" w:sz="2" w:space="0"/>
              <w:right w:val="single" w:color="auto" w:sz="2" w:space="0"/>
            </w:tcBorders>
            <w:vAlign w:val="center"/>
          </w:tcPr>
          <w:p w14:paraId="6F918C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-875.60%</w:t>
            </w:r>
          </w:p>
        </w:tc>
        <w:tc>
          <w:tcPr>
            <w:tcW w:w="761" w:type="pct"/>
            <w:tcBorders>
              <w:top w:val="single" w:color="auto" w:sz="2" w:space="0"/>
              <w:left w:val="single" w:color="auto" w:sz="2" w:space="0"/>
              <w:bottom w:val="single" w:color="auto" w:sz="2" w:space="0"/>
              <w:right w:val="single" w:color="auto" w:sz="2" w:space="0"/>
            </w:tcBorders>
            <w:vAlign w:val="center"/>
          </w:tcPr>
          <w:p w14:paraId="293391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39,562,653.20</w:t>
            </w:r>
          </w:p>
        </w:tc>
      </w:tr>
      <w:tr w14:paraId="25A3E7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343366D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归属于上市公司股东的扣除非经常性损益的净利润（元）</w:t>
            </w:r>
          </w:p>
        </w:tc>
        <w:tc>
          <w:tcPr>
            <w:tcW w:w="764" w:type="pct"/>
            <w:tcBorders>
              <w:top w:val="single" w:color="auto" w:sz="2" w:space="0"/>
              <w:left w:val="single" w:color="auto" w:sz="2" w:space="0"/>
              <w:bottom w:val="single" w:color="auto" w:sz="2" w:space="0"/>
              <w:right w:val="single" w:color="auto" w:sz="2" w:space="0"/>
            </w:tcBorders>
            <w:vAlign w:val="center"/>
          </w:tcPr>
          <w:p w14:paraId="60A03E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-48,890,667.24</w:t>
            </w:r>
          </w:p>
        </w:tc>
        <w:tc>
          <w:tcPr>
            <w:tcW w:w="764" w:type="pct"/>
            <w:tcBorders>
              <w:top w:val="single" w:color="auto" w:sz="2" w:space="0"/>
              <w:left w:val="single" w:color="auto" w:sz="2" w:space="0"/>
              <w:bottom w:val="single" w:color="auto" w:sz="2" w:space="0"/>
              <w:right w:val="single" w:color="auto" w:sz="2" w:space="0"/>
            </w:tcBorders>
            <w:vAlign w:val="center"/>
          </w:tcPr>
          <w:p w14:paraId="4457465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4,948,441.78</w:t>
            </w:r>
          </w:p>
        </w:tc>
        <w:tc>
          <w:tcPr>
            <w:tcW w:w="748" w:type="pct"/>
            <w:tcBorders>
              <w:top w:val="single" w:color="auto" w:sz="2" w:space="0"/>
              <w:left w:val="single" w:color="auto" w:sz="2" w:space="0"/>
              <w:bottom w:val="single" w:color="auto" w:sz="2" w:space="0"/>
              <w:right w:val="single" w:color="auto" w:sz="2" w:space="0"/>
            </w:tcBorders>
            <w:vAlign w:val="center"/>
          </w:tcPr>
          <w:p w14:paraId="2657F2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-1,088.00%</w:t>
            </w:r>
          </w:p>
        </w:tc>
        <w:tc>
          <w:tcPr>
            <w:tcW w:w="761" w:type="pct"/>
            <w:tcBorders>
              <w:top w:val="single" w:color="auto" w:sz="2" w:space="0"/>
              <w:left w:val="single" w:color="auto" w:sz="2" w:space="0"/>
              <w:bottom w:val="single" w:color="auto" w:sz="2" w:space="0"/>
              <w:right w:val="single" w:color="auto" w:sz="2" w:space="0"/>
            </w:tcBorders>
            <w:vAlign w:val="center"/>
          </w:tcPr>
          <w:p w14:paraId="0CFE6E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29,039,448.10</w:t>
            </w:r>
          </w:p>
        </w:tc>
      </w:tr>
      <w:tr w14:paraId="379273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55141EA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经营活动产生的现金流量净额（元）</w:t>
            </w:r>
          </w:p>
        </w:tc>
        <w:tc>
          <w:tcPr>
            <w:tcW w:w="764" w:type="pct"/>
            <w:tcBorders>
              <w:top w:val="single" w:color="auto" w:sz="2" w:space="0"/>
              <w:left w:val="single" w:color="auto" w:sz="2" w:space="0"/>
              <w:bottom w:val="single" w:color="auto" w:sz="2" w:space="0"/>
              <w:right w:val="single" w:color="auto" w:sz="2" w:space="0"/>
            </w:tcBorders>
            <w:vAlign w:val="center"/>
          </w:tcPr>
          <w:p w14:paraId="554874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-54,239,504.38</w:t>
            </w:r>
          </w:p>
        </w:tc>
        <w:tc>
          <w:tcPr>
            <w:tcW w:w="764" w:type="pct"/>
            <w:tcBorders>
              <w:top w:val="single" w:color="auto" w:sz="2" w:space="0"/>
              <w:left w:val="single" w:color="auto" w:sz="2" w:space="0"/>
              <w:bottom w:val="single" w:color="auto" w:sz="2" w:space="0"/>
              <w:right w:val="single" w:color="auto" w:sz="2" w:space="0"/>
            </w:tcBorders>
            <w:vAlign w:val="center"/>
          </w:tcPr>
          <w:p w14:paraId="36ED40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8,380,672.05</w:t>
            </w:r>
          </w:p>
        </w:tc>
        <w:tc>
          <w:tcPr>
            <w:tcW w:w="748" w:type="pct"/>
            <w:tcBorders>
              <w:top w:val="single" w:color="auto" w:sz="2" w:space="0"/>
              <w:left w:val="single" w:color="auto" w:sz="2" w:space="0"/>
              <w:bottom w:val="single" w:color="auto" w:sz="2" w:space="0"/>
              <w:right w:val="single" w:color="auto" w:sz="2" w:space="0"/>
            </w:tcBorders>
            <w:vAlign w:val="center"/>
          </w:tcPr>
          <w:p w14:paraId="4F4AC0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-747.20%</w:t>
            </w:r>
          </w:p>
        </w:tc>
        <w:tc>
          <w:tcPr>
            <w:tcW w:w="761" w:type="pct"/>
            <w:tcBorders>
              <w:top w:val="single" w:color="auto" w:sz="2" w:space="0"/>
              <w:left w:val="single" w:color="auto" w:sz="2" w:space="0"/>
              <w:bottom w:val="single" w:color="auto" w:sz="2" w:space="0"/>
              <w:right w:val="single" w:color="auto" w:sz="2" w:space="0"/>
            </w:tcBorders>
            <w:vAlign w:val="center"/>
          </w:tcPr>
          <w:p w14:paraId="6E3D79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-64,143,131.73</w:t>
            </w:r>
          </w:p>
        </w:tc>
      </w:tr>
      <w:tr w14:paraId="24918D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74A8B96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基本每股收益（元/股）</w:t>
            </w:r>
          </w:p>
        </w:tc>
        <w:tc>
          <w:tcPr>
            <w:tcW w:w="764" w:type="pct"/>
            <w:tcBorders>
              <w:top w:val="single" w:color="auto" w:sz="2" w:space="0"/>
              <w:left w:val="single" w:color="auto" w:sz="2" w:space="0"/>
              <w:bottom w:val="single" w:color="auto" w:sz="2" w:space="0"/>
              <w:right w:val="single" w:color="auto" w:sz="2" w:space="0"/>
            </w:tcBorders>
            <w:vAlign w:val="center"/>
          </w:tcPr>
          <w:p w14:paraId="6CF0A6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-0.74</w:t>
            </w:r>
          </w:p>
        </w:tc>
        <w:tc>
          <w:tcPr>
            <w:tcW w:w="764" w:type="pct"/>
            <w:tcBorders>
              <w:top w:val="single" w:color="auto" w:sz="2" w:space="0"/>
              <w:left w:val="single" w:color="auto" w:sz="2" w:space="0"/>
              <w:bottom w:val="single" w:color="auto" w:sz="2" w:space="0"/>
              <w:right w:val="single" w:color="auto" w:sz="2" w:space="0"/>
            </w:tcBorders>
            <w:vAlign w:val="center"/>
          </w:tcPr>
          <w:p w14:paraId="0EEEAD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0.10</w:t>
            </w:r>
          </w:p>
        </w:tc>
        <w:tc>
          <w:tcPr>
            <w:tcW w:w="748" w:type="pct"/>
            <w:tcBorders>
              <w:top w:val="single" w:color="auto" w:sz="2" w:space="0"/>
              <w:left w:val="single" w:color="auto" w:sz="2" w:space="0"/>
              <w:bottom w:val="single" w:color="auto" w:sz="2" w:space="0"/>
              <w:right w:val="single" w:color="auto" w:sz="2" w:space="0"/>
            </w:tcBorders>
            <w:vAlign w:val="center"/>
          </w:tcPr>
          <w:p w14:paraId="7FDFA3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-840.00%</w:t>
            </w:r>
          </w:p>
        </w:tc>
        <w:tc>
          <w:tcPr>
            <w:tcW w:w="761" w:type="pct"/>
            <w:tcBorders>
              <w:top w:val="single" w:color="auto" w:sz="2" w:space="0"/>
              <w:left w:val="single" w:color="auto" w:sz="2" w:space="0"/>
              <w:bottom w:val="single" w:color="auto" w:sz="2" w:space="0"/>
              <w:right w:val="single" w:color="auto" w:sz="2" w:space="0"/>
            </w:tcBorders>
            <w:vAlign w:val="center"/>
          </w:tcPr>
          <w:p w14:paraId="7FD47E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0.60</w:t>
            </w:r>
          </w:p>
        </w:tc>
      </w:tr>
      <w:tr w14:paraId="36CF89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645A773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稀释每股收益（元/股）</w:t>
            </w:r>
          </w:p>
        </w:tc>
        <w:tc>
          <w:tcPr>
            <w:tcW w:w="764" w:type="pct"/>
            <w:tcBorders>
              <w:top w:val="single" w:color="auto" w:sz="2" w:space="0"/>
              <w:left w:val="single" w:color="auto" w:sz="2" w:space="0"/>
              <w:bottom w:val="single" w:color="auto" w:sz="2" w:space="0"/>
              <w:right w:val="single" w:color="auto" w:sz="2" w:space="0"/>
            </w:tcBorders>
            <w:vAlign w:val="center"/>
          </w:tcPr>
          <w:p w14:paraId="2956F8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w:t>
            </w:r>
            <w:r>
              <w:rPr>
                <w:rFonts w:hint="eastAsia" w:ascii="Times New Roman" w:hAnsi="Times New Roman" w:cs="Times New Roman" w:eastAsiaTheme="majorEastAsia"/>
                <w:sz w:val="18"/>
                <w:szCs w:val="18"/>
              </w:rPr>
              <w:t>4</w:t>
            </w:r>
          </w:p>
        </w:tc>
        <w:tc>
          <w:tcPr>
            <w:tcW w:w="764" w:type="pct"/>
            <w:tcBorders>
              <w:top w:val="single" w:color="auto" w:sz="2" w:space="0"/>
              <w:left w:val="single" w:color="auto" w:sz="2" w:space="0"/>
              <w:bottom w:val="single" w:color="auto" w:sz="2" w:space="0"/>
              <w:right w:val="single" w:color="auto" w:sz="2" w:space="0"/>
            </w:tcBorders>
            <w:vAlign w:val="center"/>
          </w:tcPr>
          <w:p w14:paraId="6BBEB2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0.10</w:t>
            </w:r>
          </w:p>
        </w:tc>
        <w:tc>
          <w:tcPr>
            <w:tcW w:w="748" w:type="pct"/>
            <w:tcBorders>
              <w:top w:val="single" w:color="auto" w:sz="2" w:space="0"/>
              <w:left w:val="single" w:color="auto" w:sz="2" w:space="0"/>
              <w:bottom w:val="single" w:color="auto" w:sz="2" w:space="0"/>
              <w:right w:val="single" w:color="auto" w:sz="2" w:space="0"/>
            </w:tcBorders>
            <w:vAlign w:val="center"/>
          </w:tcPr>
          <w:p w14:paraId="155852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w:t>
            </w:r>
            <w:r>
              <w:rPr>
                <w:rFonts w:hint="eastAsia" w:ascii="Times New Roman" w:hAnsi="Times New Roman" w:cs="Times New Roman" w:eastAsiaTheme="majorEastAsia"/>
                <w:sz w:val="18"/>
                <w:szCs w:val="18"/>
              </w:rPr>
              <w:t>4</w:t>
            </w:r>
            <w:r>
              <w:rPr>
                <w:rFonts w:ascii="Times New Roman" w:hAnsi="Times New Roman" w:cs="Times New Roman" w:eastAsiaTheme="majorEastAsia"/>
                <w:sz w:val="18"/>
                <w:szCs w:val="18"/>
              </w:rPr>
              <w:t>0.00%</w:t>
            </w:r>
          </w:p>
        </w:tc>
        <w:tc>
          <w:tcPr>
            <w:tcW w:w="761" w:type="pct"/>
            <w:tcBorders>
              <w:top w:val="single" w:color="auto" w:sz="2" w:space="0"/>
              <w:left w:val="single" w:color="auto" w:sz="2" w:space="0"/>
              <w:bottom w:val="single" w:color="auto" w:sz="2" w:space="0"/>
              <w:right w:val="single" w:color="auto" w:sz="2" w:space="0"/>
            </w:tcBorders>
            <w:vAlign w:val="center"/>
          </w:tcPr>
          <w:p w14:paraId="18E6F7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0.60</w:t>
            </w:r>
          </w:p>
        </w:tc>
      </w:tr>
      <w:tr w14:paraId="7163F4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1FCCD2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加权平均净资产收益率</w:t>
            </w:r>
          </w:p>
        </w:tc>
        <w:tc>
          <w:tcPr>
            <w:tcW w:w="764" w:type="pct"/>
            <w:tcBorders>
              <w:top w:val="single" w:color="auto" w:sz="2" w:space="0"/>
              <w:left w:val="single" w:color="auto" w:sz="2" w:space="0"/>
              <w:bottom w:val="single" w:color="auto" w:sz="2" w:space="0"/>
              <w:right w:val="single" w:color="auto" w:sz="2" w:space="0"/>
            </w:tcBorders>
            <w:vAlign w:val="center"/>
          </w:tcPr>
          <w:p w14:paraId="0E30CC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w:t>
            </w:r>
            <w:r>
              <w:rPr>
                <w:rFonts w:hint="eastAsia" w:ascii="Times New Roman" w:hAnsi="Times New Roman" w:cs="Times New Roman" w:eastAsiaTheme="majorEastAsia"/>
                <w:sz w:val="18"/>
                <w:szCs w:val="18"/>
              </w:rPr>
              <w:t>8</w:t>
            </w:r>
            <w:r>
              <w:rPr>
                <w:rFonts w:ascii="Times New Roman" w:hAnsi="Times New Roman" w:cs="Times New Roman" w:eastAsiaTheme="majorEastAsia"/>
                <w:sz w:val="18"/>
                <w:szCs w:val="18"/>
              </w:rPr>
              <w:t>%</w:t>
            </w:r>
          </w:p>
        </w:tc>
        <w:tc>
          <w:tcPr>
            <w:tcW w:w="764" w:type="pct"/>
            <w:tcBorders>
              <w:top w:val="single" w:color="auto" w:sz="2" w:space="0"/>
              <w:left w:val="single" w:color="auto" w:sz="2" w:space="0"/>
              <w:bottom w:val="single" w:color="auto" w:sz="2" w:space="0"/>
              <w:right w:val="single" w:color="auto" w:sz="2" w:space="0"/>
            </w:tcBorders>
            <w:vAlign w:val="center"/>
          </w:tcPr>
          <w:p w14:paraId="46810C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0.77%</w:t>
            </w:r>
          </w:p>
        </w:tc>
        <w:tc>
          <w:tcPr>
            <w:tcW w:w="748" w:type="pct"/>
            <w:tcBorders>
              <w:top w:val="single" w:color="auto" w:sz="2" w:space="0"/>
              <w:left w:val="single" w:color="auto" w:sz="2" w:space="0"/>
              <w:bottom w:val="single" w:color="auto" w:sz="2" w:space="0"/>
              <w:right w:val="single" w:color="auto" w:sz="2" w:space="0"/>
            </w:tcBorders>
            <w:vAlign w:val="center"/>
          </w:tcPr>
          <w:p w14:paraId="31127A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w:t>
            </w:r>
            <w:r>
              <w:rPr>
                <w:rFonts w:hint="eastAsia" w:ascii="Times New Roman" w:hAnsi="Times New Roman" w:cs="Times New Roman" w:eastAsiaTheme="majorEastAsia"/>
                <w:sz w:val="18"/>
                <w:szCs w:val="18"/>
              </w:rPr>
              <w:t>5</w:t>
            </w:r>
            <w:r>
              <w:rPr>
                <w:rFonts w:ascii="Times New Roman" w:hAnsi="Times New Roman" w:cs="Times New Roman" w:eastAsiaTheme="majorEastAsia"/>
                <w:sz w:val="18"/>
                <w:szCs w:val="18"/>
              </w:rPr>
              <w:t>%</w:t>
            </w:r>
          </w:p>
        </w:tc>
        <w:tc>
          <w:tcPr>
            <w:tcW w:w="761" w:type="pct"/>
            <w:tcBorders>
              <w:top w:val="single" w:color="auto" w:sz="2" w:space="0"/>
              <w:left w:val="single" w:color="auto" w:sz="2" w:space="0"/>
              <w:bottom w:val="single" w:color="auto" w:sz="2" w:space="0"/>
              <w:right w:val="single" w:color="auto" w:sz="2" w:space="0"/>
            </w:tcBorders>
            <w:vAlign w:val="center"/>
          </w:tcPr>
          <w:p w14:paraId="0C3E8D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w:t>
            </w:r>
          </w:p>
        </w:tc>
      </w:tr>
      <w:tr w14:paraId="085D4F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16B9E5A2">
            <w:pPr>
              <w:rPr>
                <w:rFonts w:ascii="Times New Roman" w:hAnsi="Times New Roman" w:cs="Times New Roman" w:eastAsiaTheme="majorEastAsia"/>
              </w:rPr>
            </w:pPr>
          </w:p>
        </w:tc>
        <w:tc>
          <w:tcPr>
            <w:tcW w:w="764" w:type="pct"/>
            <w:tcBorders>
              <w:top w:val="single" w:color="auto" w:sz="2" w:space="0"/>
              <w:left w:val="single" w:color="auto" w:sz="2" w:space="0"/>
              <w:bottom w:val="single" w:color="auto" w:sz="2" w:space="0"/>
              <w:right w:val="single" w:color="auto" w:sz="2" w:space="0"/>
            </w:tcBorders>
            <w:shd w:val="clear" w:color="auto" w:fill="D3D3D3"/>
            <w:vAlign w:val="center"/>
          </w:tcPr>
          <w:p w14:paraId="487647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2024年末</w:t>
            </w:r>
          </w:p>
        </w:tc>
        <w:tc>
          <w:tcPr>
            <w:tcW w:w="764" w:type="pct"/>
            <w:tcBorders>
              <w:top w:val="single" w:color="auto" w:sz="2" w:space="0"/>
              <w:left w:val="single" w:color="auto" w:sz="2" w:space="0"/>
              <w:bottom w:val="single" w:color="auto" w:sz="2" w:space="0"/>
              <w:right w:val="single" w:color="auto" w:sz="2" w:space="0"/>
            </w:tcBorders>
            <w:shd w:val="clear" w:color="auto" w:fill="D3D3D3"/>
            <w:vAlign w:val="center"/>
          </w:tcPr>
          <w:p w14:paraId="3504BD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2023年末</w:t>
            </w:r>
          </w:p>
        </w:tc>
        <w:tc>
          <w:tcPr>
            <w:tcW w:w="748" w:type="pct"/>
            <w:tcBorders>
              <w:top w:val="single" w:color="auto" w:sz="2" w:space="0"/>
              <w:left w:val="single" w:color="auto" w:sz="2" w:space="0"/>
              <w:bottom w:val="single" w:color="auto" w:sz="2" w:space="0"/>
              <w:right w:val="single" w:color="auto" w:sz="2" w:space="0"/>
            </w:tcBorders>
            <w:shd w:val="clear" w:color="auto" w:fill="D3D3D3"/>
            <w:vAlign w:val="center"/>
          </w:tcPr>
          <w:p w14:paraId="4576ED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本年末比上年末增减</w:t>
            </w:r>
          </w:p>
        </w:tc>
        <w:tc>
          <w:tcPr>
            <w:tcW w:w="761" w:type="pct"/>
            <w:tcBorders>
              <w:top w:val="single" w:color="auto" w:sz="2" w:space="0"/>
              <w:left w:val="single" w:color="auto" w:sz="2" w:space="0"/>
              <w:bottom w:val="single" w:color="auto" w:sz="2" w:space="0"/>
              <w:right w:val="single" w:color="auto" w:sz="2" w:space="0"/>
            </w:tcBorders>
            <w:shd w:val="clear" w:color="auto" w:fill="D3D3D3"/>
            <w:vAlign w:val="center"/>
          </w:tcPr>
          <w:p w14:paraId="19716D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2022年末</w:t>
            </w:r>
          </w:p>
        </w:tc>
      </w:tr>
      <w:tr w14:paraId="140A5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7442BFF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资产总额（元）</w:t>
            </w:r>
          </w:p>
        </w:tc>
        <w:tc>
          <w:tcPr>
            <w:tcW w:w="764" w:type="pct"/>
            <w:tcBorders>
              <w:top w:val="single" w:color="auto" w:sz="2" w:space="0"/>
              <w:left w:val="single" w:color="auto" w:sz="2" w:space="0"/>
              <w:bottom w:val="single" w:color="auto" w:sz="2" w:space="0"/>
              <w:right w:val="single" w:color="auto" w:sz="2" w:space="0"/>
            </w:tcBorders>
            <w:vAlign w:val="center"/>
          </w:tcPr>
          <w:p w14:paraId="542BF0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1,333,766,753.86</w:t>
            </w:r>
          </w:p>
        </w:tc>
        <w:tc>
          <w:tcPr>
            <w:tcW w:w="764" w:type="pct"/>
            <w:tcBorders>
              <w:top w:val="single" w:color="auto" w:sz="2" w:space="0"/>
              <w:left w:val="single" w:color="auto" w:sz="2" w:space="0"/>
              <w:bottom w:val="single" w:color="auto" w:sz="2" w:space="0"/>
              <w:right w:val="single" w:color="auto" w:sz="2" w:space="0"/>
            </w:tcBorders>
            <w:vAlign w:val="center"/>
          </w:tcPr>
          <w:p w14:paraId="5D1611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1,044,326,703.01</w:t>
            </w:r>
          </w:p>
        </w:tc>
        <w:tc>
          <w:tcPr>
            <w:tcW w:w="748" w:type="pct"/>
            <w:tcBorders>
              <w:top w:val="single" w:color="auto" w:sz="2" w:space="0"/>
              <w:left w:val="single" w:color="auto" w:sz="2" w:space="0"/>
              <w:bottom w:val="single" w:color="auto" w:sz="2" w:space="0"/>
              <w:right w:val="single" w:color="auto" w:sz="2" w:space="0"/>
            </w:tcBorders>
            <w:vAlign w:val="center"/>
          </w:tcPr>
          <w:p w14:paraId="405975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27.72%</w:t>
            </w:r>
          </w:p>
        </w:tc>
        <w:tc>
          <w:tcPr>
            <w:tcW w:w="761" w:type="pct"/>
            <w:tcBorders>
              <w:top w:val="single" w:color="auto" w:sz="2" w:space="0"/>
              <w:left w:val="single" w:color="auto" w:sz="2" w:space="0"/>
              <w:bottom w:val="single" w:color="auto" w:sz="2" w:space="0"/>
              <w:right w:val="single" w:color="auto" w:sz="2" w:space="0"/>
            </w:tcBorders>
            <w:vAlign w:val="center"/>
          </w:tcPr>
          <w:p w14:paraId="0CD263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1,016,411,410.92</w:t>
            </w:r>
          </w:p>
        </w:tc>
      </w:tr>
      <w:tr w14:paraId="51913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63" w:type="pct"/>
            <w:tcBorders>
              <w:top w:val="single" w:color="auto" w:sz="2" w:space="0"/>
              <w:left w:val="single" w:color="auto" w:sz="2" w:space="0"/>
              <w:bottom w:val="single" w:color="auto" w:sz="2" w:space="0"/>
              <w:right w:val="single" w:color="auto" w:sz="2" w:space="0"/>
            </w:tcBorders>
            <w:shd w:val="clear" w:color="auto" w:fill="D3D3D3"/>
            <w:vAlign w:val="center"/>
          </w:tcPr>
          <w:p w14:paraId="143AAB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归属于上市公司股东的净资产（元）</w:t>
            </w:r>
          </w:p>
        </w:tc>
        <w:tc>
          <w:tcPr>
            <w:tcW w:w="764" w:type="pct"/>
            <w:tcBorders>
              <w:top w:val="single" w:color="auto" w:sz="2" w:space="0"/>
              <w:left w:val="single" w:color="auto" w:sz="2" w:space="0"/>
              <w:bottom w:val="single" w:color="auto" w:sz="2" w:space="0"/>
              <w:right w:val="single" w:color="auto" w:sz="2" w:space="0"/>
            </w:tcBorders>
            <w:vAlign w:val="center"/>
          </w:tcPr>
          <w:p w14:paraId="423A84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758,250,167.43</w:t>
            </w:r>
          </w:p>
        </w:tc>
        <w:tc>
          <w:tcPr>
            <w:tcW w:w="764" w:type="pct"/>
            <w:tcBorders>
              <w:top w:val="single" w:color="auto" w:sz="2" w:space="0"/>
              <w:left w:val="single" w:color="auto" w:sz="2" w:space="0"/>
              <w:bottom w:val="single" w:color="auto" w:sz="2" w:space="0"/>
              <w:right w:val="single" w:color="auto" w:sz="2" w:space="0"/>
            </w:tcBorders>
            <w:vAlign w:val="center"/>
          </w:tcPr>
          <w:p w14:paraId="6E7182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831,728,011.51</w:t>
            </w:r>
          </w:p>
        </w:tc>
        <w:tc>
          <w:tcPr>
            <w:tcW w:w="748" w:type="pct"/>
            <w:tcBorders>
              <w:top w:val="single" w:color="auto" w:sz="2" w:space="0"/>
              <w:left w:val="single" w:color="auto" w:sz="2" w:space="0"/>
              <w:bottom w:val="single" w:color="auto" w:sz="2" w:space="0"/>
              <w:right w:val="single" w:color="auto" w:sz="2" w:space="0"/>
            </w:tcBorders>
            <w:vAlign w:val="center"/>
          </w:tcPr>
          <w:p w14:paraId="335633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-8.83%</w:t>
            </w:r>
          </w:p>
        </w:tc>
        <w:tc>
          <w:tcPr>
            <w:tcW w:w="761" w:type="pct"/>
            <w:tcBorders>
              <w:top w:val="single" w:color="auto" w:sz="2" w:space="0"/>
              <w:left w:val="single" w:color="auto" w:sz="2" w:space="0"/>
              <w:bottom w:val="single" w:color="auto" w:sz="2" w:space="0"/>
              <w:right w:val="single" w:color="auto" w:sz="2" w:space="0"/>
            </w:tcBorders>
            <w:vAlign w:val="center"/>
          </w:tcPr>
          <w:p w14:paraId="2EE454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839,546,349.74</w:t>
            </w:r>
          </w:p>
        </w:tc>
      </w:tr>
    </w:tbl>
    <w:p w14:paraId="2B4B656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公司最近三个会计年度扣除非经常性损益前后净利润孰低者均为负值，且最近一年审计报告显示公司持续经营能力存在不确定性</w:t>
      </w:r>
    </w:p>
    <w:p w14:paraId="46C1237E">
      <w:pPr>
        <w:spacing w:before="100" w:after="100" w:line="240" w:lineRule="exact"/>
        <w:rPr>
          <w:rFonts w:ascii="Times New Roman" w:hAnsi="Times New Roman" w:cs="Times New Roman" w:eastAsiaTheme="majorEastAsia"/>
          <w:sz w:val="18"/>
          <w:szCs w:val="18"/>
        </w:rPr>
      </w:pPr>
      <w:r>
        <w:rPr>
          <w:rFonts w:hint="eastAsia" w:ascii="宋体" w:hAnsi="宋体" w:eastAsia="宋体" w:cs="Times New Roman"/>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4FB26A5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扣除非经常损益前后的净利润孰低者为负值</w:t>
      </w:r>
    </w:p>
    <w:p w14:paraId="5982A4E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是 </w:t>
      </w:r>
      <w:r>
        <w:rPr>
          <w:rFonts w:hint="eastAsia" w:ascii="宋体" w:hAnsi="宋体" w:eastAsia="宋体" w:cs="Times New Roman"/>
          <w:sz w:val="18"/>
          <w:szCs w:val="18"/>
        </w:rPr>
        <w:t>□</w:t>
      </w:r>
      <w:r>
        <w:rPr>
          <w:rFonts w:ascii="Times New Roman" w:hAnsi="Times New Roman" w:cs="Times New Roman" w:eastAsiaTheme="majorEastAsia"/>
          <w:sz w:val="18"/>
          <w:szCs w:val="18"/>
        </w:rPr>
        <w:t>否</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94"/>
        <w:gridCol w:w="1559"/>
        <w:gridCol w:w="1418"/>
        <w:gridCol w:w="2868"/>
      </w:tblGrid>
      <w:tr w14:paraId="224467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3386FC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559" w:type="dxa"/>
            <w:tcBorders>
              <w:top w:val="single" w:color="auto" w:sz="2" w:space="0"/>
              <w:left w:val="single" w:color="auto" w:sz="2" w:space="0"/>
              <w:bottom w:val="single" w:color="auto" w:sz="2" w:space="0"/>
              <w:right w:val="single" w:color="auto" w:sz="2" w:space="0"/>
            </w:tcBorders>
            <w:shd w:val="clear" w:color="auto" w:fill="D3D3D3"/>
            <w:vAlign w:val="center"/>
          </w:tcPr>
          <w:p w14:paraId="211ADB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C5918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2868" w:type="dxa"/>
            <w:tcBorders>
              <w:top w:val="single" w:color="auto" w:sz="2" w:space="0"/>
              <w:left w:val="single" w:color="auto" w:sz="2" w:space="0"/>
              <w:bottom w:val="single" w:color="auto" w:sz="2" w:space="0"/>
              <w:right w:val="single" w:color="auto" w:sz="2" w:space="0"/>
            </w:tcBorders>
            <w:shd w:val="clear" w:color="auto" w:fill="D3D3D3"/>
            <w:vAlign w:val="center"/>
          </w:tcPr>
          <w:p w14:paraId="405B8D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备注</w:t>
            </w:r>
          </w:p>
        </w:tc>
      </w:tr>
      <w:tr w14:paraId="10DF9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409A403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营业收入（元）</w:t>
            </w:r>
          </w:p>
        </w:tc>
        <w:tc>
          <w:tcPr>
            <w:tcW w:w="1559" w:type="dxa"/>
            <w:tcBorders>
              <w:top w:val="single" w:color="auto" w:sz="2" w:space="0"/>
              <w:left w:val="single" w:color="auto" w:sz="2" w:space="0"/>
              <w:bottom w:val="single" w:color="auto" w:sz="2" w:space="0"/>
              <w:right w:val="single" w:color="auto" w:sz="2" w:space="0"/>
            </w:tcBorders>
            <w:vAlign w:val="center"/>
          </w:tcPr>
          <w:p w14:paraId="32CBE5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1418" w:type="dxa"/>
            <w:tcBorders>
              <w:top w:val="single" w:color="auto" w:sz="2" w:space="0"/>
              <w:left w:val="single" w:color="auto" w:sz="2" w:space="0"/>
              <w:bottom w:val="single" w:color="auto" w:sz="2" w:space="0"/>
              <w:right w:val="single" w:color="auto" w:sz="2" w:space="0"/>
            </w:tcBorders>
            <w:vAlign w:val="center"/>
          </w:tcPr>
          <w:p w14:paraId="203F1F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2868" w:type="dxa"/>
            <w:tcBorders>
              <w:top w:val="single" w:color="auto" w:sz="2" w:space="0"/>
              <w:left w:val="single" w:color="auto" w:sz="2" w:space="0"/>
              <w:bottom w:val="single" w:color="auto" w:sz="2" w:space="0"/>
              <w:right w:val="single" w:color="auto" w:sz="2" w:space="0"/>
            </w:tcBorders>
            <w:vAlign w:val="center"/>
          </w:tcPr>
          <w:p w14:paraId="1CCBBC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未扣除前本期营业收入金额</w:t>
            </w:r>
          </w:p>
        </w:tc>
      </w:tr>
      <w:tr w14:paraId="1F7AC1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2D1A86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营业收入扣除金额（元）</w:t>
            </w:r>
          </w:p>
        </w:tc>
        <w:tc>
          <w:tcPr>
            <w:tcW w:w="1559" w:type="dxa"/>
            <w:tcBorders>
              <w:top w:val="single" w:color="auto" w:sz="2" w:space="0"/>
              <w:left w:val="single" w:color="auto" w:sz="2" w:space="0"/>
              <w:bottom w:val="single" w:color="auto" w:sz="2" w:space="0"/>
              <w:right w:val="single" w:color="auto" w:sz="2" w:space="0"/>
            </w:tcBorders>
            <w:vAlign w:val="center"/>
          </w:tcPr>
          <w:p w14:paraId="30D895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418" w:type="dxa"/>
            <w:tcBorders>
              <w:top w:val="single" w:color="auto" w:sz="2" w:space="0"/>
              <w:left w:val="single" w:color="auto" w:sz="2" w:space="0"/>
              <w:bottom w:val="single" w:color="auto" w:sz="2" w:space="0"/>
              <w:right w:val="single" w:color="auto" w:sz="2" w:space="0"/>
            </w:tcBorders>
            <w:vAlign w:val="center"/>
          </w:tcPr>
          <w:p w14:paraId="604DF8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2868" w:type="dxa"/>
            <w:tcBorders>
              <w:top w:val="single" w:color="auto" w:sz="2" w:space="0"/>
              <w:left w:val="single" w:color="auto" w:sz="2" w:space="0"/>
              <w:bottom w:val="single" w:color="auto" w:sz="2" w:space="0"/>
              <w:right w:val="single" w:color="auto" w:sz="2" w:space="0"/>
            </w:tcBorders>
            <w:vAlign w:val="center"/>
          </w:tcPr>
          <w:p w14:paraId="0E9D4E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本期以及上期新增贸易业务</w:t>
            </w:r>
          </w:p>
        </w:tc>
      </w:tr>
      <w:tr w14:paraId="6CFC19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47964CF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营业收入扣除后金额（元）</w:t>
            </w:r>
          </w:p>
        </w:tc>
        <w:tc>
          <w:tcPr>
            <w:tcW w:w="1559" w:type="dxa"/>
            <w:tcBorders>
              <w:top w:val="single" w:color="auto" w:sz="2" w:space="0"/>
              <w:left w:val="single" w:color="auto" w:sz="2" w:space="0"/>
              <w:bottom w:val="single" w:color="auto" w:sz="2" w:space="0"/>
              <w:right w:val="single" w:color="auto" w:sz="2" w:space="0"/>
            </w:tcBorders>
            <w:vAlign w:val="center"/>
          </w:tcPr>
          <w:p w14:paraId="162290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222,149,039.25</w:t>
            </w:r>
          </w:p>
        </w:tc>
        <w:tc>
          <w:tcPr>
            <w:tcW w:w="1418" w:type="dxa"/>
            <w:tcBorders>
              <w:top w:val="single" w:color="auto" w:sz="2" w:space="0"/>
              <w:left w:val="single" w:color="auto" w:sz="2" w:space="0"/>
              <w:bottom w:val="single" w:color="auto" w:sz="2" w:space="0"/>
              <w:right w:val="single" w:color="auto" w:sz="2" w:space="0"/>
            </w:tcBorders>
            <w:vAlign w:val="center"/>
          </w:tcPr>
          <w:p w14:paraId="296496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407,374,161.93</w:t>
            </w:r>
          </w:p>
        </w:tc>
        <w:tc>
          <w:tcPr>
            <w:tcW w:w="2868" w:type="dxa"/>
            <w:tcBorders>
              <w:top w:val="single" w:color="auto" w:sz="2" w:space="0"/>
              <w:left w:val="single" w:color="auto" w:sz="2" w:space="0"/>
              <w:bottom w:val="single" w:color="auto" w:sz="2" w:space="0"/>
              <w:right w:val="single" w:color="auto" w:sz="2" w:space="0"/>
            </w:tcBorders>
            <w:vAlign w:val="center"/>
          </w:tcPr>
          <w:p w14:paraId="78FF5B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扣除新增贸易业务后本期营业金额</w:t>
            </w:r>
          </w:p>
        </w:tc>
      </w:tr>
    </w:tbl>
    <w:p w14:paraId="13E110E9">
      <w:pPr>
        <w:pStyle w:val="2"/>
        <w:spacing w:before="300" w:after="300" w:line="320" w:lineRule="exact"/>
        <w:rPr>
          <w:rFonts w:ascii="Times New Roman" w:hAnsi="Times New Roman" w:cs="Times New Roman" w:eastAsiaTheme="majorEastAsia"/>
          <w:b/>
          <w:bCs/>
          <w:sz w:val="24"/>
          <w:szCs w:val="24"/>
        </w:rPr>
      </w:pPr>
      <w:bookmarkStart w:id="7" w:name="_Toc988896"/>
      <w:r>
        <w:rPr>
          <w:rFonts w:ascii="Times New Roman" w:hAnsi="Times New Roman" w:cs="Times New Roman" w:eastAsiaTheme="majorEastAsia"/>
          <w:b/>
          <w:bCs/>
          <w:sz w:val="24"/>
          <w:szCs w:val="24"/>
        </w:rPr>
        <w:t>六、分季度主要财务指标</w:t>
      </w:r>
      <w:bookmarkEnd w:id="7"/>
    </w:p>
    <w:p w14:paraId="1B7B8489">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FC8B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E0024F">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7C51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BBB4A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2E44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4B1A9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第四季度</w:t>
            </w:r>
          </w:p>
        </w:tc>
      </w:tr>
      <w:tr w14:paraId="50D64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AE7C8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928" w:type="dxa"/>
            <w:tcBorders>
              <w:top w:val="single" w:color="auto" w:sz="2" w:space="0"/>
              <w:left w:val="single" w:color="auto" w:sz="2" w:space="0"/>
              <w:bottom w:val="single" w:color="auto" w:sz="2" w:space="0"/>
              <w:right w:val="single" w:color="auto" w:sz="2" w:space="0"/>
            </w:tcBorders>
            <w:vAlign w:val="center"/>
          </w:tcPr>
          <w:p w14:paraId="6AD8FD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39,708,508.13</w:t>
            </w:r>
          </w:p>
        </w:tc>
        <w:tc>
          <w:tcPr>
            <w:tcW w:w="1928" w:type="dxa"/>
            <w:tcBorders>
              <w:top w:val="single" w:color="auto" w:sz="2" w:space="0"/>
              <w:left w:val="single" w:color="auto" w:sz="2" w:space="0"/>
              <w:bottom w:val="single" w:color="auto" w:sz="2" w:space="0"/>
              <w:right w:val="single" w:color="auto" w:sz="2" w:space="0"/>
            </w:tcBorders>
            <w:vAlign w:val="center"/>
          </w:tcPr>
          <w:p w14:paraId="1AD5DD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49,505,898.24</w:t>
            </w:r>
          </w:p>
        </w:tc>
        <w:tc>
          <w:tcPr>
            <w:tcW w:w="1928" w:type="dxa"/>
            <w:tcBorders>
              <w:top w:val="single" w:color="auto" w:sz="2" w:space="0"/>
              <w:left w:val="single" w:color="auto" w:sz="2" w:space="0"/>
              <w:bottom w:val="single" w:color="auto" w:sz="2" w:space="0"/>
              <w:right w:val="single" w:color="auto" w:sz="2" w:space="0"/>
            </w:tcBorders>
            <w:vAlign w:val="center"/>
          </w:tcPr>
          <w:p w14:paraId="02FA63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66,060,303.70</w:t>
            </w:r>
          </w:p>
        </w:tc>
        <w:tc>
          <w:tcPr>
            <w:tcW w:w="1928" w:type="dxa"/>
            <w:tcBorders>
              <w:top w:val="single" w:color="auto" w:sz="2" w:space="0"/>
              <w:left w:val="single" w:color="auto" w:sz="2" w:space="0"/>
              <w:bottom w:val="single" w:color="auto" w:sz="2" w:space="0"/>
              <w:right w:val="single" w:color="auto" w:sz="2" w:space="0"/>
            </w:tcBorders>
            <w:vAlign w:val="center"/>
          </w:tcPr>
          <w:p w14:paraId="240BA0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68,358,299.04</w:t>
            </w:r>
          </w:p>
        </w:tc>
      </w:tr>
      <w:tr w14:paraId="06383C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BFC7F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归属于上市公司股东的净利润</w:t>
            </w:r>
          </w:p>
        </w:tc>
        <w:tc>
          <w:tcPr>
            <w:tcW w:w="1928" w:type="dxa"/>
            <w:tcBorders>
              <w:top w:val="single" w:color="auto" w:sz="2" w:space="0"/>
              <w:left w:val="single" w:color="auto" w:sz="2" w:space="0"/>
              <w:bottom w:val="single" w:color="auto" w:sz="2" w:space="0"/>
              <w:right w:val="single" w:color="auto" w:sz="2" w:space="0"/>
            </w:tcBorders>
            <w:vAlign w:val="center"/>
          </w:tcPr>
          <w:p w14:paraId="39BF01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-8,868,715.54</w:t>
            </w:r>
          </w:p>
        </w:tc>
        <w:tc>
          <w:tcPr>
            <w:tcW w:w="1928" w:type="dxa"/>
            <w:tcBorders>
              <w:top w:val="single" w:color="auto" w:sz="2" w:space="0"/>
              <w:left w:val="single" w:color="auto" w:sz="2" w:space="0"/>
              <w:bottom w:val="single" w:color="auto" w:sz="2" w:space="0"/>
              <w:right w:val="single" w:color="auto" w:sz="2" w:space="0"/>
            </w:tcBorders>
            <w:vAlign w:val="center"/>
          </w:tcPr>
          <w:p w14:paraId="2A6523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-2,860,307.93</w:t>
            </w:r>
          </w:p>
        </w:tc>
        <w:tc>
          <w:tcPr>
            <w:tcW w:w="1928" w:type="dxa"/>
            <w:tcBorders>
              <w:top w:val="single" w:color="auto" w:sz="2" w:space="0"/>
              <w:left w:val="single" w:color="auto" w:sz="2" w:space="0"/>
              <w:bottom w:val="single" w:color="auto" w:sz="2" w:space="0"/>
              <w:right w:val="single" w:color="auto" w:sz="2" w:space="0"/>
            </w:tcBorders>
            <w:vAlign w:val="center"/>
          </w:tcPr>
          <w:p w14:paraId="20280E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-9,433,955.28</w:t>
            </w:r>
          </w:p>
        </w:tc>
        <w:tc>
          <w:tcPr>
            <w:tcW w:w="1928" w:type="dxa"/>
            <w:tcBorders>
              <w:top w:val="single" w:color="auto" w:sz="2" w:space="0"/>
              <w:left w:val="single" w:color="auto" w:sz="2" w:space="0"/>
              <w:bottom w:val="single" w:color="auto" w:sz="2" w:space="0"/>
              <w:right w:val="single" w:color="auto" w:sz="2" w:space="0"/>
            </w:tcBorders>
            <w:vAlign w:val="center"/>
          </w:tcPr>
          <w:p w14:paraId="6387485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-28,389,859.71</w:t>
            </w:r>
          </w:p>
        </w:tc>
      </w:tr>
      <w:tr w14:paraId="7C5244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9B594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归属于上市公司股东的扣除非经常性损益的净利润</w:t>
            </w:r>
          </w:p>
        </w:tc>
        <w:tc>
          <w:tcPr>
            <w:tcW w:w="1928" w:type="dxa"/>
            <w:tcBorders>
              <w:top w:val="single" w:color="auto" w:sz="2" w:space="0"/>
              <w:left w:val="single" w:color="auto" w:sz="2" w:space="0"/>
              <w:bottom w:val="single" w:color="auto" w:sz="2" w:space="0"/>
              <w:right w:val="single" w:color="auto" w:sz="2" w:space="0"/>
            </w:tcBorders>
            <w:vAlign w:val="center"/>
          </w:tcPr>
          <w:p w14:paraId="65907A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-7,319,775.33</w:t>
            </w:r>
          </w:p>
        </w:tc>
        <w:tc>
          <w:tcPr>
            <w:tcW w:w="1928" w:type="dxa"/>
            <w:tcBorders>
              <w:top w:val="single" w:color="auto" w:sz="2" w:space="0"/>
              <w:left w:val="single" w:color="auto" w:sz="2" w:space="0"/>
              <w:bottom w:val="single" w:color="auto" w:sz="2" w:space="0"/>
              <w:right w:val="single" w:color="auto" w:sz="2" w:space="0"/>
            </w:tcBorders>
            <w:vAlign w:val="center"/>
          </w:tcPr>
          <w:p w14:paraId="1598D9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-2,990,423.05</w:t>
            </w:r>
          </w:p>
        </w:tc>
        <w:tc>
          <w:tcPr>
            <w:tcW w:w="1928" w:type="dxa"/>
            <w:tcBorders>
              <w:top w:val="single" w:color="auto" w:sz="2" w:space="0"/>
              <w:left w:val="single" w:color="auto" w:sz="2" w:space="0"/>
              <w:bottom w:val="single" w:color="auto" w:sz="2" w:space="0"/>
              <w:right w:val="single" w:color="auto" w:sz="2" w:space="0"/>
            </w:tcBorders>
            <w:vAlign w:val="center"/>
          </w:tcPr>
          <w:p w14:paraId="60DBE4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-9,709,204.69</w:t>
            </w:r>
          </w:p>
        </w:tc>
        <w:tc>
          <w:tcPr>
            <w:tcW w:w="1928" w:type="dxa"/>
            <w:tcBorders>
              <w:top w:val="single" w:color="auto" w:sz="2" w:space="0"/>
              <w:left w:val="single" w:color="auto" w:sz="2" w:space="0"/>
              <w:bottom w:val="single" w:color="auto" w:sz="2" w:space="0"/>
              <w:right w:val="single" w:color="auto" w:sz="2" w:space="0"/>
            </w:tcBorders>
            <w:vAlign w:val="center"/>
          </w:tcPr>
          <w:p w14:paraId="2F25A9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-28,871,264.17</w:t>
            </w:r>
          </w:p>
        </w:tc>
      </w:tr>
      <w:tr w14:paraId="4D86E9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00BF8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1928" w:type="dxa"/>
            <w:tcBorders>
              <w:top w:val="single" w:color="auto" w:sz="2" w:space="0"/>
              <w:left w:val="single" w:color="auto" w:sz="2" w:space="0"/>
              <w:bottom w:val="single" w:color="auto" w:sz="2" w:space="0"/>
              <w:right w:val="single" w:color="auto" w:sz="2" w:space="0"/>
            </w:tcBorders>
            <w:vAlign w:val="center"/>
          </w:tcPr>
          <w:p w14:paraId="59949B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-65,639,995.29</w:t>
            </w:r>
          </w:p>
        </w:tc>
        <w:tc>
          <w:tcPr>
            <w:tcW w:w="1928" w:type="dxa"/>
            <w:tcBorders>
              <w:top w:val="single" w:color="auto" w:sz="2" w:space="0"/>
              <w:left w:val="single" w:color="auto" w:sz="2" w:space="0"/>
              <w:bottom w:val="single" w:color="auto" w:sz="2" w:space="0"/>
              <w:right w:val="single" w:color="auto" w:sz="2" w:space="0"/>
            </w:tcBorders>
            <w:vAlign w:val="center"/>
          </w:tcPr>
          <w:p w14:paraId="1ABA7D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3,818,474.86</w:t>
            </w:r>
          </w:p>
        </w:tc>
        <w:tc>
          <w:tcPr>
            <w:tcW w:w="1928" w:type="dxa"/>
            <w:tcBorders>
              <w:top w:val="single" w:color="auto" w:sz="2" w:space="0"/>
              <w:left w:val="single" w:color="auto" w:sz="2" w:space="0"/>
              <w:bottom w:val="single" w:color="auto" w:sz="2" w:space="0"/>
              <w:right w:val="single" w:color="auto" w:sz="2" w:space="0"/>
            </w:tcBorders>
            <w:vAlign w:val="center"/>
          </w:tcPr>
          <w:p w14:paraId="47E545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-39,911,696.38</w:t>
            </w:r>
          </w:p>
        </w:tc>
        <w:tc>
          <w:tcPr>
            <w:tcW w:w="1928" w:type="dxa"/>
            <w:tcBorders>
              <w:top w:val="single" w:color="auto" w:sz="2" w:space="0"/>
              <w:left w:val="single" w:color="auto" w:sz="2" w:space="0"/>
              <w:bottom w:val="single" w:color="auto" w:sz="2" w:space="0"/>
              <w:right w:val="single" w:color="auto" w:sz="2" w:space="0"/>
            </w:tcBorders>
            <w:vAlign w:val="center"/>
          </w:tcPr>
          <w:p w14:paraId="1C066E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47,493,712.43</w:t>
            </w:r>
          </w:p>
        </w:tc>
      </w:tr>
    </w:tbl>
    <w:p w14:paraId="75ED140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上述财务指标或其加总数是否与公司已披露季度报告、半年度报告相关财务指标存在重大差异</w:t>
      </w:r>
    </w:p>
    <w:p w14:paraId="34E22F46">
      <w:pPr>
        <w:spacing w:before="100" w:after="100" w:line="240" w:lineRule="exact"/>
        <w:rPr>
          <w:rFonts w:ascii="Times New Roman" w:hAnsi="Times New Roman" w:cs="Times New Roman" w:eastAsiaTheme="majorEastAsia"/>
          <w:sz w:val="18"/>
          <w:szCs w:val="18"/>
        </w:rPr>
      </w:pPr>
      <w:r>
        <w:rPr>
          <w:rFonts w:hint="eastAsia" w:ascii="宋体" w:hAnsi="宋体" w:eastAsia="宋体" w:cs="Times New Roman"/>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274D077F">
      <w:pPr>
        <w:pStyle w:val="2"/>
        <w:spacing w:before="300" w:after="300" w:line="320" w:lineRule="exact"/>
        <w:rPr>
          <w:rFonts w:ascii="Times New Roman" w:hAnsi="Times New Roman" w:cs="Times New Roman" w:eastAsiaTheme="majorEastAsia"/>
          <w:b/>
          <w:bCs/>
          <w:sz w:val="24"/>
          <w:szCs w:val="24"/>
        </w:rPr>
      </w:pPr>
      <w:bookmarkStart w:id="8" w:name="_Toc988897"/>
      <w:r>
        <w:rPr>
          <w:rFonts w:ascii="Times New Roman" w:hAnsi="Times New Roman" w:cs="Times New Roman" w:eastAsiaTheme="majorEastAsia"/>
          <w:b/>
          <w:bCs/>
          <w:sz w:val="24"/>
          <w:szCs w:val="24"/>
        </w:rPr>
        <w:t>七、境内外会计准则下会计数据差异</w:t>
      </w:r>
      <w:bookmarkEnd w:id="8"/>
    </w:p>
    <w:p w14:paraId="1424D505">
      <w:pPr>
        <w:pStyle w:val="3"/>
        <w:spacing w:line="280" w:lineRule="exact"/>
        <w:jc w:val="left"/>
        <w:rPr>
          <w:rFonts w:ascii="Times New Roman" w:hAnsi="Times New Roman" w:cs="Times New Roman" w:eastAsiaTheme="majorEastAsia"/>
          <w:b/>
          <w:bCs/>
        </w:rPr>
      </w:pPr>
      <w:bookmarkStart w:id="9" w:name="_Toc988898"/>
      <w:r>
        <w:rPr>
          <w:rFonts w:ascii="Times New Roman" w:hAnsi="Times New Roman" w:cs="Times New Roman" w:eastAsiaTheme="majorEastAsia"/>
          <w:b/>
          <w:bCs/>
        </w:rPr>
        <w:t>1、同时按照国际会计准则与按照中国会计准则披露的财务报告中净利润和净资产差异情况</w:t>
      </w:r>
      <w:bookmarkEnd w:id="9"/>
    </w:p>
    <w:p w14:paraId="32C11BF3">
      <w:pPr>
        <w:spacing w:before="100" w:after="100" w:line="240" w:lineRule="exact"/>
        <w:rPr>
          <w:rFonts w:ascii="Times New Roman" w:hAnsi="Times New Roman" w:cs="Times New Roman" w:eastAsiaTheme="majorEastAsia"/>
          <w:sz w:val="18"/>
          <w:szCs w:val="18"/>
        </w:rPr>
      </w:pPr>
      <w:r>
        <w:rPr>
          <w:rFonts w:hint="eastAsia" w:ascii="宋体" w:hAnsi="宋体" w:eastAsia="宋体" w:cs="Times New Roman"/>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8AF914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公司报告期不存在按照国际会计准则与按照中国会计准则披露的财务报告中净利润和净资产差异情况。</w:t>
      </w:r>
    </w:p>
    <w:p w14:paraId="5D808715">
      <w:pPr>
        <w:pStyle w:val="3"/>
        <w:spacing w:line="280" w:lineRule="exact"/>
        <w:jc w:val="left"/>
        <w:rPr>
          <w:rFonts w:ascii="Times New Roman" w:hAnsi="Times New Roman" w:cs="Times New Roman" w:eastAsiaTheme="majorEastAsia"/>
          <w:b/>
          <w:bCs/>
        </w:rPr>
      </w:pPr>
      <w:bookmarkStart w:id="10" w:name="_Toc988899"/>
      <w:r>
        <w:rPr>
          <w:rFonts w:ascii="Times New Roman" w:hAnsi="Times New Roman" w:cs="Times New Roman" w:eastAsiaTheme="majorEastAsia"/>
          <w:b/>
          <w:bCs/>
        </w:rPr>
        <w:t>2、同时按照境外会计准则与按照中国会计准则披露的财务报告中净利润和净资产差异情况</w:t>
      </w:r>
      <w:bookmarkEnd w:id="10"/>
    </w:p>
    <w:p w14:paraId="460988A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130E57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公司报告期不存在按照境外会计准则与按照中国会计准则披露的财务报告中净利润和净资产差异情况。</w:t>
      </w:r>
    </w:p>
    <w:p w14:paraId="15F9BED6">
      <w:pPr>
        <w:pStyle w:val="2"/>
        <w:spacing w:before="300" w:after="300" w:line="320" w:lineRule="exact"/>
        <w:rPr>
          <w:rFonts w:ascii="Times New Roman" w:hAnsi="Times New Roman" w:cs="Times New Roman" w:eastAsiaTheme="majorEastAsia"/>
          <w:b/>
          <w:bCs/>
          <w:sz w:val="24"/>
          <w:szCs w:val="24"/>
        </w:rPr>
      </w:pPr>
      <w:bookmarkStart w:id="11" w:name="_Toc988900"/>
      <w:r>
        <w:rPr>
          <w:rFonts w:ascii="Times New Roman" w:hAnsi="Times New Roman" w:cs="Times New Roman" w:eastAsiaTheme="majorEastAsia"/>
          <w:b/>
          <w:bCs/>
          <w:sz w:val="24"/>
          <w:szCs w:val="24"/>
        </w:rPr>
        <w:t>八、非经常性损益项目及金额</w:t>
      </w:r>
      <w:bookmarkEnd w:id="11"/>
    </w:p>
    <w:p w14:paraId="7999FD2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宋体" w:hAnsi="宋体" w:eastAsia="宋体" w:cs="Times New Roman"/>
          <w:sz w:val="20"/>
          <w:szCs w:val="18"/>
        </w:rPr>
        <w:t>□</w:t>
      </w:r>
      <w:r>
        <w:rPr>
          <w:rFonts w:ascii="Times New Roman" w:hAnsi="Times New Roman" w:cs="Times New Roman" w:eastAsiaTheme="majorEastAsia"/>
          <w:sz w:val="18"/>
          <w:szCs w:val="18"/>
        </w:rPr>
        <w:t>不适用</w:t>
      </w:r>
    </w:p>
    <w:p w14:paraId="4D5C4D64">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E0BF3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5ECE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EAA7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F7D8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D754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1DCBF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w:t>
            </w:r>
          </w:p>
        </w:tc>
      </w:tr>
      <w:tr w14:paraId="360427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E9A0E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非流动性资产处置损益（包括已计提资产减值准备的冲销部分）</w:t>
            </w:r>
          </w:p>
        </w:tc>
        <w:tc>
          <w:tcPr>
            <w:tcW w:w="1928" w:type="dxa"/>
            <w:tcBorders>
              <w:top w:val="single" w:color="auto" w:sz="2" w:space="0"/>
              <w:left w:val="single" w:color="auto" w:sz="2" w:space="0"/>
              <w:bottom w:val="single" w:color="auto" w:sz="2" w:space="0"/>
              <w:right w:val="single" w:color="auto" w:sz="2" w:space="0"/>
            </w:tcBorders>
            <w:vAlign w:val="center"/>
          </w:tcPr>
          <w:p w14:paraId="1FCCA3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422,426.70</w:t>
            </w:r>
          </w:p>
        </w:tc>
        <w:tc>
          <w:tcPr>
            <w:tcW w:w="1928" w:type="dxa"/>
            <w:tcBorders>
              <w:top w:val="single" w:color="auto" w:sz="2" w:space="0"/>
              <w:left w:val="single" w:color="auto" w:sz="2" w:space="0"/>
              <w:bottom w:val="single" w:color="auto" w:sz="2" w:space="0"/>
              <w:right w:val="single" w:color="auto" w:sz="2" w:space="0"/>
            </w:tcBorders>
            <w:vAlign w:val="center"/>
          </w:tcPr>
          <w:p w14:paraId="40A172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-14,902.10</w:t>
            </w:r>
          </w:p>
        </w:tc>
        <w:tc>
          <w:tcPr>
            <w:tcW w:w="1928" w:type="dxa"/>
            <w:tcBorders>
              <w:top w:val="single" w:color="auto" w:sz="2" w:space="0"/>
              <w:left w:val="single" w:color="auto" w:sz="2" w:space="0"/>
              <w:bottom w:val="single" w:color="auto" w:sz="2" w:space="0"/>
              <w:right w:val="single" w:color="auto" w:sz="2" w:space="0"/>
            </w:tcBorders>
            <w:vAlign w:val="center"/>
          </w:tcPr>
          <w:p w14:paraId="13C19B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-4,808.68</w:t>
            </w:r>
          </w:p>
        </w:tc>
        <w:tc>
          <w:tcPr>
            <w:tcW w:w="1928" w:type="dxa"/>
            <w:tcBorders>
              <w:top w:val="single" w:color="auto" w:sz="2" w:space="0"/>
              <w:left w:val="single" w:color="auto" w:sz="2" w:space="0"/>
              <w:bottom w:val="single" w:color="auto" w:sz="2" w:space="0"/>
              <w:right w:val="single" w:color="auto" w:sz="2" w:space="0"/>
            </w:tcBorders>
            <w:vAlign w:val="center"/>
          </w:tcPr>
          <w:p w14:paraId="5F56ACF1">
            <w:pPr>
              <w:spacing w:line="240" w:lineRule="exact"/>
              <w:rPr>
                <w:rFonts w:ascii="Times New Roman" w:hAnsi="Times New Roman" w:cs="Times New Roman" w:eastAsiaTheme="majorEastAsia"/>
                <w:sz w:val="18"/>
                <w:szCs w:val="18"/>
              </w:rPr>
            </w:pPr>
          </w:p>
        </w:tc>
      </w:tr>
      <w:tr w14:paraId="2BDF0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2638B1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计入当期损益的政府补助（与公司正常经营业务密切相关，符合国家政策规定、按照确定的标准享有、对公司损益产生持续影响的政府补助除外）</w:t>
            </w:r>
          </w:p>
        </w:tc>
        <w:tc>
          <w:tcPr>
            <w:tcW w:w="1928" w:type="dxa"/>
            <w:tcBorders>
              <w:top w:val="single" w:color="auto" w:sz="2" w:space="0"/>
              <w:left w:val="single" w:color="auto" w:sz="2" w:space="0"/>
              <w:bottom w:val="single" w:color="auto" w:sz="2" w:space="0"/>
              <w:right w:val="single" w:color="auto" w:sz="2" w:space="0"/>
            </w:tcBorders>
            <w:vAlign w:val="center"/>
          </w:tcPr>
          <w:p w14:paraId="17798F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61,582.83</w:t>
            </w:r>
          </w:p>
        </w:tc>
        <w:tc>
          <w:tcPr>
            <w:tcW w:w="1928" w:type="dxa"/>
            <w:tcBorders>
              <w:top w:val="single" w:color="auto" w:sz="2" w:space="0"/>
              <w:left w:val="single" w:color="auto" w:sz="2" w:space="0"/>
              <w:bottom w:val="single" w:color="auto" w:sz="2" w:space="0"/>
              <w:right w:val="single" w:color="auto" w:sz="2" w:space="0"/>
            </w:tcBorders>
            <w:vAlign w:val="center"/>
          </w:tcPr>
          <w:p w14:paraId="38A214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213,363.99</w:t>
            </w:r>
          </w:p>
        </w:tc>
        <w:tc>
          <w:tcPr>
            <w:tcW w:w="1928" w:type="dxa"/>
            <w:tcBorders>
              <w:top w:val="single" w:color="auto" w:sz="2" w:space="0"/>
              <w:left w:val="single" w:color="auto" w:sz="2" w:space="0"/>
              <w:bottom w:val="single" w:color="auto" w:sz="2" w:space="0"/>
              <w:right w:val="single" w:color="auto" w:sz="2" w:space="0"/>
            </w:tcBorders>
            <w:vAlign w:val="center"/>
          </w:tcPr>
          <w:p w14:paraId="44B82E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2,379,277.50</w:t>
            </w:r>
          </w:p>
        </w:tc>
        <w:tc>
          <w:tcPr>
            <w:tcW w:w="1928" w:type="dxa"/>
            <w:tcBorders>
              <w:top w:val="single" w:color="auto" w:sz="2" w:space="0"/>
              <w:left w:val="single" w:color="auto" w:sz="2" w:space="0"/>
              <w:bottom w:val="single" w:color="auto" w:sz="2" w:space="0"/>
              <w:right w:val="single" w:color="auto" w:sz="2" w:space="0"/>
            </w:tcBorders>
            <w:vAlign w:val="center"/>
          </w:tcPr>
          <w:p w14:paraId="57E40388">
            <w:pPr>
              <w:spacing w:line="240" w:lineRule="exact"/>
              <w:rPr>
                <w:rFonts w:ascii="Times New Roman" w:hAnsi="Times New Roman" w:cs="Times New Roman" w:eastAsiaTheme="majorEastAsia"/>
                <w:sz w:val="18"/>
                <w:szCs w:val="18"/>
              </w:rPr>
            </w:pPr>
          </w:p>
        </w:tc>
      </w:tr>
      <w:tr w14:paraId="48BCFF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2A84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除同公司正常经营业务相关的有效套期保值业务外，非金融企业持有金融资产和金融负债产生的公允价值变动损益以及处置金融资产和金融负债产生的损益</w:t>
            </w:r>
          </w:p>
        </w:tc>
        <w:tc>
          <w:tcPr>
            <w:tcW w:w="1928" w:type="dxa"/>
            <w:tcBorders>
              <w:top w:val="single" w:color="auto" w:sz="2" w:space="0"/>
              <w:left w:val="single" w:color="auto" w:sz="2" w:space="0"/>
              <w:bottom w:val="single" w:color="auto" w:sz="2" w:space="0"/>
              <w:right w:val="single" w:color="auto" w:sz="2" w:space="0"/>
            </w:tcBorders>
            <w:vAlign w:val="center"/>
          </w:tcPr>
          <w:p w14:paraId="283E27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629,369.87</w:t>
            </w:r>
          </w:p>
        </w:tc>
        <w:tc>
          <w:tcPr>
            <w:tcW w:w="1928" w:type="dxa"/>
            <w:tcBorders>
              <w:top w:val="single" w:color="auto" w:sz="2" w:space="0"/>
              <w:left w:val="single" w:color="auto" w:sz="2" w:space="0"/>
              <w:bottom w:val="single" w:color="auto" w:sz="2" w:space="0"/>
              <w:right w:val="single" w:color="auto" w:sz="2" w:space="0"/>
            </w:tcBorders>
            <w:vAlign w:val="center"/>
          </w:tcPr>
          <w:p w14:paraId="24CA2D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1,601,414.69</w:t>
            </w:r>
          </w:p>
        </w:tc>
        <w:tc>
          <w:tcPr>
            <w:tcW w:w="1928" w:type="dxa"/>
            <w:tcBorders>
              <w:top w:val="single" w:color="auto" w:sz="2" w:space="0"/>
              <w:left w:val="single" w:color="auto" w:sz="2" w:space="0"/>
              <w:bottom w:val="single" w:color="auto" w:sz="2" w:space="0"/>
              <w:right w:val="single" w:color="auto" w:sz="2" w:space="0"/>
            </w:tcBorders>
            <w:vAlign w:val="center"/>
          </w:tcPr>
          <w:p w14:paraId="48E6C3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9,911,513.27</w:t>
            </w:r>
          </w:p>
        </w:tc>
        <w:tc>
          <w:tcPr>
            <w:tcW w:w="1928" w:type="dxa"/>
            <w:tcBorders>
              <w:top w:val="single" w:color="auto" w:sz="2" w:space="0"/>
              <w:left w:val="single" w:color="auto" w:sz="2" w:space="0"/>
              <w:bottom w:val="single" w:color="auto" w:sz="2" w:space="0"/>
              <w:right w:val="single" w:color="auto" w:sz="2" w:space="0"/>
            </w:tcBorders>
            <w:vAlign w:val="center"/>
          </w:tcPr>
          <w:p w14:paraId="4EBF4C37">
            <w:pPr>
              <w:spacing w:line="240" w:lineRule="exact"/>
              <w:rPr>
                <w:rFonts w:ascii="Times New Roman" w:hAnsi="Times New Roman" w:cs="Times New Roman" w:eastAsiaTheme="majorEastAsia"/>
                <w:sz w:val="18"/>
                <w:szCs w:val="18"/>
              </w:rPr>
            </w:pPr>
          </w:p>
        </w:tc>
      </w:tr>
      <w:tr w14:paraId="1ECAA4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70728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除上述各项之外的其他营业外收入和支出</w:t>
            </w:r>
          </w:p>
        </w:tc>
        <w:tc>
          <w:tcPr>
            <w:tcW w:w="1928" w:type="dxa"/>
            <w:tcBorders>
              <w:top w:val="single" w:color="auto" w:sz="2" w:space="0"/>
              <w:left w:val="single" w:color="auto" w:sz="2" w:space="0"/>
              <w:bottom w:val="single" w:color="auto" w:sz="2" w:space="0"/>
              <w:right w:val="single" w:color="auto" w:sz="2" w:space="0"/>
            </w:tcBorders>
            <w:vAlign w:val="center"/>
          </w:tcPr>
          <w:p w14:paraId="6240EC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-1,902,946.56</w:t>
            </w:r>
          </w:p>
        </w:tc>
        <w:tc>
          <w:tcPr>
            <w:tcW w:w="1928" w:type="dxa"/>
            <w:tcBorders>
              <w:top w:val="single" w:color="auto" w:sz="2" w:space="0"/>
              <w:left w:val="single" w:color="auto" w:sz="2" w:space="0"/>
              <w:bottom w:val="single" w:color="auto" w:sz="2" w:space="0"/>
              <w:right w:val="single" w:color="auto" w:sz="2" w:space="0"/>
            </w:tcBorders>
            <w:vAlign w:val="center"/>
          </w:tcPr>
          <w:p w14:paraId="05E650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-147,225.48</w:t>
            </w:r>
          </w:p>
        </w:tc>
        <w:tc>
          <w:tcPr>
            <w:tcW w:w="1928" w:type="dxa"/>
            <w:tcBorders>
              <w:top w:val="single" w:color="auto" w:sz="2" w:space="0"/>
              <w:left w:val="single" w:color="auto" w:sz="2" w:space="0"/>
              <w:bottom w:val="single" w:color="auto" w:sz="2" w:space="0"/>
              <w:right w:val="single" w:color="auto" w:sz="2" w:space="0"/>
            </w:tcBorders>
            <w:vAlign w:val="center"/>
          </w:tcPr>
          <w:p w14:paraId="332B90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93,807.70</w:t>
            </w:r>
          </w:p>
        </w:tc>
        <w:tc>
          <w:tcPr>
            <w:tcW w:w="1928" w:type="dxa"/>
            <w:tcBorders>
              <w:top w:val="single" w:color="auto" w:sz="2" w:space="0"/>
              <w:left w:val="single" w:color="auto" w:sz="2" w:space="0"/>
              <w:bottom w:val="single" w:color="auto" w:sz="2" w:space="0"/>
              <w:right w:val="single" w:color="auto" w:sz="2" w:space="0"/>
            </w:tcBorders>
            <w:vAlign w:val="center"/>
          </w:tcPr>
          <w:p w14:paraId="533CD96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对外捐赠</w:t>
            </w:r>
          </w:p>
        </w:tc>
      </w:tr>
      <w:tr w14:paraId="5938E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80033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其他符合非经常性损益定义的损益项目</w:t>
            </w:r>
          </w:p>
        </w:tc>
        <w:tc>
          <w:tcPr>
            <w:tcW w:w="1928" w:type="dxa"/>
            <w:tcBorders>
              <w:top w:val="single" w:color="auto" w:sz="2" w:space="0"/>
              <w:left w:val="single" w:color="auto" w:sz="2" w:space="0"/>
              <w:bottom w:val="single" w:color="auto" w:sz="2" w:space="0"/>
              <w:right w:val="single" w:color="auto" w:sz="2" w:space="0"/>
            </w:tcBorders>
            <w:vAlign w:val="center"/>
          </w:tcPr>
          <w:p w14:paraId="4840CF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27,444.49</w:t>
            </w:r>
          </w:p>
        </w:tc>
        <w:tc>
          <w:tcPr>
            <w:tcW w:w="1928" w:type="dxa"/>
            <w:tcBorders>
              <w:top w:val="single" w:color="auto" w:sz="2" w:space="0"/>
              <w:left w:val="single" w:color="auto" w:sz="2" w:space="0"/>
              <w:bottom w:val="single" w:color="auto" w:sz="2" w:space="0"/>
              <w:right w:val="single" w:color="auto" w:sz="2" w:space="0"/>
            </w:tcBorders>
            <w:vAlign w:val="center"/>
          </w:tcPr>
          <w:p w14:paraId="2A3E9C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57,279.71</w:t>
            </w:r>
          </w:p>
        </w:tc>
        <w:tc>
          <w:tcPr>
            <w:tcW w:w="1928" w:type="dxa"/>
            <w:tcBorders>
              <w:top w:val="single" w:color="auto" w:sz="2" w:space="0"/>
              <w:left w:val="single" w:color="auto" w:sz="2" w:space="0"/>
              <w:bottom w:val="single" w:color="auto" w:sz="2" w:space="0"/>
              <w:right w:val="single" w:color="auto" w:sz="2" w:space="0"/>
            </w:tcBorders>
            <w:vAlign w:val="center"/>
          </w:tcPr>
          <w:p w14:paraId="4298D4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17,427.67</w:t>
            </w:r>
          </w:p>
        </w:tc>
        <w:tc>
          <w:tcPr>
            <w:tcW w:w="1928" w:type="dxa"/>
            <w:tcBorders>
              <w:top w:val="single" w:color="auto" w:sz="2" w:space="0"/>
              <w:left w:val="single" w:color="auto" w:sz="2" w:space="0"/>
              <w:bottom w:val="single" w:color="auto" w:sz="2" w:space="0"/>
              <w:right w:val="single" w:color="auto" w:sz="2" w:space="0"/>
            </w:tcBorders>
            <w:vAlign w:val="center"/>
          </w:tcPr>
          <w:p w14:paraId="79C6FB46">
            <w:pPr>
              <w:spacing w:line="240" w:lineRule="exact"/>
              <w:rPr>
                <w:rFonts w:ascii="Times New Roman" w:hAnsi="Times New Roman" w:cs="Times New Roman" w:eastAsiaTheme="majorEastAsia"/>
                <w:sz w:val="18"/>
                <w:szCs w:val="18"/>
              </w:rPr>
            </w:pPr>
          </w:p>
        </w:tc>
      </w:tr>
      <w:tr w14:paraId="405DAF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443F4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减：所得税影响额</w:t>
            </w:r>
          </w:p>
        </w:tc>
        <w:tc>
          <w:tcPr>
            <w:tcW w:w="1928" w:type="dxa"/>
            <w:tcBorders>
              <w:top w:val="single" w:color="auto" w:sz="2" w:space="0"/>
              <w:left w:val="single" w:color="auto" w:sz="2" w:space="0"/>
              <w:bottom w:val="single" w:color="auto" w:sz="2" w:space="0"/>
              <w:right w:val="single" w:color="auto" w:sz="2" w:space="0"/>
            </w:tcBorders>
            <w:vAlign w:val="center"/>
          </w:tcPr>
          <w:p w14:paraId="591279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-101,366.65</w:t>
            </w:r>
          </w:p>
        </w:tc>
        <w:tc>
          <w:tcPr>
            <w:tcW w:w="1928" w:type="dxa"/>
            <w:tcBorders>
              <w:top w:val="single" w:color="auto" w:sz="2" w:space="0"/>
              <w:left w:val="single" w:color="auto" w:sz="2" w:space="0"/>
              <w:bottom w:val="single" w:color="auto" w:sz="2" w:space="0"/>
              <w:right w:val="single" w:color="auto" w:sz="2" w:space="0"/>
            </w:tcBorders>
            <w:vAlign w:val="center"/>
          </w:tcPr>
          <w:p w14:paraId="262947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269,372.10</w:t>
            </w:r>
          </w:p>
        </w:tc>
        <w:tc>
          <w:tcPr>
            <w:tcW w:w="1928" w:type="dxa"/>
            <w:tcBorders>
              <w:top w:val="single" w:color="auto" w:sz="2" w:space="0"/>
              <w:left w:val="single" w:color="auto" w:sz="2" w:space="0"/>
              <w:bottom w:val="single" w:color="auto" w:sz="2" w:space="0"/>
              <w:right w:val="single" w:color="auto" w:sz="2" w:space="0"/>
            </w:tcBorders>
            <w:vAlign w:val="center"/>
          </w:tcPr>
          <w:p w14:paraId="5CA253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1,874,012.36</w:t>
            </w:r>
          </w:p>
        </w:tc>
        <w:tc>
          <w:tcPr>
            <w:tcW w:w="1928" w:type="dxa"/>
            <w:tcBorders>
              <w:top w:val="single" w:color="auto" w:sz="2" w:space="0"/>
              <w:left w:val="single" w:color="auto" w:sz="2" w:space="0"/>
              <w:bottom w:val="single" w:color="auto" w:sz="2" w:space="0"/>
              <w:right w:val="single" w:color="auto" w:sz="2" w:space="0"/>
            </w:tcBorders>
            <w:vAlign w:val="center"/>
          </w:tcPr>
          <w:p w14:paraId="16E62818">
            <w:pPr>
              <w:spacing w:line="240" w:lineRule="exact"/>
              <w:rPr>
                <w:rFonts w:ascii="Times New Roman" w:hAnsi="Times New Roman" w:cs="Times New Roman" w:eastAsiaTheme="majorEastAsia"/>
                <w:sz w:val="18"/>
                <w:szCs w:val="18"/>
              </w:rPr>
            </w:pPr>
          </w:p>
        </w:tc>
      </w:tr>
      <w:tr w14:paraId="13518F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748DE8">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少数股东权益影响额（税后）</w:t>
            </w:r>
          </w:p>
        </w:tc>
        <w:tc>
          <w:tcPr>
            <w:tcW w:w="1928" w:type="dxa"/>
            <w:tcBorders>
              <w:top w:val="single" w:color="auto" w:sz="2" w:space="0"/>
              <w:left w:val="single" w:color="auto" w:sz="2" w:space="0"/>
              <w:bottom w:val="single" w:color="auto" w:sz="2" w:space="0"/>
              <w:right w:val="single" w:color="auto" w:sz="2" w:space="0"/>
            </w:tcBorders>
            <w:vAlign w:val="center"/>
          </w:tcPr>
          <w:p w14:paraId="35E522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1,415.20</w:t>
            </w:r>
          </w:p>
        </w:tc>
        <w:tc>
          <w:tcPr>
            <w:tcW w:w="1928" w:type="dxa"/>
            <w:tcBorders>
              <w:top w:val="single" w:color="auto" w:sz="2" w:space="0"/>
              <w:left w:val="single" w:color="auto" w:sz="2" w:space="0"/>
              <w:bottom w:val="single" w:color="auto" w:sz="2" w:space="0"/>
              <w:right w:val="single" w:color="auto" w:sz="2" w:space="0"/>
            </w:tcBorders>
            <w:vAlign w:val="center"/>
          </w:tcPr>
          <w:p w14:paraId="04C19A84">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F30DA7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A9032A9">
            <w:pPr>
              <w:spacing w:line="240" w:lineRule="exact"/>
              <w:rPr>
                <w:rFonts w:ascii="Times New Roman" w:hAnsi="Times New Roman" w:cs="Times New Roman" w:eastAsiaTheme="majorEastAsia"/>
                <w:sz w:val="18"/>
                <w:szCs w:val="18"/>
              </w:rPr>
            </w:pPr>
          </w:p>
        </w:tc>
      </w:tr>
      <w:tr w14:paraId="46DA5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0AD7F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DBD5E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-662,171.22</w:t>
            </w:r>
          </w:p>
        </w:tc>
        <w:tc>
          <w:tcPr>
            <w:tcW w:w="1928" w:type="dxa"/>
            <w:tcBorders>
              <w:top w:val="single" w:color="auto" w:sz="2" w:space="0"/>
              <w:left w:val="single" w:color="auto" w:sz="2" w:space="0"/>
              <w:bottom w:val="single" w:color="auto" w:sz="2" w:space="0"/>
              <w:right w:val="single" w:color="auto" w:sz="2" w:space="0"/>
            </w:tcBorders>
            <w:vAlign w:val="center"/>
          </w:tcPr>
          <w:p w14:paraId="140DAE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1,440,558.71</w:t>
            </w:r>
          </w:p>
        </w:tc>
        <w:tc>
          <w:tcPr>
            <w:tcW w:w="1928" w:type="dxa"/>
            <w:tcBorders>
              <w:top w:val="single" w:color="auto" w:sz="2" w:space="0"/>
              <w:left w:val="single" w:color="auto" w:sz="2" w:space="0"/>
              <w:bottom w:val="single" w:color="auto" w:sz="2" w:space="0"/>
              <w:right w:val="single" w:color="auto" w:sz="2" w:space="0"/>
            </w:tcBorders>
            <w:vAlign w:val="center"/>
          </w:tcPr>
          <w:p w14:paraId="7CA3AC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10,523,205.10</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11FA2B">
            <w:pPr>
              <w:spacing w:before="40" w:after="40" w:line="240" w:lineRule="exact"/>
              <w:jc w:val="center"/>
              <w:rPr>
                <w:rFonts w:ascii="Times New Roman" w:hAnsi="Times New Roman" w:cs="Times New Roman" w:eastAsiaTheme="majorEastAsia"/>
                <w:sz w:val="18"/>
                <w:szCs w:val="18"/>
                <w:shd w:val="clear" w:color="auto" w:fill="D3D3D3"/>
              </w:rPr>
            </w:pPr>
            <w:r>
              <w:rPr>
                <w:rFonts w:ascii="Times New Roman" w:hAnsi="Times New Roman" w:cs="Times New Roman" w:eastAsiaTheme="majorEastAsia"/>
                <w:sz w:val="18"/>
                <w:szCs w:val="18"/>
                <w:shd w:val="clear" w:color="auto" w:fill="D3D3D3"/>
              </w:rPr>
              <w:t>--</w:t>
            </w:r>
          </w:p>
        </w:tc>
      </w:tr>
    </w:tbl>
    <w:p w14:paraId="72EEC4A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其他符合非经常性损益定义的损益项目的具体情况：</w:t>
      </w:r>
    </w:p>
    <w:p w14:paraId="1E54B58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6E7657DD">
      <w:pPr>
        <w:spacing w:line="360" w:lineRule="auto"/>
        <w:jc w:val="both"/>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注1：非经常性损益项目中的数</w:t>
      </w:r>
      <w:r>
        <w:rPr>
          <w:rFonts w:cs="Times New Roman" w:asciiTheme="majorEastAsia" w:hAnsiTheme="majorEastAsia" w:eastAsiaTheme="majorEastAsia"/>
          <w:color w:val="000000"/>
          <w:szCs w:val="21"/>
        </w:rPr>
        <w:t>字“+”</w:t>
      </w:r>
      <w:r>
        <w:rPr>
          <w:rFonts w:ascii="Times New Roman" w:hAnsi="Times New Roman" w:cs="Times New Roman" w:eastAsiaTheme="majorEastAsia"/>
          <w:color w:val="000000"/>
          <w:szCs w:val="21"/>
        </w:rPr>
        <w:t>表示收益及收入，</w:t>
      </w:r>
      <w:r>
        <w:rPr>
          <w:rFonts w:cs="Times New Roman" w:asciiTheme="majorEastAsia" w:hAnsiTheme="majorEastAsia" w:eastAsiaTheme="majorEastAsia"/>
          <w:color w:val="000000"/>
          <w:szCs w:val="21"/>
        </w:rPr>
        <w:t>“—”表</w:t>
      </w:r>
      <w:r>
        <w:rPr>
          <w:rFonts w:ascii="Times New Roman" w:hAnsi="Times New Roman" w:cs="Times New Roman" w:eastAsiaTheme="majorEastAsia"/>
          <w:color w:val="000000"/>
          <w:szCs w:val="21"/>
        </w:rPr>
        <w:t xml:space="preserve">示损失或支出。 </w:t>
      </w:r>
    </w:p>
    <w:p w14:paraId="559645C3">
      <w:pPr>
        <w:spacing w:line="360" w:lineRule="auto"/>
        <w:jc w:val="both"/>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 xml:space="preserve">注 2：本集团对非经常性损益项目的确认依照《公开发行证券的公司信息披露解释性公告第 1 号——非经常性损益》（证监会公告[2023]65号）的规定执行。 </w:t>
      </w:r>
    </w:p>
    <w:p w14:paraId="05CEBFAA">
      <w:pPr>
        <w:spacing w:line="360" w:lineRule="auto"/>
        <w:jc w:val="both"/>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注 3：其他符合非经常性损益定义的损益项目，包括银行理财产品取得的投资收益、代扣个人所得税手续费返还、增值税进项税额加计扣除等。</w:t>
      </w:r>
    </w:p>
    <w:p w14:paraId="6ABBA27C">
      <w:pPr>
        <w:spacing w:before="100" w:after="100" w:line="360" w:lineRule="auto"/>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将《公开发行证券的公司信息披露解释性公告第1号——非经常性损益》中列举的非经常性损益项目界定为经常性损益项目的情况说明</w:t>
      </w:r>
    </w:p>
    <w:p w14:paraId="434DCE1A">
      <w:pPr>
        <w:spacing w:before="100" w:after="100" w:line="360" w:lineRule="auto"/>
        <w:jc w:val="both"/>
        <w:rPr>
          <w:rFonts w:ascii="Times New Roman" w:hAnsi="Times New Roman" w:cs="Times New Roman" w:eastAsiaTheme="majorEastAsia"/>
          <w:sz w:val="18"/>
          <w:szCs w:val="18"/>
        </w:rPr>
      </w:pPr>
      <w:r>
        <w:rPr>
          <w:rFonts w:hint="eastAsia" w:ascii="宋体" w:hAnsi="宋体" w:eastAsia="宋体" w:cs="Times New Roman"/>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2D4ABF0">
      <w:pPr>
        <w:spacing w:before="100" w:after="100" w:line="360" w:lineRule="auto"/>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公司不存在将《公开发行证券的公司信息披露解释性公告第1号——非经常性损益》中列举的非经常性损益项目界定为经常性损益的项目的情形。</w:t>
      </w:r>
    </w:p>
    <w:p w14:paraId="438E1F4C">
      <w:pPr>
        <w:rPr>
          <w:rFonts w:ascii="Times New Roman" w:hAnsi="Times New Roman" w:cs="Times New Roman" w:eastAsiaTheme="majorEastAsia"/>
        </w:rPr>
      </w:pPr>
      <w:r>
        <w:rPr>
          <w:rFonts w:ascii="Times New Roman" w:hAnsi="Times New Roman" w:cs="Times New Roman" w:eastAsiaTheme="majorEastAsia"/>
        </w:rPr>
        <w:br w:type="page"/>
      </w:r>
    </w:p>
    <w:p w14:paraId="16C46D90">
      <w:pPr>
        <w:pStyle w:val="18"/>
        <w:spacing w:before="340" w:after="330" w:line="773" w:lineRule="exact"/>
        <w:jc w:val="center"/>
        <w:rPr>
          <w:rFonts w:ascii="Times New Roman" w:hAnsi="Times New Roman" w:cs="Times New Roman" w:eastAsiaTheme="majorEastAsia"/>
          <w:b/>
          <w:bCs/>
          <w:sz w:val="32"/>
          <w:szCs w:val="32"/>
        </w:rPr>
      </w:pPr>
      <w:bookmarkStart w:id="12" w:name="_Toc988901"/>
      <w:r>
        <w:rPr>
          <w:rFonts w:ascii="Times New Roman" w:hAnsi="Times New Roman" w:cs="Times New Roman" w:eastAsiaTheme="majorEastAsia"/>
          <w:b/>
          <w:bCs/>
          <w:sz w:val="32"/>
          <w:szCs w:val="32"/>
        </w:rPr>
        <w:t>第三节 管理层讨论与分析</w:t>
      </w:r>
      <w:bookmarkEnd w:id="12"/>
    </w:p>
    <w:p w14:paraId="5AB6228B">
      <w:pPr>
        <w:pStyle w:val="2"/>
        <w:spacing w:before="300" w:after="300" w:line="320" w:lineRule="exact"/>
        <w:rPr>
          <w:rFonts w:ascii="Times New Roman" w:hAnsi="Times New Roman" w:cs="Times New Roman" w:eastAsiaTheme="majorEastAsia"/>
          <w:b/>
          <w:bCs/>
          <w:sz w:val="24"/>
          <w:szCs w:val="24"/>
        </w:rPr>
      </w:pPr>
      <w:bookmarkStart w:id="13" w:name="_Toc988902"/>
      <w:r>
        <w:rPr>
          <w:rFonts w:ascii="Times New Roman" w:hAnsi="Times New Roman" w:cs="Times New Roman" w:eastAsiaTheme="majorEastAsia"/>
          <w:b/>
          <w:bCs/>
          <w:sz w:val="24"/>
          <w:szCs w:val="24"/>
        </w:rPr>
        <w:t>一、报告期内公司所处行业情况</w:t>
      </w:r>
      <w:bookmarkEnd w:id="13"/>
    </w:p>
    <w:p w14:paraId="0C3F048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6DC9887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ascii="Times New Roman" w:hAnsi="Times New Roman" w:cs="Times New Roman" w:eastAsiaTheme="majorEastAsia"/>
          <w:sz w:val="21"/>
          <w:szCs w:val="21"/>
        </w:rPr>
        <w:t>公司需遵守《深圳证券交易所上市公司自律监管指引第3号——行业信息披露》中</w:t>
      </w:r>
      <w:r>
        <w:rPr>
          <w:rFonts w:cs="Times New Roman" w:asciiTheme="minorEastAsia" w:hAnsiTheme="minorEastAsia" w:eastAsiaTheme="minorEastAsia"/>
          <w:sz w:val="21"/>
          <w:szCs w:val="21"/>
        </w:rPr>
        <w:t>的“软件与信息技术服务业”</w:t>
      </w:r>
      <w:r>
        <w:rPr>
          <w:rFonts w:ascii="Times New Roman" w:hAnsi="Times New Roman" w:cs="Times New Roman" w:eastAsiaTheme="majorEastAsia"/>
          <w:sz w:val="21"/>
          <w:szCs w:val="21"/>
        </w:rPr>
        <w:t>的披露要求。</w:t>
      </w:r>
    </w:p>
    <w:p w14:paraId="5A78FFE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sz w:val="21"/>
          <w:szCs w:val="21"/>
        </w:rPr>
        <w:t>按照中国证监会《上市公司行业分类指引》，公司所属行业为“软件和信息技术服务业”，</w:t>
      </w:r>
      <w:r>
        <w:rPr>
          <w:rFonts w:ascii="Times New Roman" w:hAnsi="Times New Roman" w:cs="Times New Roman" w:eastAsiaTheme="majorEastAsia"/>
          <w:sz w:val="21"/>
          <w:szCs w:val="21"/>
        </w:rPr>
        <w:t>公司行业细分领域为智慧政务、智慧教育、智慧医疗及其他智慧城市行业。</w:t>
      </w:r>
    </w:p>
    <w:p w14:paraId="5A93B38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（一）软件和信息技术服务行业概况</w:t>
      </w:r>
    </w:p>
    <w:p w14:paraId="5F0C99C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根据《</w:t>
      </w:r>
      <w:r>
        <w:rPr>
          <w:rFonts w:cs="Times New Roman" w:asciiTheme="minorEastAsia" w:hAnsiTheme="minorEastAsia" w:eastAsiaTheme="minorEastAsia"/>
          <w:sz w:val="21"/>
          <w:szCs w:val="21"/>
        </w:rPr>
        <w:t>“十四五”</w:t>
      </w:r>
      <w:r>
        <w:rPr>
          <w:rFonts w:ascii="Times New Roman" w:hAnsi="Times New Roman" w:cs="Times New Roman" w:eastAsiaTheme="majorEastAsia"/>
          <w:sz w:val="21"/>
          <w:szCs w:val="21"/>
        </w:rPr>
        <w:t>数字经济发展规划》，数字经济是继农业经济、工业经济之后的主要经济形态。</w:t>
      </w:r>
      <w:r>
        <w:rPr>
          <w:rFonts w:cs="Times New Roman" w:asciiTheme="minorEastAsia" w:hAnsiTheme="minorEastAsia" w:eastAsiaTheme="minorEastAsia"/>
          <w:sz w:val="21"/>
          <w:szCs w:val="21"/>
        </w:rPr>
        <w:t>“十四五”时期</w:t>
      </w:r>
      <w:r>
        <w:rPr>
          <w:rFonts w:ascii="Times New Roman" w:hAnsi="Times New Roman" w:cs="Times New Roman" w:eastAsiaTheme="majorEastAsia"/>
          <w:sz w:val="21"/>
          <w:szCs w:val="21"/>
        </w:rPr>
        <w:t>要求数字化创新引领发展能力大幅提升，智能化水平明显增强，数字基础设施广泛融入生产生活，对政务服务、公共服务、民生保障、社会治理的支撑作用进一步凸显。2024年4月，国家发展改革委办公厅、国家数据局综合司印发《数字经济2024年工作要点》，从布局数字基础设施、数据基础制度、产业数字化转型、数字技术创新突破、提升公共服务水平、完善数字经济治理体系、筑牢数字安全屏障等多方面提出具体举措，支持数字经济高质量发展。</w:t>
      </w:r>
    </w:p>
    <w:p w14:paraId="5D303FA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软件和信息技术服务行业技术呈集成化、普惠化、自主化发展。人工智能、大模型、云计算等技术得以深化应用，技术底座与场景应用相结合驱动产业数字化转型；低代码平台开发技术与AI工具结合，降低开发门槛，激发应用创新活力；国产操作系统、工业软件突破国际技术壁垒，产业链韧性显著增强。</w:t>
      </w:r>
    </w:p>
    <w:p w14:paraId="6A39A5E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软件和信息技术服务业整体保持良好的态势。2024年我国软件业务收入达到137,276亿元，同比增长10.0%；利润总额为16,953亿元，同比增长8.7%。其中，软件产品收入30,417亿元，同比增长6.6%。信息技术服务收入保持两位数增长，全年收入达92,190亿元，同比增长11.0%，占全行业收入的67.2%，云计算和大数据服务收入达14,088亿元，同比增长9.9%，成为推动行业增长的重要动力。全年信息传输软件和信息技术服务业增加值增长10.9%，我国数据总量和算力总规模稳居全球第二位。</w:t>
      </w:r>
    </w:p>
    <w:p w14:paraId="159243B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展望2025年，在产业政策牵引和技术突破双重推动下，软件和信息技术服务行业将迎来人工智能驱动的全方位变革。《工业重点行业领域设备更新和技术改造指南》等文件的出台为各细分领域数智化改造指明方向，加之AI大模型创新突破及开源模式赋能，软件智能技术将加速渗透软件全生命周期，软件创新研发加快，关键软件迭代更新提速，国产操作系统迈入自主生态新阶段。人工智能与行业知识融合应用将持续深化，推动行业软件加速向标准化、智能化方向演进。软件将持续赋能硬件产品实现突破式发展，操作系统、应用生态将与硬件深度融合，推动IT产业智能化应用落地，助力传统产业数智化转型升级。</w:t>
      </w:r>
    </w:p>
    <w:p w14:paraId="41EE757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（二）智慧城市行业概况</w:t>
      </w:r>
    </w:p>
    <w:p w14:paraId="7669B2B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智慧城市作为数字时代城市发展的高级形态，通过系统化整合物联网、云计算、人工智能等新一代信息技术，构建起覆盖规划、建设、管理全生命周期的智能生态系统。其核心在于构建"感-传-知-用"的完整技术链条：前端部署千万级智能传感设备实时采集城市运行数据，通过边缘计算节点实现本地化数据预处理，依托5G/6G通信网络实现全域数据高速传输，借助城市大脑平台进行多维度数据分析与决策支持，最终形成虚实融合的城市治理新模式。</w:t>
      </w:r>
    </w:p>
    <w:p w14:paraId="5439D49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4月，国家发展改革委、国家数据局、财政部、自然资源部联合发布《关于深化智慧城市发展推进城市全域数字化转型的指导意见》，为智慧城市深化发展提出明确目标和有力保障。指导意见提出要充分发挥数据的基础资源和创新引擎作用，全面提升城市全域数字化转型的整体性、系统性、协同性。到2027年，全国城市全域数字化转型取得明显成效，形成一批横向打通、纵向贯通、各具特色的宜居、韧性、智慧城市，有力支撑数字中国建设。到2030年，全国城市全域数字化转型全面突破，涌现一批数字文明时代具有全球竞争力的中国式现代化城市。同时要求各地方要加强领导，推动各项政策措施、重点任务落地见效，鼓励通过各类资金渠道，加强资金支持。</w:t>
      </w:r>
    </w:p>
    <w:p w14:paraId="5947EC7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1.智慧政务</w:t>
      </w:r>
    </w:p>
    <w:p w14:paraId="39B0FC9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随着《全国一体化政务大数据体系建设指南》的深入实施，智慧政务在2024年迎来新的发展机遇，政务数据的归集、共享、开放和应用将更加规范和高效。</w:t>
      </w:r>
    </w:p>
    <w:p w14:paraId="10C5143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数字政府建设正形成以基础设施升级、智能技术深化、数据价值挖掘为核心的多维发展格局。作为人工智能产业的算力基石，全国超过30个城市正依托开发区/高新区布局建设智算中心，通过构建高效资源调度体系与多样化服务模式，持续扩大计算能力供给以支撑实体经济数字化转型。政务大模型的发展呈现内外双轮驱动特征，外部受政务服务智能化升级与决策效能提升需求牵引，内部通过办公流程数字化与公文处理自动化实现管理优化，形成贴合政府行业特性的专用解决方案。</w:t>
      </w:r>
    </w:p>
    <w:p w14:paraId="2F4B2F7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数据要素市场化进程加速突破，重点围绕公共数据授权运营机制创新，通过数据空间技术构建安全可信的共享交易生态，同步推进数据质量治理体系与垂直场景应用开发，推动公共数据价值释放。政务云基础设施进入智能+数据驱动的深度演进阶段，在技术迭代、政策引导与市场需求的三重作用下，其应用场景从基础IT资源服务向城市治理、智慧政务等领域全面延伸，标志着数字政府建设正迈向高效化、智能化、精细化的新阶段。四大核心领域形成协同发展态势：智算中心提供底层算力支撑，政务云构建数字基建底座，政务大模型实现智能应用突破，数据要素驱动价值创新，共同构建起数字政府发展的完整生态体系。</w:t>
      </w:r>
    </w:p>
    <w:p w14:paraId="49C8473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2.智慧教育</w:t>
      </w:r>
    </w:p>
    <w:p w14:paraId="4D867B0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教育信息化仍然是国家教育现代化战略的重要组成部分。2024年，随着教育数字化转型的加速推进，国家财政性教育经费投入持续增加，为智慧教育市场带来了广阔的发展前景。公司的智慧教育服务业务以智慧校园整体规划、建设和运维为核心，通过不断创新和优化产品与服务，满足教育行业日益增长的信息化需求。</w:t>
      </w:r>
    </w:p>
    <w:p w14:paraId="6B8664C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3.智慧医疗</w:t>
      </w:r>
    </w:p>
    <w:p w14:paraId="750030A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国家对医疗卫生信息化建设的重视程度不断提高，相关政策的陆续出台为智慧医疗行业的发展提供了有力保障。</w:t>
      </w:r>
    </w:p>
    <w:p w14:paraId="49FFFD6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2023年3月23日，中共中央办公厅、国务院办公厅印发了《关于进一步完善医疗卫生服务体系的意见》。《意见》指出，要发挥信息技术对医疗的支撑作用，建设面向医疗领域的工业互联网平台，加快推进互联网、区块链、物联网、人工智能、云计算、大数据等在医疗卫生领域中的应用，加强健康医疗大数据共享交换与保障体系建设。2024年，国家数据局等17部门联合发布《</w:t>
      </w:r>
      <w:r>
        <w:rPr>
          <w:rFonts w:cs="Times New Roman" w:asciiTheme="minorEastAsia" w:hAnsiTheme="minorEastAsia" w:eastAsiaTheme="minorEastAsia"/>
          <w:sz w:val="21"/>
          <w:szCs w:val="21"/>
        </w:rPr>
        <w:t>“数据要素”×</w:t>
      </w:r>
      <w:r>
        <w:rPr>
          <w:rFonts w:ascii="Times New Roman" w:hAnsi="Times New Roman" w:cs="Times New Roman" w:eastAsiaTheme="majorEastAsia"/>
          <w:sz w:val="21"/>
          <w:szCs w:val="21"/>
        </w:rPr>
        <w:t>三年行动计划（2024—2026年）》，计划提出全面推进医院信息化建设提档升级，鼓励医院信息系统云上部署，以及加强医疗大数据应用</w:t>
      </w:r>
      <w:r>
        <w:rPr>
          <w:rFonts w:cs="Times New Roman" w:asciiTheme="minorEastAsia" w:hAnsiTheme="minorEastAsia" w:eastAsiaTheme="minorEastAsia"/>
          <w:sz w:val="21"/>
          <w:szCs w:val="21"/>
        </w:rPr>
        <w:t>、“互联网+医疗健康”</w:t>
      </w:r>
      <w:r>
        <w:rPr>
          <w:rFonts w:ascii="Times New Roman" w:hAnsi="Times New Roman" w:cs="Times New Roman" w:eastAsiaTheme="majorEastAsia"/>
          <w:sz w:val="21"/>
          <w:szCs w:val="21"/>
        </w:rPr>
        <w:t>等领域的发展，智慧医院建设迈向数智化。</w:t>
      </w:r>
    </w:p>
    <w:p w14:paraId="6BB2671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4.智慧轨道交通</w:t>
      </w:r>
    </w:p>
    <w:p w14:paraId="62DEEF5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sz w:val="21"/>
          <w:szCs w:val="21"/>
        </w:rPr>
        <w:t>“十四五”规划进入收官之</w:t>
      </w:r>
      <w:r>
        <w:rPr>
          <w:rFonts w:ascii="Times New Roman" w:hAnsi="Times New Roman" w:cs="Times New Roman" w:eastAsiaTheme="majorEastAsia"/>
          <w:sz w:val="21"/>
          <w:szCs w:val="21"/>
        </w:rPr>
        <w:t>年，我国轨道交通领域正加速向现代化迈进。《</w:t>
      </w:r>
      <w:r>
        <w:rPr>
          <w:rFonts w:cs="Times New Roman" w:asciiTheme="minorEastAsia" w:hAnsiTheme="minorEastAsia" w:eastAsiaTheme="minorEastAsia"/>
          <w:sz w:val="21"/>
          <w:szCs w:val="21"/>
        </w:rPr>
        <w:t>“十四五”现</w:t>
      </w:r>
      <w:r>
        <w:rPr>
          <w:rFonts w:ascii="Times New Roman" w:hAnsi="Times New Roman" w:cs="Times New Roman" w:eastAsiaTheme="majorEastAsia"/>
          <w:sz w:val="21"/>
          <w:szCs w:val="21"/>
        </w:rPr>
        <w:t>代综合交通运输体系发展规划》提出，到2025年，</w:t>
      </w:r>
      <w:r>
        <w:rPr>
          <w:rFonts w:cs="Times New Roman" w:asciiTheme="minorEastAsia" w:hAnsiTheme="minorEastAsia" w:eastAsiaTheme="minorEastAsia"/>
          <w:sz w:val="21"/>
          <w:szCs w:val="21"/>
        </w:rPr>
        <w:t>以“八纵八横”高铁主通</w:t>
      </w:r>
      <w:r>
        <w:rPr>
          <w:rFonts w:ascii="Times New Roman" w:hAnsi="Times New Roman" w:cs="Times New Roman" w:eastAsiaTheme="majorEastAsia"/>
          <w:sz w:val="21"/>
          <w:szCs w:val="21"/>
        </w:rPr>
        <w:t>道为骨架的高速铁路网将覆盖95%以上50万人口城市，普速铁路瓶颈路段全面消除。国家高速公路网主线基本贯通，普通公路技术等级和通行质量大幅提升，形成了干支衔接、城乡互联的现代化公路网络体系。《中长期铁路网规划》提出，到2030年高速铁路建成6万公里营业里程，铁路轨道共18.5万公里营业里程的目标。在政策驱动与技术创新的双重引擎下，轨道交通行业提供了较大的市场空间和发展动力。</w:t>
      </w:r>
    </w:p>
    <w:p w14:paraId="6F9CB44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5.企业数字化</w:t>
      </w:r>
    </w:p>
    <w:p w14:paraId="4EF3669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企业数字化是通过数字技术对传统业务模式、流程及管理体系的系统性变革，以实现降本增效、提升竞争力的过程。自《中小企业数字化转型指南》印发以来，钢铁行业、原材料工业、制造业等行业接连出台企业数字化转型实施指南，坚持问题导向，明确转型方向和目标，健全标准体系，完善服务支撑，加强转型保障。企业数字化正从局部优化向全局重构演进，成为驱动实体经济高质量发展的核心引擎。</w:t>
      </w:r>
    </w:p>
    <w:p w14:paraId="2A55E27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（三）信创行业概况</w:t>
      </w:r>
    </w:p>
    <w:p w14:paraId="27637EB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作为数字经济发展的核心底座，信创产业在国家战略布局中持续深化。自2020年进入规模化推广阶段以来，国家级政策明确</w:t>
      </w:r>
      <w:r>
        <w:rPr>
          <w:rFonts w:cs="Times New Roman" w:asciiTheme="minorEastAsia" w:hAnsiTheme="minorEastAsia" w:eastAsiaTheme="minorEastAsia"/>
          <w:sz w:val="21"/>
          <w:szCs w:val="21"/>
        </w:rPr>
        <w:t>了“</w:t>
      </w:r>
      <w:r>
        <w:rPr>
          <w:rFonts w:ascii="Times New Roman" w:hAnsi="Times New Roman" w:cs="Times New Roman" w:eastAsiaTheme="majorEastAsia"/>
          <w:sz w:val="21"/>
          <w:szCs w:val="21"/>
        </w:rPr>
        <w:t>2+8+N</w:t>
      </w:r>
      <w:r>
        <w:rPr>
          <w:rFonts w:cs="Times New Roman" w:asciiTheme="minorEastAsia" w:hAnsiTheme="minorEastAsia" w:eastAsiaTheme="minorEastAsia"/>
          <w:sz w:val="21"/>
          <w:szCs w:val="21"/>
        </w:rPr>
        <w:t>”全</w:t>
      </w:r>
      <w:r>
        <w:rPr>
          <w:rFonts w:ascii="Times New Roman" w:hAnsi="Times New Roman" w:cs="Times New Roman" w:eastAsiaTheme="majorEastAsia"/>
          <w:sz w:val="21"/>
          <w:szCs w:val="21"/>
        </w:rPr>
        <w:t>行业覆盖的替代路径。2022年国资委79号文要求央企国企在2027年前完成100%信息化系统国产化替代，标志着信创从党政办公向金融、能源、交通等八大关键行业的全面渗透。2023年，工业和信息化部等六部门联合印发《算力基础设施高质量发展行动计划》，提出2025年算力规模超过300EFLOPS、智能算力占比35%的目标，加速构建自主可控的算力网络。</w:t>
      </w:r>
    </w:p>
    <w:p w14:paraId="75700A9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政策支持力度持续加码，中央财政通过超长期特别国债、科技创新再贷款等方式，为信创基础设施建设提供资金保障。2025年政府工作报告进一步强化科技自立自强，提出优化算力资源布局，加快东中西部算力协同网络建设，数据中心、服务器等硬件投资成为重点领域。政府采购创新产品目录动态更新，首台套装备、首版次软件等纳入优先采购范围，推动国产技术迭代与规模化应用。</w:t>
      </w:r>
    </w:p>
    <w:p w14:paraId="6B25170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算力作为信创产业的核心支撑，正迎来技术突破与生态重构的双重机遇。国家发改委明确要求加速国产芯片、服务器等硬件技术攻关，推动AI大模型在金融风控、智能客服等场景的落地应用，形成</w:t>
      </w:r>
      <w:r>
        <w:rPr>
          <w:rFonts w:cs="Times New Roman" w:asciiTheme="minorEastAsia" w:hAnsiTheme="minorEastAsia" w:eastAsiaTheme="minorEastAsia"/>
          <w:sz w:val="21"/>
          <w:szCs w:val="21"/>
        </w:rPr>
        <w:t>“硬</w:t>
      </w:r>
      <w:r>
        <w:rPr>
          <w:rFonts w:ascii="Times New Roman" w:hAnsi="Times New Roman" w:cs="Times New Roman" w:eastAsiaTheme="majorEastAsia"/>
          <w:sz w:val="21"/>
          <w:szCs w:val="21"/>
        </w:rPr>
        <w:t>件国产化—软件适配—场景创</w:t>
      </w:r>
      <w:r>
        <w:rPr>
          <w:rFonts w:cs="Times New Roman" w:asciiTheme="minorEastAsia" w:hAnsiTheme="minorEastAsia" w:eastAsiaTheme="minorEastAsia"/>
          <w:sz w:val="21"/>
          <w:szCs w:val="21"/>
        </w:rPr>
        <w:t>新”的闭</w:t>
      </w:r>
      <w:r>
        <w:rPr>
          <w:rFonts w:ascii="Times New Roman" w:hAnsi="Times New Roman" w:cs="Times New Roman" w:eastAsiaTheme="majorEastAsia"/>
          <w:sz w:val="21"/>
          <w:szCs w:val="21"/>
        </w:rPr>
        <w:t>环生态。据平安证券2025年行业研究报告测算，2024-2028年信创PC与服务器市场规模将突破4</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000亿元，带动算力基础设施投资年均增长超25%。</w:t>
      </w:r>
    </w:p>
    <w:p w14:paraId="1E4E865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数据要素市场规模快速增长，据中国信通院2025年报告显示，2024年我国数据要素市场规模达1.3万亿元，年复合增长率25%，数据资产入表试点已覆盖15个省份，全国数据交易所数量超过50家，累计交易额突破800亿元。金融、医疗、交通等领域数据资产化进程加速，数据确权、定价、交易等配套机制逐步完善。2025年国家发改委新闻发布会指出，</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东数西算</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工程累计完成投资超4</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000亿元，带动西部数据中心标准机架数突破300万架。</w:t>
      </w:r>
    </w:p>
    <w:p w14:paraId="23EB934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（四）智慧能源行业</w:t>
      </w:r>
    </w:p>
    <w:p w14:paraId="31A2680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近年来，我国光伏行业在政策驱动与技术创新双轮驱动下持续深化能源结构转型。2025年政府工作报告明确要求加快</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沙戈荒</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新能源基地建设，叠加新能源电价市场化改革政策落地，刺激行业迎来二季度抢装预期。据中国光伏行业协会预测，2025年全球光伏新增装机量将达531至583GW，同比增长10%。</w:t>
      </w:r>
    </w:p>
    <w:p w14:paraId="7A4350BC">
      <w:pPr>
        <w:pStyle w:val="2"/>
        <w:spacing w:before="300" w:after="300" w:line="320" w:lineRule="exact"/>
        <w:rPr>
          <w:rFonts w:ascii="Times New Roman" w:hAnsi="Times New Roman" w:cs="Times New Roman" w:eastAsiaTheme="majorEastAsia"/>
          <w:b/>
          <w:bCs/>
          <w:sz w:val="24"/>
          <w:szCs w:val="24"/>
        </w:rPr>
      </w:pPr>
      <w:bookmarkStart w:id="14" w:name="_Toc988903"/>
      <w:r>
        <w:rPr>
          <w:rFonts w:ascii="Times New Roman" w:hAnsi="Times New Roman" w:cs="Times New Roman" w:eastAsiaTheme="majorEastAsia"/>
          <w:b/>
          <w:bCs/>
          <w:sz w:val="24"/>
          <w:szCs w:val="24"/>
        </w:rPr>
        <w:t>二、报告期内公司从事的主要业务</w:t>
      </w:r>
      <w:bookmarkEnd w:id="14"/>
    </w:p>
    <w:p w14:paraId="465C37D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（一）主营业务基本情况</w:t>
      </w:r>
    </w:p>
    <w:p w14:paraId="64C8825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系一家智慧城市解决方案提供商，致力于融合应用物联网、大数据、云计算、GIS、人工智能等新一代信息技术，为客户提供项目总体规划、方案设计、软件研发、项目实施及运维服务一体化的信息技术解决方案。公司构建了产品研发、信息技术解决方案和信息系统运维服务三大核心业务体系，掌握数字孪生构建与应用、政务大模型技术与应用、轨道交通智能运维等十大核心技术，开发出基层社会治理网格化、数据要素全链条、轨道交通无人值守等八大解决方案，累计在20多个省份落地超1,000个案例。</w:t>
      </w:r>
    </w:p>
    <w:p w14:paraId="6F3B8F5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（二）主要产品或服务基本情况</w:t>
      </w:r>
    </w:p>
    <w:p w14:paraId="35C6D9E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公司致力于为智慧政务、智慧教育、智慧医疗等领域客户提供信息技术解决方案、从业务类型上可划分为信息系统集成服务、软件开发及技术服务、信息设备销售、信息系统运维服务。</w:t>
      </w:r>
    </w:p>
    <w:p w14:paraId="0FB1A7D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1.信息系统集成服务</w:t>
      </w:r>
    </w:p>
    <w:p w14:paraId="7AB4E99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息系统集成服务系公司的主要业务。公司提供的信息系统集成服务，以客户的应用需求为出发点，在合理规划的基础上，综合应用各种信息技术，通过软件系统定制、硬件平台搭建等，将各个分离的软硬件设备连接成为一个完整、可靠、经济有效的整体，使之能彼此协调工作，完成信息系统平台构建，满足客户使用需求。</w:t>
      </w:r>
    </w:p>
    <w:p w14:paraId="6C5902D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2.软件开发及技术服务</w:t>
      </w:r>
    </w:p>
    <w:p w14:paraId="13AB806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软件开发及技术服务系公司的核心业务。公司依托深圳、汕头两地研发中心及子公司互联精英，聚焦于智慧城市领域，持续投入和创新，在政务、教育、医疗等领域开发了一系列产品和解决方案，同时可为客户特定需求提供定制化产品开发服务。</w:t>
      </w:r>
    </w:p>
    <w:p w14:paraId="0CF58EC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3.信息系统运维服务</w:t>
      </w:r>
    </w:p>
    <w:p w14:paraId="7076150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息系统运维服务系公司的传统业务，公司建立了专业服务团队和统一服务平台，打造形成专业信息系统运维服务模式，可为客户提供包括信息系统集成项目维保服务，驻点运维服务、企业客户IT运营运维服务等。</w:t>
      </w:r>
    </w:p>
    <w:p w14:paraId="48CF7DF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4.信息设备销售</w:t>
      </w:r>
    </w:p>
    <w:p w14:paraId="5CA14C5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信息设备销售业务主要系公司在提供信息技术服务的过程中充分利用所积累的供应商资源为客户提供信息设备供货服务。</w:t>
      </w:r>
    </w:p>
    <w:p w14:paraId="3461462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（三）经营模式</w:t>
      </w:r>
    </w:p>
    <w:p w14:paraId="67E9A1C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1.销售模式</w:t>
      </w:r>
    </w:p>
    <w:p w14:paraId="46328E2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主要采用直销业务模式，直接承接客户项目，深度理解、快速响应客户的定制化服务需求，提供项目总体规划、方案设计、软件研发、项目实施及运维服务一体化的信息系统解决方案。同时，为拓展市场空间、发挥公司自有产品和专业技术服务优势，公司部分业务系作为产品或服务供应商参与到其他系统集成商承接的项目，共同为业主方的信息化建设服务。</w:t>
      </w:r>
    </w:p>
    <w:p w14:paraId="437370B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公司通过建设由政企业务中心、营销业务中心及各地分子公司组成的营销服务体系，建立规范化的客户管理制度，及时响应客户需求，提升服务的效率和质量。</w:t>
      </w:r>
    </w:p>
    <w:p w14:paraId="2DE2EF9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2.采购模式</w:t>
      </w:r>
    </w:p>
    <w:p w14:paraId="643A3B5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公司采购主要采用“以销定采”、“按需采购”的模式，即根据项目实施的实际需求提出采购申请，采购部集中采购相应产品或服务。</w:t>
      </w:r>
    </w:p>
    <w:p w14:paraId="32083B2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公司建立了《供应商管理流程》以规范供应商筛选、引进和考核管理，提高供应质量。</w:t>
      </w:r>
    </w:p>
    <w:p w14:paraId="322A27B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3.项目实施模式</w:t>
      </w:r>
    </w:p>
    <w:p w14:paraId="5C6232D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公司主要采用“以销定产”模式，根据项目合同要求组织合同实施，提供相应的产品和服务。</w:t>
      </w:r>
    </w:p>
    <w:p w14:paraId="187C9C1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4.研发模式</w:t>
      </w:r>
    </w:p>
    <w:p w14:paraId="4DE5FD4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研发采用以自主研发为主的模式，同时为了提高研发的效率和效果，部分研发任务委托具有相应研发能力的专业单位进行研发。公司设立研发中心组建专业的研发团队，形成每一个新产品立项、需求可行性分析、制订项目任务书和技术开发计划、组织系统设计、安排原型设计与编码、进行产品测试、试运行、培训、编制操作手册、准备验收资料、组织验收交付、发布产品和申请著作权等全过程管理模式。</w:t>
      </w:r>
    </w:p>
    <w:p w14:paraId="2712E32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5.收费模式</w:t>
      </w:r>
    </w:p>
    <w:p w14:paraId="6749163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公司项目通常采用依照项目的合同签订、初验、终验、质保期满等关键节点收取不同比例合同金额的收费模式。依照项目不同施工节点支付进度款是行业主流习惯，少数项目因为</w:t>
      </w:r>
      <w:r>
        <w:rPr>
          <w:rFonts w:hint="eastAsia" w:ascii="Times New Roman" w:hAnsi="Times New Roman" w:cs="Times New Roman" w:eastAsiaTheme="majorEastAsia"/>
          <w:sz w:val="21"/>
          <w:szCs w:val="21"/>
        </w:rPr>
        <w:t>客户</w:t>
      </w:r>
      <w:r>
        <w:rPr>
          <w:rFonts w:ascii="Times New Roman" w:hAnsi="Times New Roman" w:cs="Times New Roman" w:eastAsiaTheme="majorEastAsia"/>
          <w:sz w:val="21"/>
          <w:szCs w:val="21"/>
        </w:rPr>
        <w:t>资金安排等原因也会采用分期付款的方式，公司收费模式与当前市场行情一致。</w:t>
      </w:r>
    </w:p>
    <w:p w14:paraId="0F34316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6.盈利模式</w:t>
      </w:r>
    </w:p>
    <w:p w14:paraId="5262DA3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专注为政务、教育、医疗等领域客户的信息化建设提供解决方案、软硬件产品和专业服务、以招投标方式或商务洽谈方式获取客户项目合同或产品销售合同，履行合同约定，按合同向客户收取相关产品或服务的费用，实现收入与利润。</w:t>
      </w:r>
    </w:p>
    <w:p w14:paraId="5E66605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（四）公司所处的行业地位</w:t>
      </w:r>
    </w:p>
    <w:p w14:paraId="7323785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当前我国信息技术服务行业企业数量较多，市场集中度不高，竞争较为激烈。行业内企业多以面向某一种类或某个特定领域的客户提供解决方案，大型综合类企业较少。</w:t>
      </w:r>
    </w:p>
    <w:p w14:paraId="248413E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深耕信息技术领域二十多年，一直致力于融合物联网、大数据、云计算、人工智能等新一代信息技术，形成了产品研发、信息技术解决方案和信息系统运维服务三大核心业务板块，掌握了数字孪生构建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目前公司自有产品已在国内20多个省份成功落地超过1,000个案例，服务于各级党政部门、企事业单位，得到了广大客户的充分肯定和一致好评，在基层社会治理细分领域处于国内领先地位。</w:t>
      </w:r>
    </w:p>
    <w:p w14:paraId="395AD9B9">
      <w:pPr>
        <w:pStyle w:val="2"/>
        <w:spacing w:before="300" w:after="300" w:line="320" w:lineRule="exact"/>
        <w:rPr>
          <w:rFonts w:ascii="Times New Roman" w:hAnsi="Times New Roman" w:cs="Times New Roman" w:eastAsiaTheme="majorEastAsia"/>
          <w:b/>
          <w:bCs/>
          <w:sz w:val="24"/>
          <w:szCs w:val="24"/>
        </w:rPr>
      </w:pPr>
      <w:bookmarkStart w:id="15" w:name="_Toc988904"/>
      <w:r>
        <w:rPr>
          <w:rFonts w:ascii="Times New Roman" w:hAnsi="Times New Roman" w:cs="Times New Roman" w:eastAsiaTheme="majorEastAsia"/>
          <w:b/>
          <w:bCs/>
          <w:sz w:val="24"/>
          <w:szCs w:val="24"/>
        </w:rPr>
        <w:t>三、核心竞争力分析</w:t>
      </w:r>
      <w:bookmarkEnd w:id="15"/>
    </w:p>
    <w:p w14:paraId="1B8DB62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（一）研发创新优势</w:t>
      </w:r>
    </w:p>
    <w:p w14:paraId="1C29319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始终秉承“技术缔造价值”的核心理念，坚持以研发创新作为驱动公司业务持续发展的核心动力。公司及子公司互联精英被认定为国家高新技术企业，已建立由汕头研发中心、深圳研发中心和子公司互联精英、广东翼启、广图粤科组成的研发体系，充分利用广州、深圳、汕头三地的研发创新人才和资源，培养形成了一支创新能力强的研发和技术服务团队。公司建设有广东省科学技术厅、广东省发展和改革委员会、广东省经济和信息化委员会评定的“广东省工程技术研究开发中心”。截至2024年12月31日，公司拥有358项计算机软件著作权，取得9项专利。</w:t>
      </w:r>
    </w:p>
    <w:p w14:paraId="375C25D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（二）核心技术能力</w:t>
      </w:r>
    </w:p>
    <w:p w14:paraId="3925CB2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及时跟进并应用物联网、云计算、GIS、人工智能交互、生成式人工智能等最新关键技术，已经掌握数字孪生构建与应用、政务大模型技术与应用、政务大数据分析与挖掘、图像超分与识别技术、跨平台高性能音视频通讯、统一数据集成技术、智能人机交互、可视化工作流、智能报表、低代码应用开发技术等核心技术能力，开发形成数字乡村解决方案、智慧社区解决方案、智慧党建解决方案、市域社会治理解决方案、基层社会治理解决方案、社会工作平台解决方案、社会治安综合治理解决方案、轨道交通无人值守平台、轨道交通资产巡视平台、数据要素全链条一站式解决方案、政务服务全场景一体化解决方案等一系列典型解决方案，打造天亿马智慧生态圈。</w:t>
      </w:r>
    </w:p>
    <w:p w14:paraId="4313E26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（三）项目经验优势</w:t>
      </w:r>
    </w:p>
    <w:p w14:paraId="3DAD13C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在信息技术服务领域深耕二十多年，对客户需求具有深刻的理解，具备丰厚的行业沉淀和积累，在政务、教育、医疗、能源、轨道交通、算力服务等领域成功实施了一大批典型项目。丰富的项目实践为公司积累了各类型项目的实施经验，培养了成熟的技术、研发和项目实施团队，持续提升公司对客户需求的理解和服务水平，有利于公司保持良好的客户关系和增强拓展业务、承接项目的竞争力。</w:t>
      </w:r>
    </w:p>
    <w:p w14:paraId="56EDFD8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（四）服务优势</w:t>
      </w:r>
    </w:p>
    <w:p w14:paraId="12137F5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坚持“技术+服务”的经营理念，为客户提供全面高效的服务，持续提升客户服务质量，赢得客户的认可和口碑。公司现已建立专业化的项目实施和技术服务团队，打造全面专业的服务和技术支持。公司在广州、深圳、海南、重庆和香港等地设立分、子公司，为区域客户提供本地化的技术服务，加深并扩展与客户多个层面的联系。公司建立了标准化的服务体系，紧跟客户需求变化创新服务模式，提升服务交付能力，及时高效地响应客户需求，持续完善服务质量。</w:t>
      </w:r>
    </w:p>
    <w:p w14:paraId="5EEFE98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（五）人才优势</w:t>
      </w:r>
    </w:p>
    <w:p w14:paraId="7354A22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作为轻资产企业，人力资源是公司核心资源。公司自成立以来一直注重人才队伍的建设，把尊重人才、重视人才和激励人才放在最突出的地位。公司建立了科学合理的人才培养及选拔机制，推进战略绩效管理模式。公司管理团队大部分成员在公司服务超过10年及以上，在信息技术相关领域具备多年的沉淀和积累，对前沿技术、产品升级和行业发展动态具有清晰的认识，对客户需求变化具备深刻的理解，能够较好的把握公司业务发展方向。通过健全人力资源开发和管理制度，完善培训、薪酬、绩效和激励机制，加大人才引进和培养力度，公司建立了一支专业的研发和项目实施团队。截至报告期末，公司共有研发人员109人、项目实施人员120人，分别占员工总人数比例的29.22%、32.17%，是公司产品和技术创新、业务持续发展的骨干力量。</w:t>
      </w:r>
    </w:p>
    <w:p w14:paraId="46339C9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（六）资质优势</w:t>
      </w:r>
    </w:p>
    <w:p w14:paraId="2FB45F4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所处行业实行资质认证，拥有完整、高级别资质的企业在满足客户多样化需求和项目承接上具备较强的竞争优势。经过多年业务发展和技术积累，公司已成为行业内资质体系较齐全且级别较高的企业之一，目前已拥有了广东省安全技术防范系统设计、施工、维修资格证一级资质、电子与智能化工程专业承包一级资质、建筑机电安装工程专业二级、广东省涉密计算机、广东省防雷企业能力评价证书（C级）、CMMI3(软件能力成熟度模型集成)、ITSS信息技术服务标准符合性证书（三级）、CS信息系统建设和服务能力等级证书（良好级）、广东省安全技术防范企业设计施工维护能力评价等级证书（一级）等业务开展必要的资质证书。上述资质的取得系公司整体业务实力的体现，使公司在竞标和承接各类相关业务时具备较强的竞争优势。</w:t>
      </w:r>
    </w:p>
    <w:p w14:paraId="06F35C77">
      <w:pPr>
        <w:pStyle w:val="2"/>
        <w:spacing w:before="300" w:after="300" w:line="320" w:lineRule="exact"/>
        <w:rPr>
          <w:rFonts w:ascii="Times New Roman" w:hAnsi="Times New Roman" w:cs="Times New Roman" w:eastAsiaTheme="majorEastAsia"/>
          <w:b/>
          <w:bCs/>
          <w:sz w:val="24"/>
          <w:szCs w:val="24"/>
        </w:rPr>
      </w:pPr>
      <w:bookmarkStart w:id="16" w:name="_Toc988905"/>
      <w:r>
        <w:rPr>
          <w:rFonts w:ascii="Times New Roman" w:hAnsi="Times New Roman" w:cs="Times New Roman" w:eastAsiaTheme="majorEastAsia"/>
          <w:b/>
          <w:bCs/>
          <w:sz w:val="24"/>
          <w:szCs w:val="24"/>
        </w:rPr>
        <w:t>四、主营业务分析</w:t>
      </w:r>
      <w:bookmarkEnd w:id="16"/>
    </w:p>
    <w:p w14:paraId="36DAABC9">
      <w:pPr>
        <w:pStyle w:val="3"/>
        <w:spacing w:line="280" w:lineRule="exact"/>
        <w:jc w:val="left"/>
        <w:rPr>
          <w:rFonts w:ascii="Times New Roman" w:hAnsi="Times New Roman" w:cs="Times New Roman" w:eastAsiaTheme="majorEastAsia"/>
          <w:b/>
          <w:bCs/>
        </w:rPr>
      </w:pPr>
      <w:bookmarkStart w:id="17" w:name="_Toc988906"/>
      <w:r>
        <w:rPr>
          <w:rFonts w:ascii="Times New Roman" w:hAnsi="Times New Roman" w:cs="Times New Roman" w:eastAsiaTheme="majorEastAsia"/>
          <w:b/>
          <w:bCs/>
        </w:rPr>
        <w:t>1、概述</w:t>
      </w:r>
      <w:bookmarkEnd w:id="17"/>
    </w:p>
    <w:p w14:paraId="1C206EE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pacing w:val="8"/>
          <w:sz w:val="21"/>
          <w:szCs w:val="21"/>
        </w:rPr>
        <w:t>2024年，面对宏观经济和外部环境的不利局面，加之智慧城市行业竞争加剧，公司围</w:t>
      </w:r>
      <w:r>
        <w:rPr>
          <w:rFonts w:cs="Times New Roman" w:asciiTheme="minorEastAsia" w:hAnsiTheme="minorEastAsia" w:eastAsiaTheme="minorEastAsia"/>
          <w:color w:val="000000"/>
          <w:spacing w:val="8"/>
          <w:sz w:val="21"/>
          <w:szCs w:val="21"/>
        </w:rPr>
        <w:t>绕“转</w:t>
      </w:r>
      <w:r>
        <w:rPr>
          <w:rFonts w:cs="Times New Roman" w:asciiTheme="minorEastAsia" w:hAnsiTheme="minorEastAsia" w:eastAsiaTheme="minorEastAsia"/>
          <w:sz w:val="21"/>
          <w:szCs w:val="21"/>
        </w:rPr>
        <w:t>型、提质”的战略总目标，紧抓“数字经济”发</w:t>
      </w:r>
      <w:r>
        <w:rPr>
          <w:rFonts w:ascii="Times New Roman" w:hAnsi="Times New Roman" w:cs="Times New Roman" w:eastAsiaTheme="majorEastAsia"/>
          <w:sz w:val="21"/>
          <w:szCs w:val="21"/>
        </w:rPr>
        <w:t>展机遇，在继续巩固政务、教育、医疗等领域优势的同时，进一步开拓了智慧轨道交通、智慧企业、智慧能源业务。在智慧轨道交通方面，控股子公司广图粤科为智能电网及轨道交通智能供电智能运维的专家级技术供应商及核心服务商，报告期内持续中标广深铁路、衡阳供电段、广州供电段等重大项目，并联合高校研发接触网监测、接地网智能腐蚀检测系统、智能高压设备巡检系统、地铁医院产品等创新产品，形成了覆盖轨道交通智能供电、智能运维领域的专业化产品矩阵。在智慧企业方面，公司凭借信息技术领域的深厚实力和创新能力，中标南</w:t>
      </w:r>
      <w:r>
        <w:rPr>
          <w:rFonts w:cs="Times New Roman" w:asciiTheme="minorEastAsia" w:hAnsiTheme="minorEastAsia" w:eastAsiaTheme="minorEastAsia"/>
          <w:color w:val="000000"/>
          <w:spacing w:val="8"/>
          <w:sz w:val="21"/>
          <w:szCs w:val="21"/>
        </w:rPr>
        <w:t>方电网“信息</w:t>
      </w:r>
      <w:r>
        <w:rPr>
          <w:rFonts w:ascii="Times New Roman" w:hAnsi="Times New Roman" w:cs="Times New Roman" w:eastAsiaTheme="majorEastAsia"/>
          <w:sz w:val="21"/>
          <w:szCs w:val="21"/>
        </w:rPr>
        <w:t>化项</w:t>
      </w:r>
      <w:r>
        <w:rPr>
          <w:rFonts w:cs="Times New Roman" w:asciiTheme="minorEastAsia" w:hAnsiTheme="minorEastAsia" w:eastAsiaTheme="minorEastAsia"/>
          <w:color w:val="000000"/>
          <w:spacing w:val="8"/>
          <w:sz w:val="21"/>
          <w:szCs w:val="21"/>
        </w:rPr>
        <w:t>目”“业务财务融合”等项目，成功入选汕头市中小企业数字化转型城市试点数字化牵引单位；智慧能源方面，在国家“碳达峰、碳中和”双</w:t>
      </w:r>
      <w:r>
        <w:rPr>
          <w:rFonts w:ascii="Times New Roman" w:hAnsi="Times New Roman" w:cs="Times New Roman" w:eastAsiaTheme="majorEastAsia"/>
          <w:sz w:val="21"/>
          <w:szCs w:val="21"/>
        </w:rPr>
        <w:t>碳目标及大力发展新能源产业的背景下，公司已顺利切入智慧能源业务，目前在建与拟建项目共计约100MW，已实现并网发电项目3个，约30MW。</w:t>
      </w:r>
    </w:p>
    <w:p w14:paraId="03CE105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2024年，公司加速布局数据要素和算力服务领域。数据要素方面，公司完成具有广东省首批数据经纪人资质的翼启数据的战略并购，翼启数据已</w:t>
      </w:r>
      <w:r>
        <w:rPr>
          <w:rFonts w:cs="Times New Roman" w:asciiTheme="minorEastAsia" w:hAnsiTheme="minorEastAsia" w:eastAsiaTheme="minorEastAsia"/>
          <w:color w:val="000000"/>
          <w:spacing w:val="8"/>
          <w:sz w:val="21"/>
          <w:szCs w:val="21"/>
        </w:rPr>
        <w:t>开发出“养殖户经营健康指数”等多</w:t>
      </w:r>
      <w:r>
        <w:rPr>
          <w:rFonts w:ascii="Times New Roman" w:hAnsi="Times New Roman" w:cs="Times New Roman" w:eastAsiaTheme="majorEastAsia"/>
          <w:sz w:val="21"/>
          <w:szCs w:val="21"/>
        </w:rPr>
        <w:t>个数据产品推向市场，正在构建数据治理、确权、交易全链条服务能力，未来将依托国家大力发展数据产业的政策东风，持续拓展数据要素业务。算力服务方面，公司投资建设了位于深圳的算力集群服务项目，项目总算力规模达1000P@FP16，为首个落地深圳的国内头部大模型算力底座，公司将以该项目为契机，结合公司核心技术、资源等持续打造具有竞争力的算力服务综合解决方案。</w:t>
      </w:r>
    </w:p>
    <w:p w14:paraId="55C3BC8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color w:val="000000"/>
          <w:spacing w:val="8"/>
          <w:sz w:val="21"/>
          <w:szCs w:val="21"/>
        </w:rPr>
        <w:t>在“提质、转型”的战</w:t>
      </w:r>
      <w:r>
        <w:rPr>
          <w:rFonts w:ascii="Times New Roman" w:hAnsi="Times New Roman" w:cs="Times New Roman" w:eastAsiaTheme="majorEastAsia"/>
          <w:sz w:val="21"/>
          <w:szCs w:val="21"/>
        </w:rPr>
        <w:t>略总目标的指引下，公司将构建算力支撑坚实、数据驱动高效、应用创新活跃的全方位、多层次数字化服务体系，为公司在数字经济时代的可持续发展打开全新空间。</w:t>
      </w:r>
    </w:p>
    <w:p w14:paraId="4E83D543">
      <w:pPr>
        <w:pStyle w:val="3"/>
        <w:spacing w:line="280" w:lineRule="exact"/>
        <w:jc w:val="left"/>
        <w:rPr>
          <w:rFonts w:ascii="Times New Roman" w:hAnsi="Times New Roman" w:cs="Times New Roman" w:eastAsiaTheme="majorEastAsia"/>
          <w:b/>
          <w:bCs/>
        </w:rPr>
      </w:pPr>
      <w:bookmarkStart w:id="18" w:name="_Toc988907"/>
      <w:r>
        <w:rPr>
          <w:rFonts w:ascii="Times New Roman" w:hAnsi="Times New Roman" w:cs="Times New Roman" w:eastAsiaTheme="majorEastAsia"/>
          <w:b/>
          <w:bCs/>
        </w:rPr>
        <w:t>2、收入与成本</w:t>
      </w:r>
      <w:bookmarkEnd w:id="18"/>
    </w:p>
    <w:p w14:paraId="626A19CC">
      <w:pPr>
        <w:keepNext/>
        <w:keepLines/>
        <w:spacing w:before="300" w:after="300" w:line="280" w:lineRule="exact"/>
        <w:outlineLvl w:val="3"/>
        <w:rPr>
          <w:rFonts w:ascii="Times New Roman" w:hAnsi="Times New Roman" w:cs="Times New Roman" w:eastAsiaTheme="majorEastAsia"/>
          <w:b/>
          <w:bCs/>
          <w:szCs w:val="21"/>
        </w:rPr>
      </w:pPr>
      <w:bookmarkStart w:id="19" w:name="_Toc988908"/>
      <w:r>
        <w:rPr>
          <w:rFonts w:ascii="Times New Roman" w:hAnsi="Times New Roman" w:cs="Times New Roman" w:eastAsiaTheme="majorEastAsia"/>
          <w:b/>
          <w:bCs/>
          <w:szCs w:val="21"/>
        </w:rPr>
        <w:t>（1） 营业收入构成</w:t>
      </w:r>
      <w:bookmarkEnd w:id="19"/>
    </w:p>
    <w:p w14:paraId="000F828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营业收入整体情况</w:t>
      </w:r>
    </w:p>
    <w:p w14:paraId="5696BBD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7"/>
        <w:gridCol w:w="1606"/>
        <w:gridCol w:w="1607"/>
        <w:gridCol w:w="1607"/>
      </w:tblGrid>
      <w:tr w14:paraId="446E8C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329117E">
            <w:pPr>
              <w:rPr>
                <w:rFonts w:ascii="Times New Roman" w:hAnsi="Times New Roman" w:cs="Times New Roman" w:eastAsiaTheme="majorEastAsia"/>
              </w:rPr>
            </w:pP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6AB38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5077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8199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同比增减</w:t>
            </w:r>
          </w:p>
        </w:tc>
      </w:tr>
      <w:tr w14:paraId="21E946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3FA102">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5CC64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BAF6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占营业收入比重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B705CB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2171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占营业收入比重</w:t>
            </w: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4047F9">
            <w:pPr>
              <w:rPr>
                <w:rFonts w:ascii="Times New Roman" w:hAnsi="Times New Roman" w:cs="Times New Roman" w:eastAsiaTheme="majorEastAsia"/>
              </w:rPr>
            </w:pPr>
          </w:p>
        </w:tc>
      </w:tr>
      <w:tr w14:paraId="5B8A4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7FBC0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营业收入合计</w:t>
            </w:r>
          </w:p>
        </w:tc>
        <w:tc>
          <w:tcPr>
            <w:tcW w:w="1606" w:type="dxa"/>
            <w:tcBorders>
              <w:top w:val="single" w:color="auto" w:sz="2" w:space="0"/>
              <w:left w:val="single" w:color="auto" w:sz="2" w:space="0"/>
              <w:bottom w:val="single" w:color="auto" w:sz="2" w:space="0"/>
              <w:right w:val="single" w:color="auto" w:sz="2" w:space="0"/>
            </w:tcBorders>
            <w:vAlign w:val="center"/>
          </w:tcPr>
          <w:p w14:paraId="5F08E5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CE3412">
            <w:pPr>
              <w:spacing w:before="40" w:after="40" w:line="240" w:lineRule="exact"/>
              <w:jc w:val="right"/>
              <w:rPr>
                <w:rFonts w:ascii="Times New Roman" w:hAnsi="Times New Roman" w:cs="Times New Roman" w:eastAsiaTheme="majorEastAsia"/>
                <w:sz w:val="18"/>
                <w:szCs w:val="18"/>
                <w:shd w:val="clear" w:color="auto" w:fill="D3D3D3"/>
              </w:rPr>
            </w:pPr>
            <w:r>
              <w:rPr>
                <w:rFonts w:ascii="Times New Roman" w:hAnsi="Times New Roman" w:cs="Times New Roman" w:eastAsiaTheme="majorEastAsia"/>
                <w:sz w:val="18"/>
                <w:szCs w:val="18"/>
                <w:shd w:val="clear" w:color="auto" w:fill="D3D3D3"/>
              </w:rPr>
              <w:t>100%</w:t>
            </w:r>
          </w:p>
        </w:tc>
        <w:tc>
          <w:tcPr>
            <w:tcW w:w="1606" w:type="dxa"/>
            <w:tcBorders>
              <w:top w:val="single" w:color="auto" w:sz="2" w:space="0"/>
              <w:left w:val="single" w:color="auto" w:sz="2" w:space="0"/>
              <w:bottom w:val="single" w:color="auto" w:sz="2" w:space="0"/>
              <w:right w:val="single" w:color="auto" w:sz="2" w:space="0"/>
            </w:tcBorders>
            <w:vAlign w:val="center"/>
          </w:tcPr>
          <w:p w14:paraId="1C8959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922799">
            <w:pPr>
              <w:spacing w:before="40" w:after="40" w:line="240" w:lineRule="exact"/>
              <w:jc w:val="right"/>
              <w:rPr>
                <w:rFonts w:ascii="Times New Roman" w:hAnsi="Times New Roman" w:cs="Times New Roman" w:eastAsiaTheme="majorEastAsia"/>
                <w:sz w:val="18"/>
                <w:szCs w:val="18"/>
                <w:shd w:val="clear" w:color="auto" w:fill="D3D3D3"/>
              </w:rPr>
            </w:pPr>
            <w:r>
              <w:rPr>
                <w:rFonts w:ascii="Times New Roman" w:hAnsi="Times New Roman" w:cs="Times New Roman" w:eastAsiaTheme="majorEastAsia"/>
                <w:sz w:val="18"/>
                <w:szCs w:val="18"/>
                <w:shd w:val="clear" w:color="auto" w:fill="D3D3D3"/>
              </w:rPr>
              <w:t>100%</w:t>
            </w:r>
          </w:p>
        </w:tc>
        <w:tc>
          <w:tcPr>
            <w:tcW w:w="1606" w:type="dxa"/>
            <w:tcBorders>
              <w:top w:val="single" w:color="auto" w:sz="2" w:space="0"/>
              <w:left w:val="single" w:color="auto" w:sz="2" w:space="0"/>
              <w:bottom w:val="single" w:color="auto" w:sz="2" w:space="0"/>
              <w:right w:val="single" w:color="auto" w:sz="2" w:space="0"/>
            </w:tcBorders>
            <w:vAlign w:val="center"/>
          </w:tcPr>
          <w:p w14:paraId="4486C7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-45.46%</w:t>
            </w:r>
          </w:p>
        </w:tc>
      </w:tr>
      <w:tr w14:paraId="5FFED6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6264EC5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分行业</w:t>
            </w:r>
          </w:p>
        </w:tc>
      </w:tr>
      <w:tr w14:paraId="0231DE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2611A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智慧政务</w:t>
            </w:r>
          </w:p>
        </w:tc>
        <w:tc>
          <w:tcPr>
            <w:tcW w:w="1606" w:type="dxa"/>
            <w:tcBorders>
              <w:top w:val="single" w:color="auto" w:sz="2" w:space="0"/>
              <w:left w:val="single" w:color="auto" w:sz="2" w:space="0"/>
              <w:bottom w:val="single" w:color="auto" w:sz="2" w:space="0"/>
              <w:right w:val="single" w:color="auto" w:sz="2" w:space="0"/>
            </w:tcBorders>
            <w:vAlign w:val="center"/>
          </w:tcPr>
          <w:p w14:paraId="6333A8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47,579,656.86</w:t>
            </w:r>
          </w:p>
        </w:tc>
        <w:tc>
          <w:tcPr>
            <w:tcW w:w="1606" w:type="dxa"/>
            <w:tcBorders>
              <w:top w:val="single" w:color="auto" w:sz="2" w:space="0"/>
              <w:left w:val="single" w:color="auto" w:sz="2" w:space="0"/>
              <w:bottom w:val="single" w:color="auto" w:sz="2" w:space="0"/>
              <w:right w:val="single" w:color="auto" w:sz="2" w:space="0"/>
            </w:tcBorders>
            <w:vAlign w:val="center"/>
          </w:tcPr>
          <w:p w14:paraId="639820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21.28%</w:t>
            </w:r>
          </w:p>
        </w:tc>
        <w:tc>
          <w:tcPr>
            <w:tcW w:w="1606" w:type="dxa"/>
            <w:tcBorders>
              <w:top w:val="single" w:color="auto" w:sz="2" w:space="0"/>
              <w:left w:val="single" w:color="auto" w:sz="2" w:space="0"/>
              <w:bottom w:val="single" w:color="auto" w:sz="2" w:space="0"/>
              <w:right w:val="single" w:color="auto" w:sz="2" w:space="0"/>
            </w:tcBorders>
            <w:vAlign w:val="center"/>
          </w:tcPr>
          <w:p w14:paraId="366FB5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208,341,836.17</w:t>
            </w:r>
          </w:p>
        </w:tc>
        <w:tc>
          <w:tcPr>
            <w:tcW w:w="1606" w:type="dxa"/>
            <w:tcBorders>
              <w:top w:val="single" w:color="auto" w:sz="2" w:space="0"/>
              <w:left w:val="single" w:color="auto" w:sz="2" w:space="0"/>
              <w:bottom w:val="single" w:color="auto" w:sz="2" w:space="0"/>
              <w:right w:val="single" w:color="auto" w:sz="2" w:space="0"/>
            </w:tcBorders>
            <w:vAlign w:val="center"/>
          </w:tcPr>
          <w:p w14:paraId="63E357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50.81%</w:t>
            </w:r>
          </w:p>
        </w:tc>
        <w:tc>
          <w:tcPr>
            <w:tcW w:w="1606" w:type="dxa"/>
            <w:tcBorders>
              <w:top w:val="single" w:color="auto" w:sz="2" w:space="0"/>
              <w:left w:val="single" w:color="auto" w:sz="2" w:space="0"/>
              <w:bottom w:val="single" w:color="auto" w:sz="2" w:space="0"/>
              <w:right w:val="single" w:color="auto" w:sz="2" w:space="0"/>
            </w:tcBorders>
            <w:vAlign w:val="center"/>
          </w:tcPr>
          <w:p w14:paraId="29AD69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-77.16%</w:t>
            </w:r>
          </w:p>
        </w:tc>
      </w:tr>
      <w:tr w14:paraId="1CE705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672FC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智慧教育</w:t>
            </w:r>
          </w:p>
        </w:tc>
        <w:tc>
          <w:tcPr>
            <w:tcW w:w="1606" w:type="dxa"/>
            <w:tcBorders>
              <w:top w:val="single" w:color="auto" w:sz="2" w:space="0"/>
              <w:left w:val="single" w:color="auto" w:sz="2" w:space="0"/>
              <w:bottom w:val="single" w:color="auto" w:sz="2" w:space="0"/>
              <w:right w:val="single" w:color="auto" w:sz="2" w:space="0"/>
            </w:tcBorders>
            <w:vAlign w:val="center"/>
          </w:tcPr>
          <w:p w14:paraId="5F45A9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81,194,925.60</w:t>
            </w:r>
          </w:p>
        </w:tc>
        <w:tc>
          <w:tcPr>
            <w:tcW w:w="1606" w:type="dxa"/>
            <w:tcBorders>
              <w:top w:val="single" w:color="auto" w:sz="2" w:space="0"/>
              <w:left w:val="single" w:color="auto" w:sz="2" w:space="0"/>
              <w:bottom w:val="single" w:color="auto" w:sz="2" w:space="0"/>
              <w:right w:val="single" w:color="auto" w:sz="2" w:space="0"/>
            </w:tcBorders>
            <w:vAlign w:val="center"/>
          </w:tcPr>
          <w:p w14:paraId="1F83DE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36.31%</w:t>
            </w:r>
          </w:p>
        </w:tc>
        <w:tc>
          <w:tcPr>
            <w:tcW w:w="1606" w:type="dxa"/>
            <w:tcBorders>
              <w:top w:val="single" w:color="auto" w:sz="2" w:space="0"/>
              <w:left w:val="single" w:color="auto" w:sz="2" w:space="0"/>
              <w:bottom w:val="single" w:color="auto" w:sz="2" w:space="0"/>
              <w:right w:val="single" w:color="auto" w:sz="2" w:space="0"/>
            </w:tcBorders>
            <w:vAlign w:val="center"/>
          </w:tcPr>
          <w:p w14:paraId="136BE8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129,466,266.51</w:t>
            </w:r>
          </w:p>
        </w:tc>
        <w:tc>
          <w:tcPr>
            <w:tcW w:w="1606" w:type="dxa"/>
            <w:tcBorders>
              <w:top w:val="single" w:color="auto" w:sz="2" w:space="0"/>
              <w:left w:val="single" w:color="auto" w:sz="2" w:space="0"/>
              <w:bottom w:val="single" w:color="auto" w:sz="2" w:space="0"/>
              <w:right w:val="single" w:color="auto" w:sz="2" w:space="0"/>
            </w:tcBorders>
            <w:vAlign w:val="center"/>
          </w:tcPr>
          <w:p w14:paraId="012522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31.58%</w:t>
            </w:r>
          </w:p>
        </w:tc>
        <w:tc>
          <w:tcPr>
            <w:tcW w:w="1606" w:type="dxa"/>
            <w:tcBorders>
              <w:top w:val="single" w:color="auto" w:sz="2" w:space="0"/>
              <w:left w:val="single" w:color="auto" w:sz="2" w:space="0"/>
              <w:bottom w:val="single" w:color="auto" w:sz="2" w:space="0"/>
              <w:right w:val="single" w:color="auto" w:sz="2" w:space="0"/>
            </w:tcBorders>
            <w:vAlign w:val="center"/>
          </w:tcPr>
          <w:p w14:paraId="435CF2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-37.28%</w:t>
            </w:r>
          </w:p>
        </w:tc>
      </w:tr>
      <w:tr w14:paraId="7D311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759B7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智慧医疗</w:t>
            </w:r>
          </w:p>
        </w:tc>
        <w:tc>
          <w:tcPr>
            <w:tcW w:w="1606" w:type="dxa"/>
            <w:tcBorders>
              <w:top w:val="single" w:color="auto" w:sz="2" w:space="0"/>
              <w:left w:val="single" w:color="auto" w:sz="2" w:space="0"/>
              <w:bottom w:val="single" w:color="auto" w:sz="2" w:space="0"/>
              <w:right w:val="single" w:color="auto" w:sz="2" w:space="0"/>
            </w:tcBorders>
            <w:vAlign w:val="center"/>
          </w:tcPr>
          <w:p w14:paraId="244AA3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25,917,120.14</w:t>
            </w:r>
          </w:p>
        </w:tc>
        <w:tc>
          <w:tcPr>
            <w:tcW w:w="1606" w:type="dxa"/>
            <w:tcBorders>
              <w:top w:val="single" w:color="auto" w:sz="2" w:space="0"/>
              <w:left w:val="single" w:color="auto" w:sz="2" w:space="0"/>
              <w:bottom w:val="single" w:color="auto" w:sz="2" w:space="0"/>
              <w:right w:val="single" w:color="auto" w:sz="2" w:space="0"/>
            </w:tcBorders>
            <w:vAlign w:val="center"/>
          </w:tcPr>
          <w:p w14:paraId="44F0C7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11.59%</w:t>
            </w:r>
          </w:p>
        </w:tc>
        <w:tc>
          <w:tcPr>
            <w:tcW w:w="1606" w:type="dxa"/>
            <w:tcBorders>
              <w:top w:val="single" w:color="auto" w:sz="2" w:space="0"/>
              <w:left w:val="single" w:color="auto" w:sz="2" w:space="0"/>
              <w:bottom w:val="single" w:color="auto" w:sz="2" w:space="0"/>
              <w:right w:val="single" w:color="auto" w:sz="2" w:space="0"/>
            </w:tcBorders>
            <w:vAlign w:val="center"/>
          </w:tcPr>
          <w:p w14:paraId="2A18A0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27,900,682.11</w:t>
            </w:r>
          </w:p>
        </w:tc>
        <w:tc>
          <w:tcPr>
            <w:tcW w:w="1606" w:type="dxa"/>
            <w:tcBorders>
              <w:top w:val="single" w:color="auto" w:sz="2" w:space="0"/>
              <w:left w:val="single" w:color="auto" w:sz="2" w:space="0"/>
              <w:bottom w:val="single" w:color="auto" w:sz="2" w:space="0"/>
              <w:right w:val="single" w:color="auto" w:sz="2" w:space="0"/>
            </w:tcBorders>
            <w:vAlign w:val="center"/>
          </w:tcPr>
          <w:p w14:paraId="7582A8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6.80%</w:t>
            </w:r>
          </w:p>
        </w:tc>
        <w:tc>
          <w:tcPr>
            <w:tcW w:w="1606" w:type="dxa"/>
            <w:tcBorders>
              <w:top w:val="single" w:color="auto" w:sz="2" w:space="0"/>
              <w:left w:val="single" w:color="auto" w:sz="2" w:space="0"/>
              <w:bottom w:val="single" w:color="auto" w:sz="2" w:space="0"/>
              <w:right w:val="single" w:color="auto" w:sz="2" w:space="0"/>
            </w:tcBorders>
            <w:vAlign w:val="center"/>
          </w:tcPr>
          <w:p w14:paraId="20659E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-7.11%</w:t>
            </w:r>
          </w:p>
        </w:tc>
      </w:tr>
      <w:tr w14:paraId="7806F3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1B9CC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轨道交通</w:t>
            </w:r>
          </w:p>
        </w:tc>
        <w:tc>
          <w:tcPr>
            <w:tcW w:w="1606" w:type="dxa"/>
            <w:tcBorders>
              <w:top w:val="single" w:color="auto" w:sz="2" w:space="0"/>
              <w:left w:val="single" w:color="auto" w:sz="2" w:space="0"/>
              <w:bottom w:val="single" w:color="auto" w:sz="2" w:space="0"/>
              <w:right w:val="single" w:color="auto" w:sz="2" w:space="0"/>
            </w:tcBorders>
            <w:vAlign w:val="center"/>
          </w:tcPr>
          <w:p w14:paraId="081FDF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23,427,341.16</w:t>
            </w:r>
          </w:p>
        </w:tc>
        <w:tc>
          <w:tcPr>
            <w:tcW w:w="1606" w:type="dxa"/>
            <w:tcBorders>
              <w:top w:val="single" w:color="auto" w:sz="2" w:space="0"/>
              <w:left w:val="single" w:color="auto" w:sz="2" w:space="0"/>
              <w:bottom w:val="single" w:color="auto" w:sz="2" w:space="0"/>
              <w:right w:val="single" w:color="auto" w:sz="2" w:space="0"/>
            </w:tcBorders>
            <w:vAlign w:val="center"/>
          </w:tcPr>
          <w:p w14:paraId="1BF58D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10.47%</w:t>
            </w:r>
          </w:p>
        </w:tc>
        <w:tc>
          <w:tcPr>
            <w:tcW w:w="1606" w:type="dxa"/>
            <w:tcBorders>
              <w:top w:val="single" w:color="auto" w:sz="2" w:space="0"/>
              <w:left w:val="single" w:color="auto" w:sz="2" w:space="0"/>
              <w:bottom w:val="single" w:color="auto" w:sz="2" w:space="0"/>
              <w:right w:val="single" w:color="auto" w:sz="2" w:space="0"/>
            </w:tcBorders>
            <w:vAlign w:val="center"/>
          </w:tcPr>
          <w:p w14:paraId="1AA8638D">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EE50482">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F5821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5251D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7BFC6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新能源电力</w:t>
            </w:r>
          </w:p>
        </w:tc>
        <w:tc>
          <w:tcPr>
            <w:tcW w:w="1606" w:type="dxa"/>
            <w:tcBorders>
              <w:top w:val="single" w:color="auto" w:sz="2" w:space="0"/>
              <w:left w:val="single" w:color="auto" w:sz="2" w:space="0"/>
              <w:bottom w:val="single" w:color="auto" w:sz="2" w:space="0"/>
              <w:right w:val="single" w:color="auto" w:sz="2" w:space="0"/>
            </w:tcBorders>
            <w:vAlign w:val="center"/>
          </w:tcPr>
          <w:p w14:paraId="5DD2A5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643,382.46</w:t>
            </w:r>
          </w:p>
        </w:tc>
        <w:tc>
          <w:tcPr>
            <w:tcW w:w="1606" w:type="dxa"/>
            <w:tcBorders>
              <w:top w:val="single" w:color="auto" w:sz="2" w:space="0"/>
              <w:left w:val="single" w:color="auto" w:sz="2" w:space="0"/>
              <w:bottom w:val="single" w:color="auto" w:sz="2" w:space="0"/>
              <w:right w:val="single" w:color="auto" w:sz="2" w:space="0"/>
            </w:tcBorders>
            <w:vAlign w:val="center"/>
          </w:tcPr>
          <w:p w14:paraId="6093CA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0.29%</w:t>
            </w:r>
          </w:p>
        </w:tc>
        <w:tc>
          <w:tcPr>
            <w:tcW w:w="1606" w:type="dxa"/>
            <w:tcBorders>
              <w:top w:val="single" w:color="auto" w:sz="2" w:space="0"/>
              <w:left w:val="single" w:color="auto" w:sz="2" w:space="0"/>
              <w:bottom w:val="single" w:color="auto" w:sz="2" w:space="0"/>
              <w:right w:val="single" w:color="auto" w:sz="2" w:space="0"/>
            </w:tcBorders>
            <w:vAlign w:val="center"/>
          </w:tcPr>
          <w:p w14:paraId="0EDFA244">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C8DDC14">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0EEE5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2D9EF6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BD18C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智慧企业</w:t>
            </w:r>
          </w:p>
        </w:tc>
        <w:tc>
          <w:tcPr>
            <w:tcW w:w="1606" w:type="dxa"/>
            <w:tcBorders>
              <w:top w:val="single" w:color="auto" w:sz="2" w:space="0"/>
              <w:left w:val="single" w:color="auto" w:sz="2" w:space="0"/>
              <w:bottom w:val="single" w:color="auto" w:sz="2" w:space="0"/>
              <w:right w:val="single" w:color="auto" w:sz="2" w:space="0"/>
            </w:tcBorders>
            <w:vAlign w:val="center"/>
          </w:tcPr>
          <w:p w14:paraId="4D690A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43,386,613.03</w:t>
            </w:r>
          </w:p>
        </w:tc>
        <w:tc>
          <w:tcPr>
            <w:tcW w:w="1606" w:type="dxa"/>
            <w:tcBorders>
              <w:top w:val="single" w:color="auto" w:sz="2" w:space="0"/>
              <w:left w:val="single" w:color="auto" w:sz="2" w:space="0"/>
              <w:bottom w:val="single" w:color="auto" w:sz="2" w:space="0"/>
              <w:right w:val="single" w:color="auto" w:sz="2" w:space="0"/>
            </w:tcBorders>
            <w:vAlign w:val="center"/>
          </w:tcPr>
          <w:p w14:paraId="491FC2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19.40%</w:t>
            </w:r>
          </w:p>
        </w:tc>
        <w:tc>
          <w:tcPr>
            <w:tcW w:w="1606" w:type="dxa"/>
            <w:tcBorders>
              <w:top w:val="single" w:color="auto" w:sz="2" w:space="0"/>
              <w:left w:val="single" w:color="auto" w:sz="2" w:space="0"/>
              <w:bottom w:val="single" w:color="auto" w:sz="2" w:space="0"/>
              <w:right w:val="single" w:color="auto" w:sz="2" w:space="0"/>
            </w:tcBorders>
            <w:vAlign w:val="center"/>
          </w:tcPr>
          <w:p w14:paraId="4E0A90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41,665,377.14</w:t>
            </w:r>
          </w:p>
        </w:tc>
        <w:tc>
          <w:tcPr>
            <w:tcW w:w="1606" w:type="dxa"/>
            <w:tcBorders>
              <w:top w:val="single" w:color="auto" w:sz="2" w:space="0"/>
              <w:left w:val="single" w:color="auto" w:sz="2" w:space="0"/>
              <w:bottom w:val="single" w:color="auto" w:sz="2" w:space="0"/>
              <w:right w:val="single" w:color="auto" w:sz="2" w:space="0"/>
            </w:tcBorders>
            <w:vAlign w:val="center"/>
          </w:tcPr>
          <w:p w14:paraId="15A597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10.16%</w:t>
            </w:r>
          </w:p>
        </w:tc>
        <w:tc>
          <w:tcPr>
            <w:tcW w:w="1606" w:type="dxa"/>
            <w:tcBorders>
              <w:top w:val="single" w:color="auto" w:sz="2" w:space="0"/>
              <w:left w:val="single" w:color="auto" w:sz="2" w:space="0"/>
              <w:bottom w:val="single" w:color="auto" w:sz="2" w:space="0"/>
              <w:right w:val="single" w:color="auto" w:sz="2" w:space="0"/>
            </w:tcBorders>
            <w:vAlign w:val="center"/>
          </w:tcPr>
          <w:p w14:paraId="09FE03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4.13%</w:t>
            </w:r>
          </w:p>
        </w:tc>
      </w:tr>
      <w:tr w14:paraId="4F72B9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85297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其他业务收入</w:t>
            </w:r>
          </w:p>
        </w:tc>
        <w:tc>
          <w:tcPr>
            <w:tcW w:w="1606" w:type="dxa"/>
            <w:tcBorders>
              <w:top w:val="single" w:color="auto" w:sz="2" w:space="0"/>
              <w:left w:val="single" w:color="auto" w:sz="2" w:space="0"/>
              <w:bottom w:val="single" w:color="auto" w:sz="2" w:space="0"/>
              <w:right w:val="single" w:color="auto" w:sz="2" w:space="0"/>
            </w:tcBorders>
            <w:vAlign w:val="center"/>
          </w:tcPr>
          <w:p w14:paraId="6150B9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606" w:type="dxa"/>
            <w:tcBorders>
              <w:top w:val="single" w:color="auto" w:sz="2" w:space="0"/>
              <w:left w:val="single" w:color="auto" w:sz="2" w:space="0"/>
              <w:bottom w:val="single" w:color="auto" w:sz="2" w:space="0"/>
              <w:right w:val="single" w:color="auto" w:sz="2" w:space="0"/>
            </w:tcBorders>
            <w:vAlign w:val="center"/>
          </w:tcPr>
          <w:p w14:paraId="1E42A9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0.66%</w:t>
            </w:r>
          </w:p>
        </w:tc>
        <w:tc>
          <w:tcPr>
            <w:tcW w:w="1606" w:type="dxa"/>
            <w:tcBorders>
              <w:top w:val="single" w:color="auto" w:sz="2" w:space="0"/>
              <w:left w:val="single" w:color="auto" w:sz="2" w:space="0"/>
              <w:bottom w:val="single" w:color="auto" w:sz="2" w:space="0"/>
              <w:right w:val="single" w:color="auto" w:sz="2" w:space="0"/>
            </w:tcBorders>
            <w:vAlign w:val="center"/>
          </w:tcPr>
          <w:p w14:paraId="714136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606" w:type="dxa"/>
            <w:tcBorders>
              <w:top w:val="single" w:color="auto" w:sz="2" w:space="0"/>
              <w:left w:val="single" w:color="auto" w:sz="2" w:space="0"/>
              <w:bottom w:val="single" w:color="auto" w:sz="2" w:space="0"/>
              <w:right w:val="single" w:color="auto" w:sz="2" w:space="0"/>
            </w:tcBorders>
            <w:vAlign w:val="center"/>
          </w:tcPr>
          <w:p w14:paraId="533042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0.64%</w:t>
            </w:r>
          </w:p>
        </w:tc>
        <w:tc>
          <w:tcPr>
            <w:tcW w:w="1606" w:type="dxa"/>
            <w:tcBorders>
              <w:top w:val="single" w:color="auto" w:sz="2" w:space="0"/>
              <w:left w:val="single" w:color="auto" w:sz="2" w:space="0"/>
              <w:bottom w:val="single" w:color="auto" w:sz="2" w:space="0"/>
              <w:right w:val="single" w:color="auto" w:sz="2" w:space="0"/>
            </w:tcBorders>
            <w:vAlign w:val="center"/>
          </w:tcPr>
          <w:p w14:paraId="2A9B18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-43.70%</w:t>
            </w:r>
          </w:p>
        </w:tc>
      </w:tr>
      <w:tr w14:paraId="3A8E7E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495DCDE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分产品</w:t>
            </w:r>
          </w:p>
        </w:tc>
      </w:tr>
      <w:tr w14:paraId="3935EB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AAE1D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w:t>
            </w:r>
          </w:p>
        </w:tc>
        <w:tc>
          <w:tcPr>
            <w:tcW w:w="1606" w:type="dxa"/>
            <w:tcBorders>
              <w:top w:val="single" w:color="auto" w:sz="2" w:space="0"/>
              <w:left w:val="single" w:color="auto" w:sz="2" w:space="0"/>
              <w:bottom w:val="single" w:color="auto" w:sz="2" w:space="0"/>
              <w:right w:val="single" w:color="auto" w:sz="2" w:space="0"/>
            </w:tcBorders>
            <w:vAlign w:val="center"/>
          </w:tcPr>
          <w:p w14:paraId="4756BA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54,240,861.97</w:t>
            </w:r>
          </w:p>
        </w:tc>
        <w:tc>
          <w:tcPr>
            <w:tcW w:w="1606" w:type="dxa"/>
            <w:tcBorders>
              <w:top w:val="single" w:color="auto" w:sz="2" w:space="0"/>
              <w:left w:val="single" w:color="auto" w:sz="2" w:space="0"/>
              <w:bottom w:val="single" w:color="auto" w:sz="2" w:space="0"/>
              <w:right w:val="single" w:color="auto" w:sz="2" w:space="0"/>
            </w:tcBorders>
            <w:vAlign w:val="center"/>
          </w:tcPr>
          <w:p w14:paraId="4215A1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24.45%</w:t>
            </w:r>
          </w:p>
        </w:tc>
        <w:tc>
          <w:tcPr>
            <w:tcW w:w="1606" w:type="dxa"/>
            <w:tcBorders>
              <w:top w:val="single" w:color="auto" w:sz="2" w:space="0"/>
              <w:left w:val="single" w:color="auto" w:sz="2" w:space="0"/>
              <w:bottom w:val="single" w:color="auto" w:sz="2" w:space="0"/>
              <w:right w:val="single" w:color="auto" w:sz="2" w:space="0"/>
            </w:tcBorders>
            <w:vAlign w:val="center"/>
          </w:tcPr>
          <w:p w14:paraId="0CD3D7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199,990,908.73</w:t>
            </w:r>
          </w:p>
        </w:tc>
        <w:tc>
          <w:tcPr>
            <w:tcW w:w="1606" w:type="dxa"/>
            <w:tcBorders>
              <w:top w:val="single" w:color="auto" w:sz="2" w:space="0"/>
              <w:left w:val="single" w:color="auto" w:sz="2" w:space="0"/>
              <w:bottom w:val="single" w:color="auto" w:sz="2" w:space="0"/>
              <w:right w:val="single" w:color="auto" w:sz="2" w:space="0"/>
            </w:tcBorders>
            <w:vAlign w:val="center"/>
          </w:tcPr>
          <w:p w14:paraId="5904244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48.78%</w:t>
            </w:r>
          </w:p>
        </w:tc>
        <w:tc>
          <w:tcPr>
            <w:tcW w:w="1606" w:type="dxa"/>
            <w:tcBorders>
              <w:top w:val="single" w:color="auto" w:sz="2" w:space="0"/>
              <w:left w:val="single" w:color="auto" w:sz="2" w:space="0"/>
              <w:bottom w:val="single" w:color="auto" w:sz="2" w:space="0"/>
              <w:right w:val="single" w:color="auto" w:sz="2" w:space="0"/>
            </w:tcBorders>
            <w:vAlign w:val="center"/>
          </w:tcPr>
          <w:p w14:paraId="6C76C6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-72.88%</w:t>
            </w:r>
          </w:p>
        </w:tc>
      </w:tr>
      <w:tr w14:paraId="164CBC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14DF5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软件及技术服务</w:t>
            </w:r>
          </w:p>
        </w:tc>
        <w:tc>
          <w:tcPr>
            <w:tcW w:w="1606" w:type="dxa"/>
            <w:tcBorders>
              <w:top w:val="single" w:color="auto" w:sz="2" w:space="0"/>
              <w:left w:val="single" w:color="auto" w:sz="2" w:space="0"/>
              <w:bottom w:val="single" w:color="auto" w:sz="2" w:space="0"/>
              <w:right w:val="single" w:color="auto" w:sz="2" w:space="0"/>
            </w:tcBorders>
            <w:vAlign w:val="center"/>
          </w:tcPr>
          <w:p w14:paraId="2F9DDB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41,663,616.03</w:t>
            </w:r>
          </w:p>
        </w:tc>
        <w:tc>
          <w:tcPr>
            <w:tcW w:w="1606" w:type="dxa"/>
            <w:tcBorders>
              <w:top w:val="single" w:color="auto" w:sz="2" w:space="0"/>
              <w:left w:val="single" w:color="auto" w:sz="2" w:space="0"/>
              <w:bottom w:val="single" w:color="auto" w:sz="2" w:space="0"/>
              <w:right w:val="single" w:color="auto" w:sz="2" w:space="0"/>
            </w:tcBorders>
            <w:vAlign w:val="center"/>
          </w:tcPr>
          <w:p w14:paraId="4FD8B2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18.63%</w:t>
            </w:r>
          </w:p>
        </w:tc>
        <w:tc>
          <w:tcPr>
            <w:tcW w:w="1606" w:type="dxa"/>
            <w:tcBorders>
              <w:top w:val="single" w:color="auto" w:sz="2" w:space="0"/>
              <w:left w:val="single" w:color="auto" w:sz="2" w:space="0"/>
              <w:bottom w:val="single" w:color="auto" w:sz="2" w:space="0"/>
              <w:right w:val="single" w:color="auto" w:sz="2" w:space="0"/>
            </w:tcBorders>
            <w:vAlign w:val="center"/>
          </w:tcPr>
          <w:p w14:paraId="21F223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19,017,112.07</w:t>
            </w:r>
          </w:p>
        </w:tc>
        <w:tc>
          <w:tcPr>
            <w:tcW w:w="1606" w:type="dxa"/>
            <w:tcBorders>
              <w:top w:val="single" w:color="auto" w:sz="2" w:space="0"/>
              <w:left w:val="single" w:color="auto" w:sz="2" w:space="0"/>
              <w:bottom w:val="single" w:color="auto" w:sz="2" w:space="0"/>
              <w:right w:val="single" w:color="auto" w:sz="2" w:space="0"/>
            </w:tcBorders>
            <w:vAlign w:val="center"/>
          </w:tcPr>
          <w:p w14:paraId="18AECF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4.64%</w:t>
            </w:r>
          </w:p>
        </w:tc>
        <w:tc>
          <w:tcPr>
            <w:tcW w:w="1606" w:type="dxa"/>
            <w:tcBorders>
              <w:top w:val="single" w:color="auto" w:sz="2" w:space="0"/>
              <w:left w:val="single" w:color="auto" w:sz="2" w:space="0"/>
              <w:bottom w:val="single" w:color="auto" w:sz="2" w:space="0"/>
              <w:right w:val="single" w:color="auto" w:sz="2" w:space="0"/>
            </w:tcBorders>
            <w:vAlign w:val="center"/>
          </w:tcPr>
          <w:p w14:paraId="70F2B3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119.08%</w:t>
            </w:r>
          </w:p>
        </w:tc>
      </w:tr>
      <w:tr w14:paraId="20FDD9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0FB42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信息系统运维服务</w:t>
            </w:r>
          </w:p>
        </w:tc>
        <w:tc>
          <w:tcPr>
            <w:tcW w:w="1606" w:type="dxa"/>
            <w:tcBorders>
              <w:top w:val="single" w:color="auto" w:sz="2" w:space="0"/>
              <w:left w:val="single" w:color="auto" w:sz="2" w:space="0"/>
              <w:bottom w:val="single" w:color="auto" w:sz="2" w:space="0"/>
              <w:right w:val="single" w:color="auto" w:sz="2" w:space="0"/>
            </w:tcBorders>
            <w:vAlign w:val="center"/>
          </w:tcPr>
          <w:p w14:paraId="35971B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9,707,308.56</w:t>
            </w:r>
          </w:p>
        </w:tc>
        <w:tc>
          <w:tcPr>
            <w:tcW w:w="1606" w:type="dxa"/>
            <w:tcBorders>
              <w:top w:val="single" w:color="auto" w:sz="2" w:space="0"/>
              <w:left w:val="single" w:color="auto" w:sz="2" w:space="0"/>
              <w:bottom w:val="single" w:color="auto" w:sz="2" w:space="0"/>
              <w:right w:val="single" w:color="auto" w:sz="2" w:space="0"/>
            </w:tcBorders>
            <w:vAlign w:val="center"/>
          </w:tcPr>
          <w:p w14:paraId="1DAAF9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4.34%</w:t>
            </w:r>
          </w:p>
        </w:tc>
        <w:tc>
          <w:tcPr>
            <w:tcW w:w="1606" w:type="dxa"/>
            <w:tcBorders>
              <w:top w:val="single" w:color="auto" w:sz="2" w:space="0"/>
              <w:left w:val="single" w:color="auto" w:sz="2" w:space="0"/>
              <w:bottom w:val="single" w:color="auto" w:sz="2" w:space="0"/>
              <w:right w:val="single" w:color="auto" w:sz="2" w:space="0"/>
            </w:tcBorders>
            <w:vAlign w:val="center"/>
          </w:tcPr>
          <w:p w14:paraId="6596A4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17,400,112.16</w:t>
            </w:r>
          </w:p>
        </w:tc>
        <w:tc>
          <w:tcPr>
            <w:tcW w:w="1606" w:type="dxa"/>
            <w:tcBorders>
              <w:top w:val="single" w:color="auto" w:sz="2" w:space="0"/>
              <w:left w:val="single" w:color="auto" w:sz="2" w:space="0"/>
              <w:bottom w:val="single" w:color="auto" w:sz="2" w:space="0"/>
              <w:right w:val="single" w:color="auto" w:sz="2" w:space="0"/>
            </w:tcBorders>
            <w:vAlign w:val="center"/>
          </w:tcPr>
          <w:p w14:paraId="34CA41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w:t>
            </w:r>
          </w:p>
        </w:tc>
        <w:tc>
          <w:tcPr>
            <w:tcW w:w="1606" w:type="dxa"/>
            <w:tcBorders>
              <w:top w:val="single" w:color="auto" w:sz="2" w:space="0"/>
              <w:left w:val="single" w:color="auto" w:sz="2" w:space="0"/>
              <w:bottom w:val="single" w:color="auto" w:sz="2" w:space="0"/>
              <w:right w:val="single" w:color="auto" w:sz="2" w:space="0"/>
            </w:tcBorders>
            <w:vAlign w:val="center"/>
          </w:tcPr>
          <w:p w14:paraId="04918D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-44.21%</w:t>
            </w:r>
          </w:p>
        </w:tc>
      </w:tr>
      <w:tr w14:paraId="7292AF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7F441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硬件销售</w:t>
            </w:r>
          </w:p>
        </w:tc>
        <w:tc>
          <w:tcPr>
            <w:tcW w:w="1606" w:type="dxa"/>
            <w:tcBorders>
              <w:top w:val="single" w:color="auto" w:sz="2" w:space="0"/>
              <w:left w:val="single" w:color="auto" w:sz="2" w:space="0"/>
              <w:bottom w:val="single" w:color="auto" w:sz="2" w:space="0"/>
              <w:right w:val="single" w:color="auto" w:sz="2" w:space="0"/>
            </w:tcBorders>
            <w:vAlign w:val="center"/>
          </w:tcPr>
          <w:p w14:paraId="284ED6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115,893,870.23</w:t>
            </w:r>
          </w:p>
        </w:tc>
        <w:tc>
          <w:tcPr>
            <w:tcW w:w="1606" w:type="dxa"/>
            <w:tcBorders>
              <w:top w:val="single" w:color="auto" w:sz="2" w:space="0"/>
              <w:left w:val="single" w:color="auto" w:sz="2" w:space="0"/>
              <w:bottom w:val="single" w:color="auto" w:sz="2" w:space="0"/>
              <w:right w:val="single" w:color="auto" w:sz="2" w:space="0"/>
            </w:tcBorders>
            <w:vAlign w:val="center"/>
          </w:tcPr>
          <w:p w14:paraId="6928EC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51.82%</w:t>
            </w:r>
          </w:p>
        </w:tc>
        <w:tc>
          <w:tcPr>
            <w:tcW w:w="1606" w:type="dxa"/>
            <w:tcBorders>
              <w:top w:val="single" w:color="auto" w:sz="2" w:space="0"/>
              <w:left w:val="single" w:color="auto" w:sz="2" w:space="0"/>
              <w:bottom w:val="single" w:color="auto" w:sz="2" w:space="0"/>
              <w:right w:val="single" w:color="auto" w:sz="2" w:space="0"/>
            </w:tcBorders>
            <w:vAlign w:val="center"/>
          </w:tcPr>
          <w:p w14:paraId="2C39A6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170,966,028.97</w:t>
            </w:r>
          </w:p>
        </w:tc>
        <w:tc>
          <w:tcPr>
            <w:tcW w:w="1606" w:type="dxa"/>
            <w:tcBorders>
              <w:top w:val="single" w:color="auto" w:sz="2" w:space="0"/>
              <w:left w:val="single" w:color="auto" w:sz="2" w:space="0"/>
              <w:bottom w:val="single" w:color="auto" w:sz="2" w:space="0"/>
              <w:right w:val="single" w:color="auto" w:sz="2" w:space="0"/>
            </w:tcBorders>
            <w:vAlign w:val="center"/>
          </w:tcPr>
          <w:p w14:paraId="4B3DBD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41.70%</w:t>
            </w:r>
          </w:p>
        </w:tc>
        <w:tc>
          <w:tcPr>
            <w:tcW w:w="1606" w:type="dxa"/>
            <w:tcBorders>
              <w:top w:val="single" w:color="auto" w:sz="2" w:space="0"/>
              <w:left w:val="single" w:color="auto" w:sz="2" w:space="0"/>
              <w:bottom w:val="single" w:color="auto" w:sz="2" w:space="0"/>
              <w:right w:val="single" w:color="auto" w:sz="2" w:space="0"/>
            </w:tcBorders>
            <w:vAlign w:val="center"/>
          </w:tcPr>
          <w:p w14:paraId="52E9C1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-32.21%</w:t>
            </w:r>
          </w:p>
        </w:tc>
      </w:tr>
      <w:tr w14:paraId="26A987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BD7ED1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光伏发电</w:t>
            </w:r>
          </w:p>
        </w:tc>
        <w:tc>
          <w:tcPr>
            <w:tcW w:w="1606" w:type="dxa"/>
            <w:tcBorders>
              <w:top w:val="single" w:color="auto" w:sz="2" w:space="0"/>
              <w:left w:val="single" w:color="auto" w:sz="2" w:space="0"/>
              <w:bottom w:val="single" w:color="auto" w:sz="2" w:space="0"/>
              <w:right w:val="single" w:color="auto" w:sz="2" w:space="0"/>
            </w:tcBorders>
            <w:vAlign w:val="center"/>
          </w:tcPr>
          <w:p w14:paraId="16F511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643,382.46</w:t>
            </w:r>
          </w:p>
        </w:tc>
        <w:tc>
          <w:tcPr>
            <w:tcW w:w="1606" w:type="dxa"/>
            <w:tcBorders>
              <w:top w:val="single" w:color="auto" w:sz="2" w:space="0"/>
              <w:left w:val="single" w:color="auto" w:sz="2" w:space="0"/>
              <w:bottom w:val="single" w:color="auto" w:sz="2" w:space="0"/>
              <w:right w:val="single" w:color="auto" w:sz="2" w:space="0"/>
            </w:tcBorders>
            <w:vAlign w:val="center"/>
          </w:tcPr>
          <w:p w14:paraId="5D2ED3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0.29%</w:t>
            </w:r>
          </w:p>
        </w:tc>
        <w:tc>
          <w:tcPr>
            <w:tcW w:w="1606" w:type="dxa"/>
            <w:tcBorders>
              <w:top w:val="single" w:color="auto" w:sz="2" w:space="0"/>
              <w:left w:val="single" w:color="auto" w:sz="2" w:space="0"/>
              <w:bottom w:val="single" w:color="auto" w:sz="2" w:space="0"/>
              <w:right w:val="single" w:color="auto" w:sz="2" w:space="0"/>
            </w:tcBorders>
            <w:vAlign w:val="center"/>
          </w:tcPr>
          <w:p w14:paraId="0AE6F901">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A1C5753">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3DE9AB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6AE581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F4EBA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其他业务收入</w:t>
            </w:r>
          </w:p>
        </w:tc>
        <w:tc>
          <w:tcPr>
            <w:tcW w:w="1606" w:type="dxa"/>
            <w:tcBorders>
              <w:top w:val="single" w:color="auto" w:sz="2" w:space="0"/>
              <w:left w:val="single" w:color="auto" w:sz="2" w:space="0"/>
              <w:bottom w:val="single" w:color="auto" w:sz="2" w:space="0"/>
              <w:right w:val="single" w:color="auto" w:sz="2" w:space="0"/>
            </w:tcBorders>
            <w:vAlign w:val="center"/>
          </w:tcPr>
          <w:p w14:paraId="07BF5E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606" w:type="dxa"/>
            <w:tcBorders>
              <w:top w:val="single" w:color="auto" w:sz="2" w:space="0"/>
              <w:left w:val="single" w:color="auto" w:sz="2" w:space="0"/>
              <w:bottom w:val="single" w:color="auto" w:sz="2" w:space="0"/>
              <w:right w:val="single" w:color="auto" w:sz="2" w:space="0"/>
            </w:tcBorders>
            <w:vAlign w:val="center"/>
          </w:tcPr>
          <w:p w14:paraId="483C7F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0.67%</w:t>
            </w:r>
          </w:p>
        </w:tc>
        <w:tc>
          <w:tcPr>
            <w:tcW w:w="1606" w:type="dxa"/>
            <w:tcBorders>
              <w:top w:val="single" w:color="auto" w:sz="2" w:space="0"/>
              <w:left w:val="single" w:color="auto" w:sz="2" w:space="0"/>
              <w:bottom w:val="single" w:color="auto" w:sz="2" w:space="0"/>
              <w:right w:val="single" w:color="auto" w:sz="2" w:space="0"/>
            </w:tcBorders>
            <w:vAlign w:val="center"/>
          </w:tcPr>
          <w:p w14:paraId="774B1C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606" w:type="dxa"/>
            <w:tcBorders>
              <w:top w:val="single" w:color="auto" w:sz="2" w:space="0"/>
              <w:left w:val="single" w:color="auto" w:sz="2" w:space="0"/>
              <w:bottom w:val="single" w:color="auto" w:sz="2" w:space="0"/>
              <w:right w:val="single" w:color="auto" w:sz="2" w:space="0"/>
            </w:tcBorders>
            <w:vAlign w:val="center"/>
          </w:tcPr>
          <w:p w14:paraId="588493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0.64%</w:t>
            </w:r>
          </w:p>
        </w:tc>
        <w:tc>
          <w:tcPr>
            <w:tcW w:w="1606" w:type="dxa"/>
            <w:tcBorders>
              <w:top w:val="single" w:color="auto" w:sz="2" w:space="0"/>
              <w:left w:val="single" w:color="auto" w:sz="2" w:space="0"/>
              <w:bottom w:val="single" w:color="auto" w:sz="2" w:space="0"/>
              <w:right w:val="single" w:color="auto" w:sz="2" w:space="0"/>
            </w:tcBorders>
            <w:vAlign w:val="center"/>
          </w:tcPr>
          <w:p w14:paraId="17B25E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-43.70%</w:t>
            </w:r>
          </w:p>
        </w:tc>
      </w:tr>
      <w:tr w14:paraId="3DC23A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4015942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分地区</w:t>
            </w:r>
          </w:p>
        </w:tc>
      </w:tr>
      <w:tr w14:paraId="43B91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FA09F6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华南地区</w:t>
            </w:r>
          </w:p>
        </w:tc>
        <w:tc>
          <w:tcPr>
            <w:tcW w:w="1606" w:type="dxa"/>
            <w:tcBorders>
              <w:top w:val="single" w:color="auto" w:sz="2" w:space="0"/>
              <w:left w:val="single" w:color="auto" w:sz="2" w:space="0"/>
              <w:bottom w:val="single" w:color="auto" w:sz="2" w:space="0"/>
              <w:right w:val="single" w:color="auto" w:sz="2" w:space="0"/>
            </w:tcBorders>
            <w:vAlign w:val="center"/>
          </w:tcPr>
          <w:p w14:paraId="70FB80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174,949,222.16</w:t>
            </w:r>
          </w:p>
        </w:tc>
        <w:tc>
          <w:tcPr>
            <w:tcW w:w="1606" w:type="dxa"/>
            <w:tcBorders>
              <w:top w:val="single" w:color="auto" w:sz="2" w:space="0"/>
              <w:left w:val="single" w:color="auto" w:sz="2" w:space="0"/>
              <w:bottom w:val="single" w:color="auto" w:sz="2" w:space="0"/>
              <w:right w:val="single" w:color="auto" w:sz="2" w:space="0"/>
            </w:tcBorders>
            <w:vAlign w:val="center"/>
          </w:tcPr>
          <w:p w14:paraId="7670BB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78.23%</w:t>
            </w:r>
          </w:p>
        </w:tc>
        <w:tc>
          <w:tcPr>
            <w:tcW w:w="1606" w:type="dxa"/>
            <w:tcBorders>
              <w:top w:val="single" w:color="auto" w:sz="2" w:space="0"/>
              <w:left w:val="single" w:color="auto" w:sz="2" w:space="0"/>
              <w:bottom w:val="single" w:color="auto" w:sz="2" w:space="0"/>
              <w:right w:val="single" w:color="auto" w:sz="2" w:space="0"/>
            </w:tcBorders>
            <w:vAlign w:val="center"/>
          </w:tcPr>
          <w:p w14:paraId="3E1F16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380,050,188.42</w:t>
            </w:r>
          </w:p>
        </w:tc>
        <w:tc>
          <w:tcPr>
            <w:tcW w:w="1606" w:type="dxa"/>
            <w:tcBorders>
              <w:top w:val="single" w:color="auto" w:sz="2" w:space="0"/>
              <w:left w:val="single" w:color="auto" w:sz="2" w:space="0"/>
              <w:bottom w:val="single" w:color="auto" w:sz="2" w:space="0"/>
              <w:right w:val="single" w:color="auto" w:sz="2" w:space="0"/>
            </w:tcBorders>
            <w:vAlign w:val="center"/>
          </w:tcPr>
          <w:p w14:paraId="140725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92.69%</w:t>
            </w:r>
          </w:p>
        </w:tc>
        <w:tc>
          <w:tcPr>
            <w:tcW w:w="1606" w:type="dxa"/>
            <w:tcBorders>
              <w:top w:val="single" w:color="auto" w:sz="2" w:space="0"/>
              <w:left w:val="single" w:color="auto" w:sz="2" w:space="0"/>
              <w:bottom w:val="single" w:color="auto" w:sz="2" w:space="0"/>
              <w:right w:val="single" w:color="auto" w:sz="2" w:space="0"/>
            </w:tcBorders>
            <w:vAlign w:val="center"/>
          </w:tcPr>
          <w:p w14:paraId="48C48A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-53.97%</w:t>
            </w:r>
          </w:p>
        </w:tc>
      </w:tr>
      <w:tr w14:paraId="1CCB82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8074A0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华中地区</w:t>
            </w:r>
          </w:p>
        </w:tc>
        <w:tc>
          <w:tcPr>
            <w:tcW w:w="1606" w:type="dxa"/>
            <w:tcBorders>
              <w:top w:val="single" w:color="auto" w:sz="2" w:space="0"/>
              <w:left w:val="single" w:color="auto" w:sz="2" w:space="0"/>
              <w:bottom w:val="single" w:color="auto" w:sz="2" w:space="0"/>
              <w:right w:val="single" w:color="auto" w:sz="2" w:space="0"/>
            </w:tcBorders>
            <w:vAlign w:val="center"/>
          </w:tcPr>
          <w:p w14:paraId="079AFB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369,338.90</w:t>
            </w:r>
          </w:p>
        </w:tc>
        <w:tc>
          <w:tcPr>
            <w:tcW w:w="1606" w:type="dxa"/>
            <w:tcBorders>
              <w:top w:val="single" w:color="auto" w:sz="2" w:space="0"/>
              <w:left w:val="single" w:color="auto" w:sz="2" w:space="0"/>
              <w:bottom w:val="single" w:color="auto" w:sz="2" w:space="0"/>
              <w:right w:val="single" w:color="auto" w:sz="2" w:space="0"/>
            </w:tcBorders>
            <w:vAlign w:val="center"/>
          </w:tcPr>
          <w:p w14:paraId="4373B3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0.17%</w:t>
            </w:r>
          </w:p>
        </w:tc>
        <w:tc>
          <w:tcPr>
            <w:tcW w:w="1606" w:type="dxa"/>
            <w:tcBorders>
              <w:top w:val="single" w:color="auto" w:sz="2" w:space="0"/>
              <w:left w:val="single" w:color="auto" w:sz="2" w:space="0"/>
              <w:bottom w:val="single" w:color="auto" w:sz="2" w:space="0"/>
              <w:right w:val="single" w:color="auto" w:sz="2" w:space="0"/>
            </w:tcBorders>
            <w:vAlign w:val="center"/>
          </w:tcPr>
          <w:p w14:paraId="5FCAD5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1,525,294.60</w:t>
            </w:r>
          </w:p>
        </w:tc>
        <w:tc>
          <w:tcPr>
            <w:tcW w:w="1606" w:type="dxa"/>
            <w:tcBorders>
              <w:top w:val="single" w:color="auto" w:sz="2" w:space="0"/>
              <w:left w:val="single" w:color="auto" w:sz="2" w:space="0"/>
              <w:bottom w:val="single" w:color="auto" w:sz="2" w:space="0"/>
              <w:right w:val="single" w:color="auto" w:sz="2" w:space="0"/>
            </w:tcBorders>
            <w:vAlign w:val="center"/>
          </w:tcPr>
          <w:p w14:paraId="2349BD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0.37%</w:t>
            </w:r>
          </w:p>
        </w:tc>
        <w:tc>
          <w:tcPr>
            <w:tcW w:w="1606" w:type="dxa"/>
            <w:tcBorders>
              <w:top w:val="single" w:color="auto" w:sz="2" w:space="0"/>
              <w:left w:val="single" w:color="auto" w:sz="2" w:space="0"/>
              <w:bottom w:val="single" w:color="auto" w:sz="2" w:space="0"/>
              <w:right w:val="single" w:color="auto" w:sz="2" w:space="0"/>
            </w:tcBorders>
            <w:vAlign w:val="center"/>
          </w:tcPr>
          <w:p w14:paraId="3FA748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-75.79%</w:t>
            </w:r>
          </w:p>
        </w:tc>
      </w:tr>
      <w:tr w14:paraId="08C6D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9543D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华东地区</w:t>
            </w:r>
          </w:p>
        </w:tc>
        <w:tc>
          <w:tcPr>
            <w:tcW w:w="1606" w:type="dxa"/>
            <w:tcBorders>
              <w:top w:val="single" w:color="auto" w:sz="2" w:space="0"/>
              <w:left w:val="single" w:color="auto" w:sz="2" w:space="0"/>
              <w:bottom w:val="single" w:color="auto" w:sz="2" w:space="0"/>
              <w:right w:val="single" w:color="auto" w:sz="2" w:space="0"/>
            </w:tcBorders>
            <w:vAlign w:val="center"/>
          </w:tcPr>
          <w:p w14:paraId="6219FB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16,499,170.00</w:t>
            </w:r>
          </w:p>
        </w:tc>
        <w:tc>
          <w:tcPr>
            <w:tcW w:w="1606" w:type="dxa"/>
            <w:tcBorders>
              <w:top w:val="single" w:color="auto" w:sz="2" w:space="0"/>
              <w:left w:val="single" w:color="auto" w:sz="2" w:space="0"/>
              <w:bottom w:val="single" w:color="auto" w:sz="2" w:space="0"/>
              <w:right w:val="single" w:color="auto" w:sz="2" w:space="0"/>
            </w:tcBorders>
            <w:vAlign w:val="center"/>
          </w:tcPr>
          <w:p w14:paraId="151D95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7.38%</w:t>
            </w:r>
          </w:p>
        </w:tc>
        <w:tc>
          <w:tcPr>
            <w:tcW w:w="1606" w:type="dxa"/>
            <w:tcBorders>
              <w:top w:val="single" w:color="auto" w:sz="2" w:space="0"/>
              <w:left w:val="single" w:color="auto" w:sz="2" w:space="0"/>
              <w:bottom w:val="single" w:color="auto" w:sz="2" w:space="0"/>
              <w:right w:val="single" w:color="auto" w:sz="2" w:space="0"/>
            </w:tcBorders>
            <w:vAlign w:val="center"/>
          </w:tcPr>
          <w:p w14:paraId="179A53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2,272,929.62</w:t>
            </w:r>
          </w:p>
        </w:tc>
        <w:tc>
          <w:tcPr>
            <w:tcW w:w="1606" w:type="dxa"/>
            <w:tcBorders>
              <w:top w:val="single" w:color="auto" w:sz="2" w:space="0"/>
              <w:left w:val="single" w:color="auto" w:sz="2" w:space="0"/>
              <w:bottom w:val="single" w:color="auto" w:sz="2" w:space="0"/>
              <w:right w:val="single" w:color="auto" w:sz="2" w:space="0"/>
            </w:tcBorders>
            <w:vAlign w:val="center"/>
          </w:tcPr>
          <w:p w14:paraId="4DCA47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0.55%</w:t>
            </w:r>
          </w:p>
        </w:tc>
        <w:tc>
          <w:tcPr>
            <w:tcW w:w="1606" w:type="dxa"/>
            <w:tcBorders>
              <w:top w:val="single" w:color="auto" w:sz="2" w:space="0"/>
              <w:left w:val="single" w:color="auto" w:sz="2" w:space="0"/>
              <w:bottom w:val="single" w:color="auto" w:sz="2" w:space="0"/>
              <w:right w:val="single" w:color="auto" w:sz="2" w:space="0"/>
            </w:tcBorders>
            <w:vAlign w:val="center"/>
          </w:tcPr>
          <w:p w14:paraId="63046A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625.90%</w:t>
            </w:r>
          </w:p>
        </w:tc>
      </w:tr>
      <w:tr w14:paraId="717B1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6E98A7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华北地区</w:t>
            </w:r>
          </w:p>
        </w:tc>
        <w:tc>
          <w:tcPr>
            <w:tcW w:w="1606" w:type="dxa"/>
            <w:tcBorders>
              <w:top w:val="single" w:color="auto" w:sz="2" w:space="0"/>
              <w:left w:val="single" w:color="auto" w:sz="2" w:space="0"/>
              <w:bottom w:val="single" w:color="auto" w:sz="2" w:space="0"/>
              <w:right w:val="single" w:color="auto" w:sz="2" w:space="0"/>
            </w:tcBorders>
            <w:vAlign w:val="center"/>
          </w:tcPr>
          <w:p w14:paraId="0CE421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1,477,150.98</w:t>
            </w:r>
          </w:p>
        </w:tc>
        <w:tc>
          <w:tcPr>
            <w:tcW w:w="1606" w:type="dxa"/>
            <w:tcBorders>
              <w:top w:val="single" w:color="auto" w:sz="2" w:space="0"/>
              <w:left w:val="single" w:color="auto" w:sz="2" w:space="0"/>
              <w:bottom w:val="single" w:color="auto" w:sz="2" w:space="0"/>
              <w:right w:val="single" w:color="auto" w:sz="2" w:space="0"/>
            </w:tcBorders>
            <w:vAlign w:val="center"/>
          </w:tcPr>
          <w:p w14:paraId="707F60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0.66%</w:t>
            </w:r>
          </w:p>
        </w:tc>
        <w:tc>
          <w:tcPr>
            <w:tcW w:w="1606" w:type="dxa"/>
            <w:tcBorders>
              <w:top w:val="single" w:color="auto" w:sz="2" w:space="0"/>
              <w:left w:val="single" w:color="auto" w:sz="2" w:space="0"/>
              <w:bottom w:val="single" w:color="auto" w:sz="2" w:space="0"/>
              <w:right w:val="single" w:color="auto" w:sz="2" w:space="0"/>
            </w:tcBorders>
            <w:vAlign w:val="center"/>
          </w:tcPr>
          <w:p w14:paraId="5278A6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7,416,733.50</w:t>
            </w:r>
          </w:p>
        </w:tc>
        <w:tc>
          <w:tcPr>
            <w:tcW w:w="1606" w:type="dxa"/>
            <w:tcBorders>
              <w:top w:val="single" w:color="auto" w:sz="2" w:space="0"/>
              <w:left w:val="single" w:color="auto" w:sz="2" w:space="0"/>
              <w:bottom w:val="single" w:color="auto" w:sz="2" w:space="0"/>
              <w:right w:val="single" w:color="auto" w:sz="2" w:space="0"/>
            </w:tcBorders>
            <w:vAlign w:val="center"/>
          </w:tcPr>
          <w:p w14:paraId="2B9504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1.81%</w:t>
            </w:r>
          </w:p>
        </w:tc>
        <w:tc>
          <w:tcPr>
            <w:tcW w:w="1606" w:type="dxa"/>
            <w:tcBorders>
              <w:top w:val="single" w:color="auto" w:sz="2" w:space="0"/>
              <w:left w:val="single" w:color="auto" w:sz="2" w:space="0"/>
              <w:bottom w:val="single" w:color="auto" w:sz="2" w:space="0"/>
              <w:right w:val="single" w:color="auto" w:sz="2" w:space="0"/>
            </w:tcBorders>
            <w:vAlign w:val="center"/>
          </w:tcPr>
          <w:p w14:paraId="62BAF1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-80.08%</w:t>
            </w:r>
          </w:p>
        </w:tc>
      </w:tr>
      <w:tr w14:paraId="3A71B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DFD6D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西南地区</w:t>
            </w:r>
          </w:p>
        </w:tc>
        <w:tc>
          <w:tcPr>
            <w:tcW w:w="1606" w:type="dxa"/>
            <w:tcBorders>
              <w:top w:val="single" w:color="auto" w:sz="2" w:space="0"/>
              <w:left w:val="single" w:color="auto" w:sz="2" w:space="0"/>
              <w:bottom w:val="single" w:color="auto" w:sz="2" w:space="0"/>
              <w:right w:val="single" w:color="auto" w:sz="2" w:space="0"/>
            </w:tcBorders>
            <w:vAlign w:val="center"/>
          </w:tcPr>
          <w:p w14:paraId="271870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30,338,127.07</w:t>
            </w:r>
          </w:p>
        </w:tc>
        <w:tc>
          <w:tcPr>
            <w:tcW w:w="1606" w:type="dxa"/>
            <w:tcBorders>
              <w:top w:val="single" w:color="auto" w:sz="2" w:space="0"/>
              <w:left w:val="single" w:color="auto" w:sz="2" w:space="0"/>
              <w:bottom w:val="single" w:color="auto" w:sz="2" w:space="0"/>
              <w:right w:val="single" w:color="auto" w:sz="2" w:space="0"/>
            </w:tcBorders>
            <w:vAlign w:val="center"/>
          </w:tcPr>
          <w:p w14:paraId="500BE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13.57%</w:t>
            </w:r>
          </w:p>
        </w:tc>
        <w:tc>
          <w:tcPr>
            <w:tcW w:w="1606" w:type="dxa"/>
            <w:tcBorders>
              <w:top w:val="single" w:color="auto" w:sz="2" w:space="0"/>
              <w:left w:val="single" w:color="auto" w:sz="2" w:space="0"/>
              <w:bottom w:val="single" w:color="auto" w:sz="2" w:space="0"/>
              <w:right w:val="single" w:color="auto" w:sz="2" w:space="0"/>
            </w:tcBorders>
            <w:vAlign w:val="center"/>
          </w:tcPr>
          <w:p w14:paraId="76D4D8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9,460,225.16</w:t>
            </w:r>
          </w:p>
        </w:tc>
        <w:tc>
          <w:tcPr>
            <w:tcW w:w="1606" w:type="dxa"/>
            <w:tcBorders>
              <w:top w:val="single" w:color="auto" w:sz="2" w:space="0"/>
              <w:left w:val="single" w:color="auto" w:sz="2" w:space="0"/>
              <w:bottom w:val="single" w:color="auto" w:sz="2" w:space="0"/>
              <w:right w:val="single" w:color="auto" w:sz="2" w:space="0"/>
            </w:tcBorders>
            <w:vAlign w:val="center"/>
          </w:tcPr>
          <w:p w14:paraId="00BE0D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w:t>
            </w:r>
          </w:p>
        </w:tc>
        <w:tc>
          <w:tcPr>
            <w:tcW w:w="1606" w:type="dxa"/>
            <w:tcBorders>
              <w:top w:val="single" w:color="auto" w:sz="2" w:space="0"/>
              <w:left w:val="single" w:color="auto" w:sz="2" w:space="0"/>
              <w:bottom w:val="single" w:color="auto" w:sz="2" w:space="0"/>
              <w:right w:val="single" w:color="auto" w:sz="2" w:space="0"/>
            </w:tcBorders>
            <w:vAlign w:val="center"/>
          </w:tcPr>
          <w:p w14:paraId="1ABB4D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220.69%</w:t>
            </w:r>
          </w:p>
        </w:tc>
      </w:tr>
      <w:tr w14:paraId="59905D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A65BC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西北地区</w:t>
            </w:r>
          </w:p>
        </w:tc>
        <w:tc>
          <w:tcPr>
            <w:tcW w:w="1606" w:type="dxa"/>
            <w:tcBorders>
              <w:top w:val="single" w:color="auto" w:sz="2" w:space="0"/>
              <w:left w:val="single" w:color="auto" w:sz="2" w:space="0"/>
              <w:bottom w:val="single" w:color="auto" w:sz="2" w:space="0"/>
              <w:right w:val="single" w:color="auto" w:sz="2" w:space="0"/>
            </w:tcBorders>
            <w:vAlign w:val="center"/>
          </w:tcPr>
          <w:p w14:paraId="0D110F6D">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7ABCEFA">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A40BF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9,284,443.48</w:t>
            </w:r>
          </w:p>
        </w:tc>
        <w:tc>
          <w:tcPr>
            <w:tcW w:w="1606" w:type="dxa"/>
            <w:tcBorders>
              <w:top w:val="single" w:color="auto" w:sz="2" w:space="0"/>
              <w:left w:val="single" w:color="auto" w:sz="2" w:space="0"/>
              <w:bottom w:val="single" w:color="auto" w:sz="2" w:space="0"/>
              <w:right w:val="single" w:color="auto" w:sz="2" w:space="0"/>
            </w:tcBorders>
            <w:vAlign w:val="center"/>
          </w:tcPr>
          <w:p w14:paraId="5A675A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2.26%</w:t>
            </w:r>
          </w:p>
        </w:tc>
        <w:tc>
          <w:tcPr>
            <w:tcW w:w="1606" w:type="dxa"/>
            <w:tcBorders>
              <w:top w:val="single" w:color="auto" w:sz="2" w:space="0"/>
              <w:left w:val="single" w:color="auto" w:sz="2" w:space="0"/>
              <w:bottom w:val="single" w:color="auto" w:sz="2" w:space="0"/>
              <w:right w:val="single" w:color="auto" w:sz="2" w:space="0"/>
            </w:tcBorders>
            <w:vAlign w:val="center"/>
          </w:tcPr>
          <w:p w14:paraId="46FD1231">
            <w:pPr>
              <w:spacing w:line="240" w:lineRule="exact"/>
              <w:jc w:val="right"/>
              <w:rPr>
                <w:rFonts w:ascii="Times New Roman" w:hAnsi="Times New Roman" w:cs="Times New Roman" w:eastAsiaTheme="majorEastAsia"/>
                <w:sz w:val="18"/>
                <w:szCs w:val="18"/>
              </w:rPr>
            </w:pPr>
          </w:p>
        </w:tc>
      </w:tr>
      <w:tr w14:paraId="16736A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5D221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东北地区</w:t>
            </w:r>
          </w:p>
        </w:tc>
        <w:tc>
          <w:tcPr>
            <w:tcW w:w="1606" w:type="dxa"/>
            <w:tcBorders>
              <w:top w:val="single" w:color="auto" w:sz="2" w:space="0"/>
              <w:left w:val="single" w:color="auto" w:sz="2" w:space="0"/>
              <w:bottom w:val="single" w:color="auto" w:sz="2" w:space="0"/>
              <w:right w:val="single" w:color="auto" w:sz="2" w:space="0"/>
            </w:tcBorders>
            <w:vAlign w:val="center"/>
          </w:tcPr>
          <w:p w14:paraId="63CF9DCA">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CE11C43">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A1BCDC3">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A4EC15B">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8D5616B">
            <w:pPr>
              <w:spacing w:line="240" w:lineRule="exact"/>
              <w:jc w:val="right"/>
              <w:rPr>
                <w:rFonts w:ascii="Times New Roman" w:hAnsi="Times New Roman" w:cs="Times New Roman" w:eastAsiaTheme="majorEastAsia"/>
                <w:sz w:val="18"/>
                <w:szCs w:val="18"/>
              </w:rPr>
            </w:pPr>
          </w:p>
        </w:tc>
      </w:tr>
      <w:tr w14:paraId="4BC254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4DB76FD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分销售模式</w:t>
            </w:r>
          </w:p>
        </w:tc>
      </w:tr>
      <w:tr w14:paraId="39ABC9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87480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直销模式</w:t>
            </w:r>
          </w:p>
        </w:tc>
        <w:tc>
          <w:tcPr>
            <w:tcW w:w="1606" w:type="dxa"/>
            <w:tcBorders>
              <w:top w:val="single" w:color="auto" w:sz="2" w:space="0"/>
              <w:left w:val="single" w:color="auto" w:sz="2" w:space="0"/>
              <w:bottom w:val="single" w:color="auto" w:sz="2" w:space="0"/>
              <w:right w:val="single" w:color="auto" w:sz="2" w:space="0"/>
            </w:tcBorders>
            <w:vAlign w:val="center"/>
          </w:tcPr>
          <w:p w14:paraId="7CFD62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1606" w:type="dxa"/>
            <w:tcBorders>
              <w:top w:val="single" w:color="auto" w:sz="2" w:space="0"/>
              <w:left w:val="single" w:color="auto" w:sz="2" w:space="0"/>
              <w:bottom w:val="single" w:color="auto" w:sz="2" w:space="0"/>
              <w:right w:val="single" w:color="auto" w:sz="2" w:space="0"/>
            </w:tcBorders>
            <w:vAlign w:val="center"/>
          </w:tcPr>
          <w:p w14:paraId="1DA1BF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1606" w:type="dxa"/>
            <w:tcBorders>
              <w:top w:val="single" w:color="auto" w:sz="2" w:space="0"/>
              <w:left w:val="single" w:color="auto" w:sz="2" w:space="0"/>
              <w:bottom w:val="single" w:color="auto" w:sz="2" w:space="0"/>
              <w:right w:val="single" w:color="auto" w:sz="2" w:space="0"/>
            </w:tcBorders>
            <w:vAlign w:val="center"/>
          </w:tcPr>
          <w:p w14:paraId="2D4A8F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1606" w:type="dxa"/>
            <w:tcBorders>
              <w:top w:val="single" w:color="auto" w:sz="2" w:space="0"/>
              <w:left w:val="single" w:color="auto" w:sz="2" w:space="0"/>
              <w:bottom w:val="single" w:color="auto" w:sz="2" w:space="0"/>
              <w:right w:val="single" w:color="auto" w:sz="2" w:space="0"/>
            </w:tcBorders>
            <w:vAlign w:val="center"/>
          </w:tcPr>
          <w:p w14:paraId="1D9781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1606" w:type="dxa"/>
            <w:tcBorders>
              <w:top w:val="single" w:color="auto" w:sz="2" w:space="0"/>
              <w:left w:val="single" w:color="auto" w:sz="2" w:space="0"/>
              <w:bottom w:val="single" w:color="auto" w:sz="2" w:space="0"/>
              <w:right w:val="single" w:color="auto" w:sz="2" w:space="0"/>
            </w:tcBorders>
            <w:vAlign w:val="center"/>
          </w:tcPr>
          <w:p w14:paraId="0B36C0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-45.46%</w:t>
            </w:r>
          </w:p>
        </w:tc>
      </w:tr>
    </w:tbl>
    <w:p w14:paraId="4CCFB51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146E5C3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570A13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21BDF4">
            <w:pPr>
              <w:rPr>
                <w:rFonts w:ascii="Times New Roman" w:hAnsi="Times New Roman" w:cs="Times New Roman" w:eastAsiaTheme="majorEastAsia"/>
              </w:rPr>
            </w:pP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42FE2D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E34EF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48DB0F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123F12">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17B7C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79555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230CF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98B30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第四季度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9D35B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A69C0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50AE54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第三季度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20E028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第四季度</w:t>
            </w:r>
          </w:p>
        </w:tc>
      </w:tr>
      <w:tr w14:paraId="2C3751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2B4057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071" w:type="dxa"/>
            <w:tcBorders>
              <w:top w:val="single" w:color="auto" w:sz="2" w:space="0"/>
              <w:left w:val="single" w:color="auto" w:sz="2" w:space="0"/>
              <w:bottom w:val="single" w:color="auto" w:sz="2" w:space="0"/>
              <w:right w:val="single" w:color="auto" w:sz="2" w:space="0"/>
            </w:tcBorders>
            <w:vAlign w:val="center"/>
          </w:tcPr>
          <w:p w14:paraId="2FA019E3">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39,708,508.13</w:t>
            </w:r>
          </w:p>
        </w:tc>
        <w:tc>
          <w:tcPr>
            <w:tcW w:w="1071" w:type="dxa"/>
            <w:tcBorders>
              <w:top w:val="single" w:color="auto" w:sz="2" w:space="0"/>
              <w:left w:val="single" w:color="auto" w:sz="2" w:space="0"/>
              <w:bottom w:val="single" w:color="auto" w:sz="2" w:space="0"/>
              <w:right w:val="single" w:color="auto" w:sz="2" w:space="0"/>
            </w:tcBorders>
            <w:vAlign w:val="center"/>
          </w:tcPr>
          <w:p w14:paraId="7565648E">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49,505,898.24</w:t>
            </w:r>
          </w:p>
        </w:tc>
        <w:tc>
          <w:tcPr>
            <w:tcW w:w="1071" w:type="dxa"/>
            <w:tcBorders>
              <w:top w:val="single" w:color="auto" w:sz="2" w:space="0"/>
              <w:left w:val="single" w:color="auto" w:sz="2" w:space="0"/>
              <w:bottom w:val="single" w:color="auto" w:sz="2" w:space="0"/>
              <w:right w:val="single" w:color="auto" w:sz="2" w:space="0"/>
            </w:tcBorders>
            <w:vAlign w:val="center"/>
          </w:tcPr>
          <w:p w14:paraId="5F7A0CAF">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66,060,303.70</w:t>
            </w:r>
          </w:p>
        </w:tc>
        <w:tc>
          <w:tcPr>
            <w:tcW w:w="1071" w:type="dxa"/>
            <w:tcBorders>
              <w:top w:val="single" w:color="auto" w:sz="2" w:space="0"/>
              <w:left w:val="single" w:color="auto" w:sz="2" w:space="0"/>
              <w:bottom w:val="single" w:color="auto" w:sz="2" w:space="0"/>
              <w:right w:val="single" w:color="auto" w:sz="2" w:space="0"/>
            </w:tcBorders>
            <w:vAlign w:val="center"/>
          </w:tcPr>
          <w:p w14:paraId="58D3FFCC">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68,358,299.04</w:t>
            </w:r>
          </w:p>
        </w:tc>
        <w:tc>
          <w:tcPr>
            <w:tcW w:w="1071" w:type="dxa"/>
            <w:tcBorders>
              <w:top w:val="single" w:color="auto" w:sz="2" w:space="0"/>
              <w:left w:val="single" w:color="auto" w:sz="2" w:space="0"/>
              <w:bottom w:val="single" w:color="auto" w:sz="2" w:space="0"/>
              <w:right w:val="single" w:color="auto" w:sz="2" w:space="0"/>
            </w:tcBorders>
            <w:vAlign w:val="center"/>
          </w:tcPr>
          <w:p w14:paraId="28F635BF">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49,204,713.64</w:t>
            </w:r>
          </w:p>
        </w:tc>
        <w:tc>
          <w:tcPr>
            <w:tcW w:w="1071" w:type="dxa"/>
            <w:tcBorders>
              <w:top w:val="single" w:color="auto" w:sz="2" w:space="0"/>
              <w:left w:val="single" w:color="auto" w:sz="2" w:space="0"/>
              <w:bottom w:val="single" w:color="auto" w:sz="2" w:space="0"/>
              <w:right w:val="single" w:color="auto" w:sz="2" w:space="0"/>
            </w:tcBorders>
            <w:vAlign w:val="center"/>
          </w:tcPr>
          <w:p w14:paraId="3638035F">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60,875,013.40</w:t>
            </w:r>
          </w:p>
        </w:tc>
        <w:tc>
          <w:tcPr>
            <w:tcW w:w="1071" w:type="dxa"/>
            <w:tcBorders>
              <w:top w:val="single" w:color="auto" w:sz="2" w:space="0"/>
              <w:left w:val="single" w:color="auto" w:sz="2" w:space="0"/>
              <w:bottom w:val="single" w:color="auto" w:sz="2" w:space="0"/>
              <w:right w:val="single" w:color="auto" w:sz="2" w:space="0"/>
            </w:tcBorders>
            <w:vAlign w:val="center"/>
          </w:tcPr>
          <w:p w14:paraId="2B757155">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65,440,142.94</w:t>
            </w:r>
          </w:p>
        </w:tc>
        <w:tc>
          <w:tcPr>
            <w:tcW w:w="1071" w:type="dxa"/>
            <w:tcBorders>
              <w:top w:val="single" w:color="auto" w:sz="2" w:space="0"/>
              <w:left w:val="single" w:color="auto" w:sz="2" w:space="0"/>
              <w:bottom w:val="single" w:color="auto" w:sz="2" w:space="0"/>
              <w:right w:val="single" w:color="auto" w:sz="2" w:space="0"/>
            </w:tcBorders>
            <w:vAlign w:val="center"/>
          </w:tcPr>
          <w:p w14:paraId="0C93CD78">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234,489,944.80</w:t>
            </w:r>
          </w:p>
        </w:tc>
      </w:tr>
      <w:tr w14:paraId="6AD7D0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198E95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归属于上市公司股东的净利润</w:t>
            </w:r>
          </w:p>
        </w:tc>
        <w:tc>
          <w:tcPr>
            <w:tcW w:w="1071" w:type="dxa"/>
            <w:tcBorders>
              <w:top w:val="single" w:color="auto" w:sz="2" w:space="0"/>
              <w:left w:val="single" w:color="auto" w:sz="2" w:space="0"/>
              <w:bottom w:val="single" w:color="auto" w:sz="2" w:space="0"/>
              <w:right w:val="single" w:color="auto" w:sz="2" w:space="0"/>
            </w:tcBorders>
            <w:vAlign w:val="center"/>
          </w:tcPr>
          <w:p w14:paraId="09009844">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-8,868,715.54</w:t>
            </w:r>
          </w:p>
        </w:tc>
        <w:tc>
          <w:tcPr>
            <w:tcW w:w="1071" w:type="dxa"/>
            <w:tcBorders>
              <w:top w:val="single" w:color="auto" w:sz="2" w:space="0"/>
              <w:left w:val="single" w:color="auto" w:sz="2" w:space="0"/>
              <w:bottom w:val="single" w:color="auto" w:sz="2" w:space="0"/>
              <w:right w:val="single" w:color="auto" w:sz="2" w:space="0"/>
            </w:tcBorders>
            <w:vAlign w:val="center"/>
          </w:tcPr>
          <w:p w14:paraId="0507A45C">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-2,860,307.93</w:t>
            </w:r>
          </w:p>
        </w:tc>
        <w:tc>
          <w:tcPr>
            <w:tcW w:w="1071" w:type="dxa"/>
            <w:tcBorders>
              <w:top w:val="single" w:color="auto" w:sz="2" w:space="0"/>
              <w:left w:val="single" w:color="auto" w:sz="2" w:space="0"/>
              <w:bottom w:val="single" w:color="auto" w:sz="2" w:space="0"/>
              <w:right w:val="single" w:color="auto" w:sz="2" w:space="0"/>
            </w:tcBorders>
            <w:vAlign w:val="center"/>
          </w:tcPr>
          <w:p w14:paraId="511930BF">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-9,433,955.28</w:t>
            </w:r>
          </w:p>
        </w:tc>
        <w:tc>
          <w:tcPr>
            <w:tcW w:w="1071" w:type="dxa"/>
            <w:tcBorders>
              <w:top w:val="single" w:color="auto" w:sz="2" w:space="0"/>
              <w:left w:val="single" w:color="auto" w:sz="2" w:space="0"/>
              <w:bottom w:val="single" w:color="auto" w:sz="2" w:space="0"/>
              <w:right w:val="single" w:color="auto" w:sz="2" w:space="0"/>
            </w:tcBorders>
            <w:vAlign w:val="center"/>
          </w:tcPr>
          <w:p w14:paraId="59B603D2">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-28,389,859.71</w:t>
            </w:r>
          </w:p>
        </w:tc>
        <w:tc>
          <w:tcPr>
            <w:tcW w:w="1071" w:type="dxa"/>
            <w:tcBorders>
              <w:top w:val="single" w:color="auto" w:sz="2" w:space="0"/>
              <w:left w:val="single" w:color="auto" w:sz="2" w:space="0"/>
              <w:bottom w:val="single" w:color="auto" w:sz="2" w:space="0"/>
              <w:right w:val="single" w:color="auto" w:sz="2" w:space="0"/>
            </w:tcBorders>
            <w:vAlign w:val="center"/>
          </w:tcPr>
          <w:p w14:paraId="02ABCA31">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-3,354,585.69</w:t>
            </w:r>
          </w:p>
        </w:tc>
        <w:tc>
          <w:tcPr>
            <w:tcW w:w="1071" w:type="dxa"/>
            <w:tcBorders>
              <w:top w:val="single" w:color="auto" w:sz="2" w:space="0"/>
              <w:left w:val="single" w:color="auto" w:sz="2" w:space="0"/>
              <w:bottom w:val="single" w:color="auto" w:sz="2" w:space="0"/>
              <w:right w:val="single" w:color="auto" w:sz="2" w:space="0"/>
            </w:tcBorders>
            <w:vAlign w:val="center"/>
          </w:tcPr>
          <w:p w14:paraId="0D044AEE">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3,623,107.05</w:t>
            </w:r>
          </w:p>
        </w:tc>
        <w:tc>
          <w:tcPr>
            <w:tcW w:w="1071" w:type="dxa"/>
            <w:tcBorders>
              <w:top w:val="single" w:color="auto" w:sz="2" w:space="0"/>
              <w:left w:val="single" w:color="auto" w:sz="2" w:space="0"/>
              <w:bottom w:val="single" w:color="auto" w:sz="2" w:space="0"/>
              <w:right w:val="single" w:color="auto" w:sz="2" w:space="0"/>
            </w:tcBorders>
            <w:vAlign w:val="center"/>
          </w:tcPr>
          <w:p w14:paraId="6F0CAE27">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-4,901,094.08</w:t>
            </w:r>
          </w:p>
        </w:tc>
        <w:tc>
          <w:tcPr>
            <w:tcW w:w="1071" w:type="dxa"/>
            <w:tcBorders>
              <w:top w:val="single" w:color="auto" w:sz="2" w:space="0"/>
              <w:left w:val="single" w:color="auto" w:sz="2" w:space="0"/>
              <w:bottom w:val="single" w:color="auto" w:sz="2" w:space="0"/>
              <w:right w:val="single" w:color="auto" w:sz="2" w:space="0"/>
            </w:tcBorders>
            <w:vAlign w:val="center"/>
          </w:tcPr>
          <w:p w14:paraId="46816E21">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11,021,573.21</w:t>
            </w:r>
          </w:p>
        </w:tc>
      </w:tr>
      <w:tr w14:paraId="3FEE5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1DC86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归属于上市公司股东的扣除非经常性损益的净利润</w:t>
            </w:r>
          </w:p>
        </w:tc>
        <w:tc>
          <w:tcPr>
            <w:tcW w:w="1071" w:type="dxa"/>
            <w:tcBorders>
              <w:top w:val="single" w:color="auto" w:sz="2" w:space="0"/>
              <w:left w:val="single" w:color="auto" w:sz="2" w:space="0"/>
              <w:bottom w:val="single" w:color="auto" w:sz="2" w:space="0"/>
              <w:right w:val="single" w:color="auto" w:sz="2" w:space="0"/>
            </w:tcBorders>
            <w:vAlign w:val="center"/>
          </w:tcPr>
          <w:p w14:paraId="79132662">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-7,319,775.33</w:t>
            </w:r>
          </w:p>
        </w:tc>
        <w:tc>
          <w:tcPr>
            <w:tcW w:w="1071" w:type="dxa"/>
            <w:tcBorders>
              <w:top w:val="single" w:color="auto" w:sz="2" w:space="0"/>
              <w:left w:val="single" w:color="auto" w:sz="2" w:space="0"/>
              <w:bottom w:val="single" w:color="auto" w:sz="2" w:space="0"/>
              <w:right w:val="single" w:color="auto" w:sz="2" w:space="0"/>
            </w:tcBorders>
            <w:vAlign w:val="center"/>
          </w:tcPr>
          <w:p w14:paraId="0547F634">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-2,990,423.05</w:t>
            </w:r>
          </w:p>
        </w:tc>
        <w:tc>
          <w:tcPr>
            <w:tcW w:w="1071" w:type="dxa"/>
            <w:tcBorders>
              <w:top w:val="single" w:color="auto" w:sz="2" w:space="0"/>
              <w:left w:val="single" w:color="auto" w:sz="2" w:space="0"/>
              <w:bottom w:val="single" w:color="auto" w:sz="2" w:space="0"/>
              <w:right w:val="single" w:color="auto" w:sz="2" w:space="0"/>
            </w:tcBorders>
            <w:vAlign w:val="center"/>
          </w:tcPr>
          <w:p w14:paraId="4ADF10A8">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-9,709,204.69</w:t>
            </w:r>
          </w:p>
        </w:tc>
        <w:tc>
          <w:tcPr>
            <w:tcW w:w="1071" w:type="dxa"/>
            <w:tcBorders>
              <w:top w:val="single" w:color="auto" w:sz="2" w:space="0"/>
              <w:left w:val="single" w:color="auto" w:sz="2" w:space="0"/>
              <w:bottom w:val="single" w:color="auto" w:sz="2" w:space="0"/>
              <w:right w:val="single" w:color="auto" w:sz="2" w:space="0"/>
            </w:tcBorders>
            <w:vAlign w:val="center"/>
          </w:tcPr>
          <w:p w14:paraId="36B408F7">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-28,871,264.17</w:t>
            </w:r>
          </w:p>
        </w:tc>
        <w:tc>
          <w:tcPr>
            <w:tcW w:w="1071" w:type="dxa"/>
            <w:tcBorders>
              <w:top w:val="single" w:color="auto" w:sz="2" w:space="0"/>
              <w:left w:val="single" w:color="auto" w:sz="2" w:space="0"/>
              <w:bottom w:val="single" w:color="auto" w:sz="2" w:space="0"/>
              <w:right w:val="single" w:color="auto" w:sz="2" w:space="0"/>
            </w:tcBorders>
            <w:vAlign w:val="center"/>
          </w:tcPr>
          <w:p w14:paraId="48CE6B6B">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-3,925,265.55</w:t>
            </w:r>
          </w:p>
        </w:tc>
        <w:tc>
          <w:tcPr>
            <w:tcW w:w="1071" w:type="dxa"/>
            <w:tcBorders>
              <w:top w:val="single" w:color="auto" w:sz="2" w:space="0"/>
              <w:left w:val="single" w:color="auto" w:sz="2" w:space="0"/>
              <w:bottom w:val="single" w:color="auto" w:sz="2" w:space="0"/>
              <w:right w:val="single" w:color="auto" w:sz="2" w:space="0"/>
            </w:tcBorders>
            <w:vAlign w:val="center"/>
          </w:tcPr>
          <w:p w14:paraId="7E3B5DFA">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3,018,259.23</w:t>
            </w:r>
          </w:p>
        </w:tc>
        <w:tc>
          <w:tcPr>
            <w:tcW w:w="1071" w:type="dxa"/>
            <w:tcBorders>
              <w:top w:val="single" w:color="auto" w:sz="2" w:space="0"/>
              <w:left w:val="single" w:color="auto" w:sz="2" w:space="0"/>
              <w:bottom w:val="single" w:color="auto" w:sz="2" w:space="0"/>
              <w:right w:val="single" w:color="auto" w:sz="2" w:space="0"/>
            </w:tcBorders>
            <w:vAlign w:val="center"/>
          </w:tcPr>
          <w:p w14:paraId="45A6647B">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-5,037,224.79</w:t>
            </w:r>
          </w:p>
        </w:tc>
        <w:tc>
          <w:tcPr>
            <w:tcW w:w="1071" w:type="dxa"/>
            <w:tcBorders>
              <w:top w:val="single" w:color="auto" w:sz="2" w:space="0"/>
              <w:left w:val="single" w:color="auto" w:sz="2" w:space="0"/>
              <w:bottom w:val="single" w:color="auto" w:sz="2" w:space="0"/>
              <w:right w:val="single" w:color="auto" w:sz="2" w:space="0"/>
            </w:tcBorders>
            <w:vAlign w:val="center"/>
          </w:tcPr>
          <w:p w14:paraId="5516EBE8">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10,892,672.89</w:t>
            </w:r>
          </w:p>
        </w:tc>
      </w:tr>
      <w:tr w14:paraId="26D6BC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3FAFD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1071" w:type="dxa"/>
            <w:tcBorders>
              <w:top w:val="single" w:color="auto" w:sz="2" w:space="0"/>
              <w:left w:val="single" w:color="auto" w:sz="2" w:space="0"/>
              <w:bottom w:val="single" w:color="auto" w:sz="2" w:space="0"/>
              <w:right w:val="single" w:color="auto" w:sz="2" w:space="0"/>
            </w:tcBorders>
            <w:vAlign w:val="center"/>
          </w:tcPr>
          <w:p w14:paraId="1F216144">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-65,639,995.29</w:t>
            </w:r>
          </w:p>
        </w:tc>
        <w:tc>
          <w:tcPr>
            <w:tcW w:w="1071" w:type="dxa"/>
            <w:tcBorders>
              <w:top w:val="single" w:color="auto" w:sz="2" w:space="0"/>
              <w:left w:val="single" w:color="auto" w:sz="2" w:space="0"/>
              <w:bottom w:val="single" w:color="auto" w:sz="2" w:space="0"/>
              <w:right w:val="single" w:color="auto" w:sz="2" w:space="0"/>
            </w:tcBorders>
            <w:vAlign w:val="center"/>
          </w:tcPr>
          <w:p w14:paraId="1FA5FAE5">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3,818,474.86</w:t>
            </w:r>
          </w:p>
        </w:tc>
        <w:tc>
          <w:tcPr>
            <w:tcW w:w="1071" w:type="dxa"/>
            <w:tcBorders>
              <w:top w:val="single" w:color="auto" w:sz="2" w:space="0"/>
              <w:left w:val="single" w:color="auto" w:sz="2" w:space="0"/>
              <w:bottom w:val="single" w:color="auto" w:sz="2" w:space="0"/>
              <w:right w:val="single" w:color="auto" w:sz="2" w:space="0"/>
            </w:tcBorders>
            <w:vAlign w:val="center"/>
          </w:tcPr>
          <w:p w14:paraId="22F6CB2A">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-39,911,696.38</w:t>
            </w:r>
          </w:p>
        </w:tc>
        <w:tc>
          <w:tcPr>
            <w:tcW w:w="1071" w:type="dxa"/>
            <w:tcBorders>
              <w:top w:val="single" w:color="auto" w:sz="2" w:space="0"/>
              <w:left w:val="single" w:color="auto" w:sz="2" w:space="0"/>
              <w:bottom w:val="single" w:color="auto" w:sz="2" w:space="0"/>
              <w:right w:val="single" w:color="auto" w:sz="2" w:space="0"/>
            </w:tcBorders>
            <w:vAlign w:val="center"/>
          </w:tcPr>
          <w:p w14:paraId="0E2D8334">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47,493,712.43</w:t>
            </w:r>
          </w:p>
        </w:tc>
        <w:tc>
          <w:tcPr>
            <w:tcW w:w="1071" w:type="dxa"/>
            <w:tcBorders>
              <w:top w:val="single" w:color="auto" w:sz="2" w:space="0"/>
              <w:left w:val="single" w:color="auto" w:sz="2" w:space="0"/>
              <w:bottom w:val="single" w:color="auto" w:sz="2" w:space="0"/>
              <w:right w:val="single" w:color="auto" w:sz="2" w:space="0"/>
            </w:tcBorders>
            <w:vAlign w:val="center"/>
          </w:tcPr>
          <w:p w14:paraId="393995BF">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-29,759,409.22</w:t>
            </w:r>
          </w:p>
        </w:tc>
        <w:tc>
          <w:tcPr>
            <w:tcW w:w="1071" w:type="dxa"/>
            <w:tcBorders>
              <w:top w:val="single" w:color="auto" w:sz="2" w:space="0"/>
              <w:left w:val="single" w:color="auto" w:sz="2" w:space="0"/>
              <w:bottom w:val="single" w:color="auto" w:sz="2" w:space="0"/>
              <w:right w:val="single" w:color="auto" w:sz="2" w:space="0"/>
            </w:tcBorders>
            <w:vAlign w:val="center"/>
          </w:tcPr>
          <w:p w14:paraId="7798587A">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-23,762,867.32</w:t>
            </w:r>
          </w:p>
        </w:tc>
        <w:tc>
          <w:tcPr>
            <w:tcW w:w="1071" w:type="dxa"/>
            <w:tcBorders>
              <w:top w:val="single" w:color="auto" w:sz="2" w:space="0"/>
              <w:left w:val="single" w:color="auto" w:sz="2" w:space="0"/>
              <w:bottom w:val="single" w:color="auto" w:sz="2" w:space="0"/>
              <w:right w:val="single" w:color="auto" w:sz="2" w:space="0"/>
            </w:tcBorders>
            <w:vAlign w:val="center"/>
          </w:tcPr>
          <w:p w14:paraId="50F3BA69">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-42,442,023.69</w:t>
            </w:r>
          </w:p>
        </w:tc>
        <w:tc>
          <w:tcPr>
            <w:tcW w:w="1071" w:type="dxa"/>
            <w:tcBorders>
              <w:top w:val="single" w:color="auto" w:sz="2" w:space="0"/>
              <w:left w:val="single" w:color="auto" w:sz="2" w:space="0"/>
              <w:bottom w:val="single" w:color="auto" w:sz="2" w:space="0"/>
              <w:right w:val="single" w:color="auto" w:sz="2" w:space="0"/>
            </w:tcBorders>
            <w:vAlign w:val="center"/>
          </w:tcPr>
          <w:p w14:paraId="48432021">
            <w:pPr>
              <w:spacing w:line="240" w:lineRule="exact"/>
              <w:ind w:left="-63" w:leftChars="-30" w:right="-63" w:rightChars="-30"/>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104,344,972.28</w:t>
            </w:r>
          </w:p>
        </w:tc>
      </w:tr>
    </w:tbl>
    <w:p w14:paraId="3D77996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说明经营季节性（或周期性）发生的原因及波动风险</w:t>
      </w:r>
    </w:p>
    <w:p w14:paraId="78F2C0CB">
      <w:pPr>
        <w:pStyle w:val="10"/>
        <w:spacing w:before="156" w:beforeLines="50" w:beforeAutospacing="0" w:after="156" w:afterLines="50" w:afterAutospacing="0"/>
        <w:ind w:firstLine="420"/>
        <w:jc w:val="both"/>
        <w:rPr>
          <w:rFonts w:cs="Times New Roman" w:asciiTheme="minorEastAsia" w:hAnsiTheme="minorEastAsia" w:eastAsiaTheme="minorEastAsia"/>
          <w:color w:val="000000"/>
          <w:spacing w:val="8"/>
          <w:sz w:val="21"/>
          <w:szCs w:val="21"/>
        </w:rPr>
      </w:pPr>
      <w:r>
        <w:rPr>
          <w:rFonts w:cs="Times New Roman" w:asciiTheme="minorEastAsia" w:hAnsiTheme="minorEastAsia" w:eastAsiaTheme="minorEastAsia"/>
          <w:color w:val="000000"/>
          <w:spacing w:val="8"/>
          <w:sz w:val="21"/>
          <w:szCs w:val="21"/>
        </w:rPr>
        <w:t>公司主要客户为机关及事业单位，上述客户受预算管理及执行采购流程的影响，项目验收工作主要集中在下半年，导致公司较多项目集中在下半年进行验收。由于公司信息系统集成服务、软件开发及技术服务业务以验收为收入确认时点，因而公司营业收入较多在下半年确认，公司收入存在较大季节性波动的风险。2024年受</w:t>
      </w:r>
      <w:r>
        <w:rPr>
          <w:rFonts w:hint="eastAsia" w:cs="Times New Roman" w:asciiTheme="minorEastAsia" w:hAnsiTheme="minorEastAsia" w:eastAsiaTheme="minorEastAsia"/>
          <w:color w:val="000000"/>
          <w:spacing w:val="8"/>
          <w:sz w:val="21"/>
          <w:szCs w:val="21"/>
        </w:rPr>
        <w:t>客户资金</w:t>
      </w:r>
      <w:r>
        <w:rPr>
          <w:rFonts w:cs="Times New Roman" w:asciiTheme="minorEastAsia" w:hAnsiTheme="minorEastAsia" w:eastAsiaTheme="minorEastAsia"/>
          <w:color w:val="000000"/>
          <w:spacing w:val="8"/>
          <w:sz w:val="21"/>
          <w:szCs w:val="21"/>
        </w:rPr>
        <w:t>预算不足影响，部分项目无法按既定计划完工验收，影响报告期的收入确认。</w:t>
      </w:r>
    </w:p>
    <w:p w14:paraId="65B22EBA">
      <w:pPr>
        <w:keepNext/>
        <w:keepLines/>
        <w:spacing w:before="300" w:after="300" w:line="280" w:lineRule="exact"/>
        <w:outlineLvl w:val="3"/>
        <w:rPr>
          <w:rFonts w:ascii="Times New Roman" w:hAnsi="Times New Roman" w:cs="Times New Roman" w:eastAsiaTheme="majorEastAsia"/>
          <w:b/>
          <w:bCs/>
          <w:sz w:val="18"/>
          <w:szCs w:val="18"/>
        </w:rPr>
      </w:pPr>
      <w:bookmarkStart w:id="20" w:name="_Toc988909"/>
      <w:r>
        <w:rPr>
          <w:rFonts w:ascii="Times New Roman" w:hAnsi="Times New Roman" w:cs="Times New Roman" w:eastAsiaTheme="majorEastAsia"/>
          <w:b/>
          <w:bCs/>
          <w:sz w:val="18"/>
          <w:szCs w:val="18"/>
        </w:rPr>
        <w:t>（2） 占公司营业收入或营业利润10%以上的行业、产品、地区、销售模式的情况</w:t>
      </w:r>
      <w:bookmarkEnd w:id="20"/>
    </w:p>
    <w:p w14:paraId="01973F5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09F72BC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23C169F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A79B2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3F51C02">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0890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8E0A6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营业成本</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6039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毛利率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F9AD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D469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营业成本比上年同期增减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B9B77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毛利率比上年同期增减</w:t>
            </w:r>
          </w:p>
        </w:tc>
      </w:tr>
      <w:tr w14:paraId="185B79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1523DC8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分客户所处行业</w:t>
            </w:r>
          </w:p>
        </w:tc>
      </w:tr>
      <w:tr w14:paraId="796F3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C979C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智慧政务</w:t>
            </w:r>
          </w:p>
        </w:tc>
        <w:tc>
          <w:tcPr>
            <w:tcW w:w="1377" w:type="dxa"/>
            <w:tcBorders>
              <w:top w:val="single" w:color="auto" w:sz="2" w:space="0"/>
              <w:left w:val="single" w:color="auto" w:sz="2" w:space="0"/>
              <w:bottom w:val="single" w:color="auto" w:sz="2" w:space="0"/>
              <w:right w:val="single" w:color="auto" w:sz="2" w:space="0"/>
            </w:tcBorders>
            <w:vAlign w:val="center"/>
          </w:tcPr>
          <w:p w14:paraId="309D22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47,579,656.86</w:t>
            </w:r>
          </w:p>
        </w:tc>
        <w:tc>
          <w:tcPr>
            <w:tcW w:w="1377" w:type="dxa"/>
            <w:tcBorders>
              <w:top w:val="single" w:color="auto" w:sz="2" w:space="0"/>
              <w:left w:val="single" w:color="auto" w:sz="2" w:space="0"/>
              <w:bottom w:val="single" w:color="auto" w:sz="2" w:space="0"/>
              <w:right w:val="single" w:color="auto" w:sz="2" w:space="0"/>
            </w:tcBorders>
            <w:vAlign w:val="center"/>
          </w:tcPr>
          <w:p w14:paraId="592131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45,943,227.24</w:t>
            </w:r>
          </w:p>
        </w:tc>
        <w:tc>
          <w:tcPr>
            <w:tcW w:w="1377" w:type="dxa"/>
            <w:tcBorders>
              <w:top w:val="single" w:color="auto" w:sz="2" w:space="0"/>
              <w:left w:val="single" w:color="auto" w:sz="2" w:space="0"/>
              <w:bottom w:val="single" w:color="auto" w:sz="2" w:space="0"/>
              <w:right w:val="single" w:color="auto" w:sz="2" w:space="0"/>
            </w:tcBorders>
            <w:vAlign w:val="center"/>
          </w:tcPr>
          <w:p w14:paraId="0CAAFC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3.44%</w:t>
            </w:r>
          </w:p>
        </w:tc>
        <w:tc>
          <w:tcPr>
            <w:tcW w:w="1377" w:type="dxa"/>
            <w:tcBorders>
              <w:top w:val="single" w:color="auto" w:sz="2" w:space="0"/>
              <w:left w:val="single" w:color="auto" w:sz="2" w:space="0"/>
              <w:bottom w:val="single" w:color="auto" w:sz="2" w:space="0"/>
              <w:right w:val="single" w:color="auto" w:sz="2" w:space="0"/>
            </w:tcBorders>
            <w:vAlign w:val="center"/>
          </w:tcPr>
          <w:p w14:paraId="5AE4F0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-77.16%</w:t>
            </w:r>
          </w:p>
        </w:tc>
        <w:tc>
          <w:tcPr>
            <w:tcW w:w="1377" w:type="dxa"/>
            <w:tcBorders>
              <w:top w:val="single" w:color="auto" w:sz="2" w:space="0"/>
              <w:left w:val="single" w:color="auto" w:sz="2" w:space="0"/>
              <w:bottom w:val="single" w:color="auto" w:sz="2" w:space="0"/>
              <w:right w:val="single" w:color="auto" w:sz="2" w:space="0"/>
            </w:tcBorders>
            <w:vAlign w:val="center"/>
          </w:tcPr>
          <w:p w14:paraId="3FFD265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-70.86%</w:t>
            </w:r>
          </w:p>
        </w:tc>
        <w:tc>
          <w:tcPr>
            <w:tcW w:w="1377" w:type="dxa"/>
            <w:tcBorders>
              <w:top w:val="single" w:color="auto" w:sz="2" w:space="0"/>
              <w:left w:val="single" w:color="auto" w:sz="2" w:space="0"/>
              <w:bottom w:val="single" w:color="auto" w:sz="2" w:space="0"/>
              <w:right w:val="single" w:color="auto" w:sz="2" w:space="0"/>
            </w:tcBorders>
            <w:vAlign w:val="center"/>
          </w:tcPr>
          <w:p w14:paraId="648D35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-20.89%</w:t>
            </w:r>
          </w:p>
        </w:tc>
      </w:tr>
      <w:tr w14:paraId="754F13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2A0F2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智慧企业</w:t>
            </w:r>
          </w:p>
        </w:tc>
        <w:tc>
          <w:tcPr>
            <w:tcW w:w="1377" w:type="dxa"/>
            <w:tcBorders>
              <w:top w:val="single" w:color="auto" w:sz="2" w:space="0"/>
              <w:left w:val="single" w:color="auto" w:sz="2" w:space="0"/>
              <w:bottom w:val="single" w:color="auto" w:sz="2" w:space="0"/>
              <w:right w:val="single" w:color="auto" w:sz="2" w:space="0"/>
            </w:tcBorders>
            <w:vAlign w:val="center"/>
          </w:tcPr>
          <w:p w14:paraId="44987E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43,386,613.03</w:t>
            </w:r>
          </w:p>
        </w:tc>
        <w:tc>
          <w:tcPr>
            <w:tcW w:w="1377" w:type="dxa"/>
            <w:tcBorders>
              <w:top w:val="single" w:color="auto" w:sz="2" w:space="0"/>
              <w:left w:val="single" w:color="auto" w:sz="2" w:space="0"/>
              <w:bottom w:val="single" w:color="auto" w:sz="2" w:space="0"/>
              <w:right w:val="single" w:color="auto" w:sz="2" w:space="0"/>
            </w:tcBorders>
            <w:vAlign w:val="center"/>
          </w:tcPr>
          <w:p w14:paraId="76F3DA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32,092,342.16</w:t>
            </w:r>
          </w:p>
        </w:tc>
        <w:tc>
          <w:tcPr>
            <w:tcW w:w="1377" w:type="dxa"/>
            <w:tcBorders>
              <w:top w:val="single" w:color="auto" w:sz="2" w:space="0"/>
              <w:left w:val="single" w:color="auto" w:sz="2" w:space="0"/>
              <w:bottom w:val="single" w:color="auto" w:sz="2" w:space="0"/>
              <w:right w:val="single" w:color="auto" w:sz="2" w:space="0"/>
            </w:tcBorders>
            <w:vAlign w:val="center"/>
          </w:tcPr>
          <w:p w14:paraId="002AE4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26.03%</w:t>
            </w:r>
          </w:p>
        </w:tc>
        <w:tc>
          <w:tcPr>
            <w:tcW w:w="1377" w:type="dxa"/>
            <w:tcBorders>
              <w:top w:val="single" w:color="auto" w:sz="2" w:space="0"/>
              <w:left w:val="single" w:color="auto" w:sz="2" w:space="0"/>
              <w:bottom w:val="single" w:color="auto" w:sz="2" w:space="0"/>
              <w:right w:val="single" w:color="auto" w:sz="2" w:space="0"/>
            </w:tcBorders>
            <w:vAlign w:val="center"/>
          </w:tcPr>
          <w:p w14:paraId="5E18EB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4.13%</w:t>
            </w:r>
          </w:p>
        </w:tc>
        <w:tc>
          <w:tcPr>
            <w:tcW w:w="1377" w:type="dxa"/>
            <w:tcBorders>
              <w:top w:val="single" w:color="auto" w:sz="2" w:space="0"/>
              <w:left w:val="single" w:color="auto" w:sz="2" w:space="0"/>
              <w:bottom w:val="single" w:color="auto" w:sz="2" w:space="0"/>
              <w:right w:val="single" w:color="auto" w:sz="2" w:space="0"/>
            </w:tcBorders>
            <w:vAlign w:val="center"/>
          </w:tcPr>
          <w:p w14:paraId="064243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16.50%</w:t>
            </w:r>
          </w:p>
        </w:tc>
        <w:tc>
          <w:tcPr>
            <w:tcW w:w="1377" w:type="dxa"/>
            <w:tcBorders>
              <w:top w:val="single" w:color="auto" w:sz="2" w:space="0"/>
              <w:left w:val="single" w:color="auto" w:sz="2" w:space="0"/>
              <w:bottom w:val="single" w:color="auto" w:sz="2" w:space="0"/>
              <w:right w:val="single" w:color="auto" w:sz="2" w:space="0"/>
            </w:tcBorders>
            <w:vAlign w:val="center"/>
          </w:tcPr>
          <w:p w14:paraId="21A8A8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-7.86%</w:t>
            </w:r>
          </w:p>
        </w:tc>
      </w:tr>
      <w:tr w14:paraId="20FBB6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4B257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智慧教育</w:t>
            </w:r>
          </w:p>
        </w:tc>
        <w:tc>
          <w:tcPr>
            <w:tcW w:w="1377" w:type="dxa"/>
            <w:tcBorders>
              <w:top w:val="single" w:color="auto" w:sz="2" w:space="0"/>
              <w:left w:val="single" w:color="auto" w:sz="2" w:space="0"/>
              <w:bottom w:val="single" w:color="auto" w:sz="2" w:space="0"/>
              <w:right w:val="single" w:color="auto" w:sz="2" w:space="0"/>
            </w:tcBorders>
            <w:vAlign w:val="center"/>
          </w:tcPr>
          <w:p w14:paraId="4B7813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81,194,925.60</w:t>
            </w:r>
          </w:p>
        </w:tc>
        <w:tc>
          <w:tcPr>
            <w:tcW w:w="1377" w:type="dxa"/>
            <w:tcBorders>
              <w:top w:val="single" w:color="auto" w:sz="2" w:space="0"/>
              <w:left w:val="single" w:color="auto" w:sz="2" w:space="0"/>
              <w:bottom w:val="single" w:color="auto" w:sz="2" w:space="0"/>
              <w:right w:val="single" w:color="auto" w:sz="2" w:space="0"/>
            </w:tcBorders>
            <w:vAlign w:val="center"/>
          </w:tcPr>
          <w:p w14:paraId="6AC51D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73,132,458.49</w:t>
            </w:r>
          </w:p>
        </w:tc>
        <w:tc>
          <w:tcPr>
            <w:tcW w:w="1377" w:type="dxa"/>
            <w:tcBorders>
              <w:top w:val="single" w:color="auto" w:sz="2" w:space="0"/>
              <w:left w:val="single" w:color="auto" w:sz="2" w:space="0"/>
              <w:bottom w:val="single" w:color="auto" w:sz="2" w:space="0"/>
              <w:right w:val="single" w:color="auto" w:sz="2" w:space="0"/>
            </w:tcBorders>
            <w:vAlign w:val="center"/>
          </w:tcPr>
          <w:p w14:paraId="0F7C92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9.93%</w:t>
            </w:r>
          </w:p>
        </w:tc>
        <w:tc>
          <w:tcPr>
            <w:tcW w:w="1377" w:type="dxa"/>
            <w:tcBorders>
              <w:top w:val="single" w:color="auto" w:sz="2" w:space="0"/>
              <w:left w:val="single" w:color="auto" w:sz="2" w:space="0"/>
              <w:bottom w:val="single" w:color="auto" w:sz="2" w:space="0"/>
              <w:right w:val="single" w:color="auto" w:sz="2" w:space="0"/>
            </w:tcBorders>
            <w:vAlign w:val="center"/>
          </w:tcPr>
          <w:p w14:paraId="3B50A2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-37.28%</w:t>
            </w:r>
          </w:p>
        </w:tc>
        <w:tc>
          <w:tcPr>
            <w:tcW w:w="1377" w:type="dxa"/>
            <w:tcBorders>
              <w:top w:val="single" w:color="auto" w:sz="2" w:space="0"/>
              <w:left w:val="single" w:color="auto" w:sz="2" w:space="0"/>
              <w:bottom w:val="single" w:color="auto" w:sz="2" w:space="0"/>
              <w:right w:val="single" w:color="auto" w:sz="2" w:space="0"/>
            </w:tcBorders>
            <w:vAlign w:val="center"/>
          </w:tcPr>
          <w:p w14:paraId="4B116A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-37.56%</w:t>
            </w:r>
          </w:p>
        </w:tc>
        <w:tc>
          <w:tcPr>
            <w:tcW w:w="1377" w:type="dxa"/>
            <w:tcBorders>
              <w:top w:val="single" w:color="auto" w:sz="2" w:space="0"/>
              <w:left w:val="single" w:color="auto" w:sz="2" w:space="0"/>
              <w:bottom w:val="single" w:color="auto" w:sz="2" w:space="0"/>
              <w:right w:val="single" w:color="auto" w:sz="2" w:space="0"/>
            </w:tcBorders>
            <w:vAlign w:val="center"/>
          </w:tcPr>
          <w:p w14:paraId="59C21D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0.40%</w:t>
            </w:r>
          </w:p>
        </w:tc>
      </w:tr>
      <w:tr w14:paraId="3A1781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461F6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智慧医疗</w:t>
            </w:r>
          </w:p>
        </w:tc>
        <w:tc>
          <w:tcPr>
            <w:tcW w:w="1377" w:type="dxa"/>
            <w:tcBorders>
              <w:top w:val="single" w:color="auto" w:sz="2" w:space="0"/>
              <w:left w:val="single" w:color="auto" w:sz="2" w:space="0"/>
              <w:bottom w:val="single" w:color="auto" w:sz="2" w:space="0"/>
              <w:right w:val="single" w:color="auto" w:sz="2" w:space="0"/>
            </w:tcBorders>
            <w:vAlign w:val="center"/>
          </w:tcPr>
          <w:p w14:paraId="5468BF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25,917,120.14</w:t>
            </w:r>
          </w:p>
        </w:tc>
        <w:tc>
          <w:tcPr>
            <w:tcW w:w="1377" w:type="dxa"/>
            <w:tcBorders>
              <w:top w:val="single" w:color="auto" w:sz="2" w:space="0"/>
              <w:left w:val="single" w:color="auto" w:sz="2" w:space="0"/>
              <w:bottom w:val="single" w:color="auto" w:sz="2" w:space="0"/>
              <w:right w:val="single" w:color="auto" w:sz="2" w:space="0"/>
            </w:tcBorders>
            <w:vAlign w:val="center"/>
          </w:tcPr>
          <w:p w14:paraId="685D1D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23,737,976.17</w:t>
            </w:r>
          </w:p>
        </w:tc>
        <w:tc>
          <w:tcPr>
            <w:tcW w:w="1377" w:type="dxa"/>
            <w:tcBorders>
              <w:top w:val="single" w:color="auto" w:sz="2" w:space="0"/>
              <w:left w:val="single" w:color="auto" w:sz="2" w:space="0"/>
              <w:bottom w:val="single" w:color="auto" w:sz="2" w:space="0"/>
              <w:right w:val="single" w:color="auto" w:sz="2" w:space="0"/>
            </w:tcBorders>
            <w:vAlign w:val="center"/>
          </w:tcPr>
          <w:p w14:paraId="6979F5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8.41%</w:t>
            </w:r>
          </w:p>
        </w:tc>
        <w:tc>
          <w:tcPr>
            <w:tcW w:w="1377" w:type="dxa"/>
            <w:tcBorders>
              <w:top w:val="single" w:color="auto" w:sz="2" w:space="0"/>
              <w:left w:val="single" w:color="auto" w:sz="2" w:space="0"/>
              <w:bottom w:val="single" w:color="auto" w:sz="2" w:space="0"/>
              <w:right w:val="single" w:color="auto" w:sz="2" w:space="0"/>
            </w:tcBorders>
            <w:vAlign w:val="center"/>
          </w:tcPr>
          <w:p w14:paraId="1D74F5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-7.11%</w:t>
            </w:r>
          </w:p>
        </w:tc>
        <w:tc>
          <w:tcPr>
            <w:tcW w:w="1377" w:type="dxa"/>
            <w:tcBorders>
              <w:top w:val="single" w:color="auto" w:sz="2" w:space="0"/>
              <w:left w:val="single" w:color="auto" w:sz="2" w:space="0"/>
              <w:bottom w:val="single" w:color="auto" w:sz="2" w:space="0"/>
              <w:right w:val="single" w:color="auto" w:sz="2" w:space="0"/>
            </w:tcBorders>
            <w:vAlign w:val="center"/>
          </w:tcPr>
          <w:p w14:paraId="2DED34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-3.93%</w:t>
            </w:r>
          </w:p>
        </w:tc>
        <w:tc>
          <w:tcPr>
            <w:tcW w:w="1377" w:type="dxa"/>
            <w:tcBorders>
              <w:top w:val="single" w:color="auto" w:sz="2" w:space="0"/>
              <w:left w:val="single" w:color="auto" w:sz="2" w:space="0"/>
              <w:bottom w:val="single" w:color="auto" w:sz="2" w:space="0"/>
              <w:right w:val="single" w:color="auto" w:sz="2" w:space="0"/>
            </w:tcBorders>
            <w:vAlign w:val="center"/>
          </w:tcPr>
          <w:p w14:paraId="63CFDE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8.41%</w:t>
            </w:r>
          </w:p>
        </w:tc>
      </w:tr>
      <w:tr w14:paraId="32509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7216A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轨道交通</w:t>
            </w:r>
          </w:p>
        </w:tc>
        <w:tc>
          <w:tcPr>
            <w:tcW w:w="1377" w:type="dxa"/>
            <w:tcBorders>
              <w:top w:val="single" w:color="auto" w:sz="2" w:space="0"/>
              <w:left w:val="single" w:color="auto" w:sz="2" w:space="0"/>
              <w:bottom w:val="single" w:color="auto" w:sz="2" w:space="0"/>
              <w:right w:val="single" w:color="auto" w:sz="2" w:space="0"/>
            </w:tcBorders>
            <w:vAlign w:val="center"/>
          </w:tcPr>
          <w:p w14:paraId="53F28A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23,427,341.16</w:t>
            </w:r>
          </w:p>
        </w:tc>
        <w:tc>
          <w:tcPr>
            <w:tcW w:w="1377" w:type="dxa"/>
            <w:tcBorders>
              <w:top w:val="single" w:color="auto" w:sz="2" w:space="0"/>
              <w:left w:val="single" w:color="auto" w:sz="2" w:space="0"/>
              <w:bottom w:val="single" w:color="auto" w:sz="2" w:space="0"/>
              <w:right w:val="single" w:color="auto" w:sz="2" w:space="0"/>
            </w:tcBorders>
            <w:vAlign w:val="center"/>
          </w:tcPr>
          <w:p w14:paraId="0C7B93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18,838,306.49</w:t>
            </w:r>
          </w:p>
        </w:tc>
        <w:tc>
          <w:tcPr>
            <w:tcW w:w="1377" w:type="dxa"/>
            <w:tcBorders>
              <w:top w:val="single" w:color="auto" w:sz="2" w:space="0"/>
              <w:left w:val="single" w:color="auto" w:sz="2" w:space="0"/>
              <w:bottom w:val="single" w:color="auto" w:sz="2" w:space="0"/>
              <w:right w:val="single" w:color="auto" w:sz="2" w:space="0"/>
            </w:tcBorders>
            <w:vAlign w:val="center"/>
          </w:tcPr>
          <w:p w14:paraId="69EDF4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19.59%</w:t>
            </w:r>
          </w:p>
        </w:tc>
        <w:tc>
          <w:tcPr>
            <w:tcW w:w="1377" w:type="dxa"/>
            <w:tcBorders>
              <w:top w:val="single" w:color="auto" w:sz="2" w:space="0"/>
              <w:left w:val="single" w:color="auto" w:sz="2" w:space="0"/>
              <w:bottom w:val="single" w:color="auto" w:sz="2" w:space="0"/>
              <w:right w:val="single" w:color="auto" w:sz="2" w:space="0"/>
            </w:tcBorders>
            <w:vAlign w:val="center"/>
          </w:tcPr>
          <w:p w14:paraId="34A6560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E0B3A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2BEB02">
            <w:pPr>
              <w:spacing w:line="240" w:lineRule="exact"/>
              <w:jc w:val="right"/>
              <w:rPr>
                <w:rFonts w:ascii="Times New Roman" w:hAnsi="Times New Roman" w:cs="Times New Roman" w:eastAsiaTheme="majorEastAsia"/>
                <w:sz w:val="18"/>
                <w:szCs w:val="18"/>
              </w:rPr>
            </w:pPr>
          </w:p>
        </w:tc>
      </w:tr>
      <w:tr w14:paraId="57EC3B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0BDA271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分产品</w:t>
            </w:r>
          </w:p>
        </w:tc>
      </w:tr>
      <w:tr w14:paraId="093017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1342F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w:t>
            </w:r>
          </w:p>
        </w:tc>
        <w:tc>
          <w:tcPr>
            <w:tcW w:w="1377" w:type="dxa"/>
            <w:tcBorders>
              <w:top w:val="single" w:color="auto" w:sz="2" w:space="0"/>
              <w:left w:val="single" w:color="auto" w:sz="2" w:space="0"/>
              <w:bottom w:val="single" w:color="auto" w:sz="2" w:space="0"/>
              <w:right w:val="single" w:color="auto" w:sz="2" w:space="0"/>
            </w:tcBorders>
            <w:vAlign w:val="center"/>
          </w:tcPr>
          <w:p w14:paraId="2F5B91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54,240,861.97</w:t>
            </w:r>
          </w:p>
        </w:tc>
        <w:tc>
          <w:tcPr>
            <w:tcW w:w="1377" w:type="dxa"/>
            <w:tcBorders>
              <w:top w:val="single" w:color="auto" w:sz="2" w:space="0"/>
              <w:left w:val="single" w:color="auto" w:sz="2" w:space="0"/>
              <w:bottom w:val="single" w:color="auto" w:sz="2" w:space="0"/>
              <w:right w:val="single" w:color="auto" w:sz="2" w:space="0"/>
            </w:tcBorders>
            <w:vAlign w:val="center"/>
          </w:tcPr>
          <w:p w14:paraId="3A080F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50,373,262.81</w:t>
            </w:r>
          </w:p>
        </w:tc>
        <w:tc>
          <w:tcPr>
            <w:tcW w:w="1377" w:type="dxa"/>
            <w:tcBorders>
              <w:top w:val="single" w:color="auto" w:sz="2" w:space="0"/>
              <w:left w:val="single" w:color="auto" w:sz="2" w:space="0"/>
              <w:bottom w:val="single" w:color="auto" w:sz="2" w:space="0"/>
              <w:right w:val="single" w:color="auto" w:sz="2" w:space="0"/>
            </w:tcBorders>
            <w:vAlign w:val="center"/>
          </w:tcPr>
          <w:p w14:paraId="6A3D3A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7.13%</w:t>
            </w:r>
          </w:p>
        </w:tc>
        <w:tc>
          <w:tcPr>
            <w:tcW w:w="1377" w:type="dxa"/>
            <w:tcBorders>
              <w:top w:val="single" w:color="auto" w:sz="2" w:space="0"/>
              <w:left w:val="single" w:color="auto" w:sz="2" w:space="0"/>
              <w:bottom w:val="single" w:color="auto" w:sz="2" w:space="0"/>
              <w:right w:val="single" w:color="auto" w:sz="2" w:space="0"/>
            </w:tcBorders>
            <w:vAlign w:val="center"/>
          </w:tcPr>
          <w:p w14:paraId="2D0A68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-72.88%</w:t>
            </w:r>
          </w:p>
        </w:tc>
        <w:tc>
          <w:tcPr>
            <w:tcW w:w="1377" w:type="dxa"/>
            <w:tcBorders>
              <w:top w:val="single" w:color="auto" w:sz="2" w:space="0"/>
              <w:left w:val="single" w:color="auto" w:sz="2" w:space="0"/>
              <w:bottom w:val="single" w:color="auto" w:sz="2" w:space="0"/>
              <w:right w:val="single" w:color="auto" w:sz="2" w:space="0"/>
            </w:tcBorders>
            <w:vAlign w:val="center"/>
          </w:tcPr>
          <w:p w14:paraId="35419A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-66.93%</w:t>
            </w:r>
          </w:p>
        </w:tc>
        <w:tc>
          <w:tcPr>
            <w:tcW w:w="1377" w:type="dxa"/>
            <w:tcBorders>
              <w:top w:val="single" w:color="auto" w:sz="2" w:space="0"/>
              <w:left w:val="single" w:color="auto" w:sz="2" w:space="0"/>
              <w:bottom w:val="single" w:color="auto" w:sz="2" w:space="0"/>
              <w:right w:val="single" w:color="auto" w:sz="2" w:space="0"/>
            </w:tcBorders>
            <w:vAlign w:val="center"/>
          </w:tcPr>
          <w:p w14:paraId="27643F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-16.71%</w:t>
            </w:r>
          </w:p>
        </w:tc>
      </w:tr>
      <w:tr w14:paraId="285736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CF95A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软件及技术服务</w:t>
            </w:r>
          </w:p>
        </w:tc>
        <w:tc>
          <w:tcPr>
            <w:tcW w:w="1377" w:type="dxa"/>
            <w:tcBorders>
              <w:top w:val="single" w:color="auto" w:sz="2" w:space="0"/>
              <w:left w:val="single" w:color="auto" w:sz="2" w:space="0"/>
              <w:bottom w:val="single" w:color="auto" w:sz="2" w:space="0"/>
              <w:right w:val="single" w:color="auto" w:sz="2" w:space="0"/>
            </w:tcBorders>
            <w:vAlign w:val="center"/>
          </w:tcPr>
          <w:p w14:paraId="70E75D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41,663,616.03</w:t>
            </w:r>
          </w:p>
        </w:tc>
        <w:tc>
          <w:tcPr>
            <w:tcW w:w="1377" w:type="dxa"/>
            <w:tcBorders>
              <w:top w:val="single" w:color="auto" w:sz="2" w:space="0"/>
              <w:left w:val="single" w:color="auto" w:sz="2" w:space="0"/>
              <w:bottom w:val="single" w:color="auto" w:sz="2" w:space="0"/>
              <w:right w:val="single" w:color="auto" w:sz="2" w:space="0"/>
            </w:tcBorders>
            <w:vAlign w:val="center"/>
          </w:tcPr>
          <w:p w14:paraId="7FDE96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30,639,722.97</w:t>
            </w:r>
          </w:p>
        </w:tc>
        <w:tc>
          <w:tcPr>
            <w:tcW w:w="1377" w:type="dxa"/>
            <w:tcBorders>
              <w:top w:val="single" w:color="auto" w:sz="2" w:space="0"/>
              <w:left w:val="single" w:color="auto" w:sz="2" w:space="0"/>
              <w:bottom w:val="single" w:color="auto" w:sz="2" w:space="0"/>
              <w:right w:val="single" w:color="auto" w:sz="2" w:space="0"/>
            </w:tcBorders>
            <w:vAlign w:val="center"/>
          </w:tcPr>
          <w:p w14:paraId="377D08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26.46%</w:t>
            </w:r>
          </w:p>
        </w:tc>
        <w:tc>
          <w:tcPr>
            <w:tcW w:w="1377" w:type="dxa"/>
            <w:tcBorders>
              <w:top w:val="single" w:color="auto" w:sz="2" w:space="0"/>
              <w:left w:val="single" w:color="auto" w:sz="2" w:space="0"/>
              <w:bottom w:val="single" w:color="auto" w:sz="2" w:space="0"/>
              <w:right w:val="single" w:color="auto" w:sz="2" w:space="0"/>
            </w:tcBorders>
            <w:vAlign w:val="center"/>
          </w:tcPr>
          <w:p w14:paraId="154F2C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119.08%</w:t>
            </w:r>
          </w:p>
        </w:tc>
        <w:tc>
          <w:tcPr>
            <w:tcW w:w="1377" w:type="dxa"/>
            <w:tcBorders>
              <w:top w:val="single" w:color="auto" w:sz="2" w:space="0"/>
              <w:left w:val="single" w:color="auto" w:sz="2" w:space="0"/>
              <w:bottom w:val="single" w:color="auto" w:sz="2" w:space="0"/>
              <w:right w:val="single" w:color="auto" w:sz="2" w:space="0"/>
            </w:tcBorders>
            <w:vAlign w:val="center"/>
          </w:tcPr>
          <w:p w14:paraId="3947CB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367.22%</w:t>
            </w:r>
          </w:p>
        </w:tc>
        <w:tc>
          <w:tcPr>
            <w:tcW w:w="1377" w:type="dxa"/>
            <w:tcBorders>
              <w:top w:val="single" w:color="auto" w:sz="2" w:space="0"/>
              <w:left w:val="single" w:color="auto" w:sz="2" w:space="0"/>
              <w:bottom w:val="single" w:color="auto" w:sz="2" w:space="0"/>
              <w:right w:val="single" w:color="auto" w:sz="2" w:space="0"/>
            </w:tcBorders>
            <w:vAlign w:val="center"/>
          </w:tcPr>
          <w:p w14:paraId="39E7C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-39.06%</w:t>
            </w:r>
          </w:p>
        </w:tc>
      </w:tr>
      <w:tr w14:paraId="05730B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6364EE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硬件销售</w:t>
            </w:r>
          </w:p>
        </w:tc>
        <w:tc>
          <w:tcPr>
            <w:tcW w:w="1377" w:type="dxa"/>
            <w:tcBorders>
              <w:top w:val="single" w:color="auto" w:sz="2" w:space="0"/>
              <w:left w:val="single" w:color="auto" w:sz="2" w:space="0"/>
              <w:bottom w:val="single" w:color="auto" w:sz="2" w:space="0"/>
              <w:right w:val="single" w:color="auto" w:sz="2" w:space="0"/>
            </w:tcBorders>
            <w:vAlign w:val="center"/>
          </w:tcPr>
          <w:p w14:paraId="2909E1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115,893,870.23</w:t>
            </w:r>
          </w:p>
        </w:tc>
        <w:tc>
          <w:tcPr>
            <w:tcW w:w="1377" w:type="dxa"/>
            <w:tcBorders>
              <w:top w:val="single" w:color="auto" w:sz="2" w:space="0"/>
              <w:left w:val="single" w:color="auto" w:sz="2" w:space="0"/>
              <w:bottom w:val="single" w:color="auto" w:sz="2" w:space="0"/>
              <w:right w:val="single" w:color="auto" w:sz="2" w:space="0"/>
            </w:tcBorders>
            <w:vAlign w:val="center"/>
          </w:tcPr>
          <w:p w14:paraId="2E48F8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106,656,874.07</w:t>
            </w:r>
          </w:p>
        </w:tc>
        <w:tc>
          <w:tcPr>
            <w:tcW w:w="1377" w:type="dxa"/>
            <w:tcBorders>
              <w:top w:val="single" w:color="auto" w:sz="2" w:space="0"/>
              <w:left w:val="single" w:color="auto" w:sz="2" w:space="0"/>
              <w:bottom w:val="single" w:color="auto" w:sz="2" w:space="0"/>
              <w:right w:val="single" w:color="auto" w:sz="2" w:space="0"/>
            </w:tcBorders>
            <w:vAlign w:val="center"/>
          </w:tcPr>
          <w:p w14:paraId="462D63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7.97%</w:t>
            </w:r>
          </w:p>
        </w:tc>
        <w:tc>
          <w:tcPr>
            <w:tcW w:w="1377" w:type="dxa"/>
            <w:tcBorders>
              <w:top w:val="single" w:color="auto" w:sz="2" w:space="0"/>
              <w:left w:val="single" w:color="auto" w:sz="2" w:space="0"/>
              <w:bottom w:val="single" w:color="auto" w:sz="2" w:space="0"/>
              <w:right w:val="single" w:color="auto" w:sz="2" w:space="0"/>
            </w:tcBorders>
            <w:vAlign w:val="center"/>
          </w:tcPr>
          <w:p w14:paraId="2E6B7F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-32.21%</w:t>
            </w:r>
          </w:p>
        </w:tc>
        <w:tc>
          <w:tcPr>
            <w:tcW w:w="1377" w:type="dxa"/>
            <w:tcBorders>
              <w:top w:val="single" w:color="auto" w:sz="2" w:space="0"/>
              <w:left w:val="single" w:color="auto" w:sz="2" w:space="0"/>
              <w:bottom w:val="single" w:color="auto" w:sz="2" w:space="0"/>
              <w:right w:val="single" w:color="auto" w:sz="2" w:space="0"/>
            </w:tcBorders>
            <w:vAlign w:val="center"/>
          </w:tcPr>
          <w:p w14:paraId="57BA11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-32.93%</w:t>
            </w:r>
          </w:p>
        </w:tc>
        <w:tc>
          <w:tcPr>
            <w:tcW w:w="1377" w:type="dxa"/>
            <w:tcBorders>
              <w:top w:val="single" w:color="auto" w:sz="2" w:space="0"/>
              <w:left w:val="single" w:color="auto" w:sz="2" w:space="0"/>
              <w:bottom w:val="single" w:color="auto" w:sz="2" w:space="0"/>
              <w:right w:val="single" w:color="auto" w:sz="2" w:space="0"/>
            </w:tcBorders>
            <w:vAlign w:val="center"/>
          </w:tcPr>
          <w:p w14:paraId="2E18F6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0.98%</w:t>
            </w:r>
          </w:p>
        </w:tc>
      </w:tr>
      <w:tr w14:paraId="7AE62D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705B5A5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分地区</w:t>
            </w:r>
          </w:p>
        </w:tc>
      </w:tr>
      <w:tr w14:paraId="196EC9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D97559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华南地区</w:t>
            </w:r>
          </w:p>
        </w:tc>
        <w:tc>
          <w:tcPr>
            <w:tcW w:w="1377" w:type="dxa"/>
            <w:tcBorders>
              <w:top w:val="single" w:color="auto" w:sz="2" w:space="0"/>
              <w:left w:val="single" w:color="auto" w:sz="2" w:space="0"/>
              <w:bottom w:val="single" w:color="auto" w:sz="2" w:space="0"/>
              <w:right w:val="single" w:color="auto" w:sz="2" w:space="0"/>
            </w:tcBorders>
            <w:vAlign w:val="center"/>
          </w:tcPr>
          <w:p w14:paraId="04A2D1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174,949,222.16</w:t>
            </w:r>
          </w:p>
        </w:tc>
        <w:tc>
          <w:tcPr>
            <w:tcW w:w="1377" w:type="dxa"/>
            <w:tcBorders>
              <w:top w:val="single" w:color="auto" w:sz="2" w:space="0"/>
              <w:left w:val="single" w:color="auto" w:sz="2" w:space="0"/>
              <w:bottom w:val="single" w:color="auto" w:sz="2" w:space="0"/>
              <w:right w:val="single" w:color="auto" w:sz="2" w:space="0"/>
            </w:tcBorders>
            <w:vAlign w:val="center"/>
          </w:tcPr>
          <w:p w14:paraId="293FC5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154,857,037.99</w:t>
            </w:r>
          </w:p>
        </w:tc>
        <w:tc>
          <w:tcPr>
            <w:tcW w:w="1377" w:type="dxa"/>
            <w:tcBorders>
              <w:top w:val="single" w:color="auto" w:sz="2" w:space="0"/>
              <w:left w:val="single" w:color="auto" w:sz="2" w:space="0"/>
              <w:bottom w:val="single" w:color="auto" w:sz="2" w:space="0"/>
              <w:right w:val="single" w:color="auto" w:sz="2" w:space="0"/>
            </w:tcBorders>
            <w:vAlign w:val="center"/>
          </w:tcPr>
          <w:p w14:paraId="217372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11.48%</w:t>
            </w:r>
          </w:p>
        </w:tc>
        <w:tc>
          <w:tcPr>
            <w:tcW w:w="1377" w:type="dxa"/>
            <w:tcBorders>
              <w:top w:val="single" w:color="auto" w:sz="2" w:space="0"/>
              <w:left w:val="single" w:color="auto" w:sz="2" w:space="0"/>
              <w:bottom w:val="single" w:color="auto" w:sz="2" w:space="0"/>
              <w:right w:val="single" w:color="auto" w:sz="2" w:space="0"/>
            </w:tcBorders>
            <w:vAlign w:val="center"/>
          </w:tcPr>
          <w:p w14:paraId="18757F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-53.97%</w:t>
            </w:r>
          </w:p>
        </w:tc>
        <w:tc>
          <w:tcPr>
            <w:tcW w:w="1377" w:type="dxa"/>
            <w:tcBorders>
              <w:top w:val="single" w:color="auto" w:sz="2" w:space="0"/>
              <w:left w:val="single" w:color="auto" w:sz="2" w:space="0"/>
              <w:bottom w:val="single" w:color="auto" w:sz="2" w:space="0"/>
              <w:right w:val="single" w:color="auto" w:sz="2" w:space="0"/>
            </w:tcBorders>
            <w:vAlign w:val="center"/>
          </w:tcPr>
          <w:p w14:paraId="532B66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-49.66%</w:t>
            </w:r>
          </w:p>
        </w:tc>
        <w:tc>
          <w:tcPr>
            <w:tcW w:w="1377" w:type="dxa"/>
            <w:tcBorders>
              <w:top w:val="single" w:color="auto" w:sz="2" w:space="0"/>
              <w:left w:val="single" w:color="auto" w:sz="2" w:space="0"/>
              <w:bottom w:val="single" w:color="auto" w:sz="2" w:space="0"/>
              <w:right w:val="single" w:color="auto" w:sz="2" w:space="0"/>
            </w:tcBorders>
            <w:vAlign w:val="center"/>
          </w:tcPr>
          <w:p w14:paraId="577A51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w:t>
            </w:r>
          </w:p>
        </w:tc>
      </w:tr>
      <w:tr w14:paraId="67EBE4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9A1E0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西南地区</w:t>
            </w:r>
          </w:p>
        </w:tc>
        <w:tc>
          <w:tcPr>
            <w:tcW w:w="1377" w:type="dxa"/>
            <w:tcBorders>
              <w:top w:val="single" w:color="auto" w:sz="2" w:space="0"/>
              <w:left w:val="single" w:color="auto" w:sz="2" w:space="0"/>
              <w:bottom w:val="single" w:color="auto" w:sz="2" w:space="0"/>
              <w:right w:val="single" w:color="auto" w:sz="2" w:space="0"/>
            </w:tcBorders>
            <w:vAlign w:val="center"/>
          </w:tcPr>
          <w:p w14:paraId="1911A9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30,338,127.07</w:t>
            </w:r>
          </w:p>
        </w:tc>
        <w:tc>
          <w:tcPr>
            <w:tcW w:w="1377" w:type="dxa"/>
            <w:tcBorders>
              <w:top w:val="single" w:color="auto" w:sz="2" w:space="0"/>
              <w:left w:val="single" w:color="auto" w:sz="2" w:space="0"/>
              <w:bottom w:val="single" w:color="auto" w:sz="2" w:space="0"/>
              <w:right w:val="single" w:color="auto" w:sz="2" w:space="0"/>
            </w:tcBorders>
            <w:vAlign w:val="center"/>
          </w:tcPr>
          <w:p w14:paraId="2E5900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23,883,186.33</w:t>
            </w:r>
          </w:p>
        </w:tc>
        <w:tc>
          <w:tcPr>
            <w:tcW w:w="1377" w:type="dxa"/>
            <w:tcBorders>
              <w:top w:val="single" w:color="auto" w:sz="2" w:space="0"/>
              <w:left w:val="single" w:color="auto" w:sz="2" w:space="0"/>
              <w:bottom w:val="single" w:color="auto" w:sz="2" w:space="0"/>
              <w:right w:val="single" w:color="auto" w:sz="2" w:space="0"/>
            </w:tcBorders>
            <w:vAlign w:val="center"/>
          </w:tcPr>
          <w:p w14:paraId="071B75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21.28%</w:t>
            </w:r>
          </w:p>
        </w:tc>
        <w:tc>
          <w:tcPr>
            <w:tcW w:w="1377" w:type="dxa"/>
            <w:tcBorders>
              <w:top w:val="single" w:color="auto" w:sz="2" w:space="0"/>
              <w:left w:val="single" w:color="auto" w:sz="2" w:space="0"/>
              <w:bottom w:val="single" w:color="auto" w:sz="2" w:space="0"/>
              <w:right w:val="single" w:color="auto" w:sz="2" w:space="0"/>
            </w:tcBorders>
            <w:vAlign w:val="center"/>
          </w:tcPr>
          <w:p w14:paraId="040A4F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220.69%</w:t>
            </w:r>
          </w:p>
        </w:tc>
        <w:tc>
          <w:tcPr>
            <w:tcW w:w="1377" w:type="dxa"/>
            <w:tcBorders>
              <w:top w:val="single" w:color="auto" w:sz="2" w:space="0"/>
              <w:left w:val="single" w:color="auto" w:sz="2" w:space="0"/>
              <w:bottom w:val="single" w:color="auto" w:sz="2" w:space="0"/>
              <w:right w:val="single" w:color="auto" w:sz="2" w:space="0"/>
            </w:tcBorders>
            <w:vAlign w:val="center"/>
          </w:tcPr>
          <w:p w14:paraId="0739BD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264.53%</w:t>
            </w:r>
          </w:p>
        </w:tc>
        <w:tc>
          <w:tcPr>
            <w:tcW w:w="1377" w:type="dxa"/>
            <w:tcBorders>
              <w:top w:val="single" w:color="auto" w:sz="2" w:space="0"/>
              <w:left w:val="single" w:color="auto" w:sz="2" w:space="0"/>
              <w:bottom w:val="single" w:color="auto" w:sz="2" w:space="0"/>
              <w:right w:val="single" w:color="auto" w:sz="2" w:space="0"/>
            </w:tcBorders>
            <w:vAlign w:val="center"/>
          </w:tcPr>
          <w:p w14:paraId="7C6A24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-9.47%</w:t>
            </w:r>
          </w:p>
        </w:tc>
      </w:tr>
      <w:tr w14:paraId="4715AF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7"/>
            <w:tcBorders>
              <w:top w:val="single" w:color="auto" w:sz="2" w:space="0"/>
              <w:left w:val="single" w:color="auto" w:sz="2" w:space="0"/>
              <w:bottom w:val="single" w:color="auto" w:sz="2" w:space="0"/>
              <w:right w:val="single" w:color="auto" w:sz="2" w:space="0"/>
            </w:tcBorders>
            <w:shd w:val="clear" w:color="auto" w:fill="D3D3D3"/>
            <w:vAlign w:val="center"/>
          </w:tcPr>
          <w:p w14:paraId="7069225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分销售模式</w:t>
            </w:r>
          </w:p>
        </w:tc>
      </w:tr>
    </w:tbl>
    <w:p w14:paraId="0C92BEB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公司主营业务数据统计口径在报告期发生调整的情况下，公司最近1年按报告期末口径调整后的主营业务数据</w:t>
      </w:r>
    </w:p>
    <w:p w14:paraId="598B1C6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8D3F38A">
      <w:pPr>
        <w:keepNext/>
        <w:keepLines/>
        <w:spacing w:before="300" w:after="300" w:line="280" w:lineRule="exact"/>
        <w:outlineLvl w:val="3"/>
        <w:rPr>
          <w:rFonts w:ascii="Times New Roman" w:hAnsi="Times New Roman" w:cs="Times New Roman" w:eastAsiaTheme="majorEastAsia"/>
          <w:b/>
          <w:bCs/>
          <w:sz w:val="18"/>
          <w:szCs w:val="18"/>
        </w:rPr>
      </w:pPr>
      <w:bookmarkStart w:id="21" w:name="_Toc988910"/>
      <w:r>
        <w:rPr>
          <w:rFonts w:ascii="Times New Roman" w:hAnsi="Times New Roman" w:cs="Times New Roman" w:eastAsiaTheme="majorEastAsia"/>
          <w:b/>
          <w:bCs/>
          <w:sz w:val="18"/>
          <w:szCs w:val="18"/>
        </w:rPr>
        <w:t>（3） 公司实物销售收入是否大于劳务收入</w:t>
      </w:r>
      <w:bookmarkEnd w:id="21"/>
    </w:p>
    <w:p w14:paraId="55A2EED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79ED8A6F">
      <w:pPr>
        <w:keepNext/>
        <w:keepLines/>
        <w:spacing w:before="300" w:after="300" w:line="280" w:lineRule="exact"/>
        <w:outlineLvl w:val="3"/>
        <w:rPr>
          <w:rFonts w:ascii="Times New Roman" w:hAnsi="Times New Roman" w:cs="Times New Roman" w:eastAsiaTheme="majorEastAsia"/>
          <w:b/>
          <w:bCs/>
          <w:sz w:val="18"/>
          <w:szCs w:val="18"/>
        </w:rPr>
      </w:pPr>
      <w:bookmarkStart w:id="22" w:name="_Toc988911"/>
      <w:r>
        <w:rPr>
          <w:rFonts w:ascii="Times New Roman" w:hAnsi="Times New Roman" w:cs="Times New Roman" w:eastAsiaTheme="majorEastAsia"/>
          <w:b/>
          <w:bCs/>
          <w:sz w:val="18"/>
          <w:szCs w:val="18"/>
        </w:rPr>
        <w:t>（4） 公司已签订的重大销售合同、重大采购合同截至本报告期的履行情况</w:t>
      </w:r>
      <w:bookmarkEnd w:id="22"/>
    </w:p>
    <w:p w14:paraId="64B72B1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4E4FA5F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已签订的重大销售合同截至本报告期的履行情况</w:t>
      </w:r>
    </w:p>
    <w:p w14:paraId="0764D23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1ACD3C7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36"/>
        <w:gridCol w:w="901"/>
        <w:gridCol w:w="964"/>
        <w:gridCol w:w="678"/>
        <w:gridCol w:w="706"/>
        <w:gridCol w:w="964"/>
        <w:gridCol w:w="790"/>
        <w:gridCol w:w="790"/>
        <w:gridCol w:w="592"/>
        <w:gridCol w:w="536"/>
        <w:gridCol w:w="957"/>
        <w:gridCol w:w="790"/>
        <w:gridCol w:w="649"/>
      </w:tblGrid>
      <w:tr w14:paraId="55F207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BC4AF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合同标的</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9989F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对方当事人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D61C7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合同总金额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F709B9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合计已履行金额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02186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5DF28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待履行金额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5E011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本期确认的销售收入金额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9CD64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累计确认的销售收入金额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6E0B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应收账款回款情况</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06D5E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是否正常履行</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54D8A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影响重大合同履行的各项条件是否发生重大变化</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C8293A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是否存在合同无法履行的重大风险</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A496D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合同未正常履行的说明</w:t>
            </w:r>
          </w:p>
        </w:tc>
      </w:tr>
      <w:tr w14:paraId="79712E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4A285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算力服务</w:t>
            </w:r>
          </w:p>
        </w:tc>
        <w:tc>
          <w:tcPr>
            <w:tcW w:w="0" w:type="auto"/>
            <w:tcBorders>
              <w:top w:val="single" w:color="auto" w:sz="2" w:space="0"/>
              <w:left w:val="single" w:color="auto" w:sz="2" w:space="0"/>
              <w:bottom w:val="single" w:color="auto" w:sz="2" w:space="0"/>
              <w:right w:val="single" w:color="auto" w:sz="2" w:space="0"/>
            </w:tcBorders>
            <w:vAlign w:val="center"/>
          </w:tcPr>
          <w:p w14:paraId="7D81CC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中国移动通信集团广东有限公司深圳分公司</w:t>
            </w:r>
          </w:p>
        </w:tc>
        <w:tc>
          <w:tcPr>
            <w:tcW w:w="0" w:type="auto"/>
            <w:tcBorders>
              <w:top w:val="single" w:color="auto" w:sz="2" w:space="0"/>
              <w:left w:val="single" w:color="auto" w:sz="2" w:space="0"/>
              <w:bottom w:val="single" w:color="auto" w:sz="2" w:space="0"/>
              <w:right w:val="single" w:color="auto" w:sz="2" w:space="0"/>
            </w:tcBorders>
            <w:vAlign w:val="center"/>
          </w:tcPr>
          <w:p w14:paraId="3A04B303">
            <w:pPr>
              <w:jc w:val="right"/>
              <w:rPr>
                <w:rFonts w:ascii="Times New Roman" w:hAnsi="Times New Roman" w:eastAsia="宋体" w:cs="Times New Roman"/>
                <w:sz w:val="18"/>
                <w:szCs w:val="18"/>
              </w:rPr>
            </w:pPr>
            <w:r>
              <w:rPr>
                <w:rFonts w:ascii="Times New Roman" w:hAnsi="Times New Roman" w:cs="Times New Roman"/>
                <w:sz w:val="18"/>
                <w:szCs w:val="18"/>
              </w:rPr>
              <w:t>33,086.04</w:t>
            </w:r>
          </w:p>
        </w:tc>
        <w:tc>
          <w:tcPr>
            <w:tcW w:w="0" w:type="auto"/>
            <w:tcBorders>
              <w:top w:val="single" w:color="auto" w:sz="2" w:space="0"/>
              <w:left w:val="single" w:color="auto" w:sz="2" w:space="0"/>
              <w:bottom w:val="single" w:color="auto" w:sz="2" w:space="0"/>
              <w:right w:val="single" w:color="auto" w:sz="2" w:space="0"/>
            </w:tcBorders>
            <w:vAlign w:val="center"/>
          </w:tcPr>
          <w:p w14:paraId="03784112">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06311743">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47363D72">
            <w:pPr>
              <w:jc w:val="right"/>
              <w:rPr>
                <w:rFonts w:ascii="Times New Roman" w:hAnsi="Times New Roman" w:eastAsia="宋体" w:cs="Times New Roman"/>
                <w:sz w:val="18"/>
                <w:szCs w:val="18"/>
              </w:rPr>
            </w:pPr>
            <w:r>
              <w:rPr>
                <w:rFonts w:ascii="Times New Roman" w:hAnsi="Times New Roman" w:cs="Times New Roman"/>
                <w:sz w:val="18"/>
                <w:szCs w:val="18"/>
              </w:rPr>
              <w:t>33,086.04</w:t>
            </w:r>
          </w:p>
        </w:tc>
        <w:tc>
          <w:tcPr>
            <w:tcW w:w="0" w:type="auto"/>
            <w:tcBorders>
              <w:top w:val="single" w:color="auto" w:sz="2" w:space="0"/>
              <w:left w:val="single" w:color="auto" w:sz="2" w:space="0"/>
              <w:bottom w:val="single" w:color="auto" w:sz="2" w:space="0"/>
              <w:right w:val="single" w:color="auto" w:sz="2" w:space="0"/>
            </w:tcBorders>
            <w:vAlign w:val="center"/>
          </w:tcPr>
          <w:p w14:paraId="598B5C6E">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06170437">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6FEE0337">
            <w:pPr>
              <w:rPr>
                <w:rFonts w:ascii="Times New Roman" w:hAnsi="Times New Roman" w:eastAsia="宋体" w:cs="Times New Roman"/>
                <w:sz w:val="18"/>
                <w:szCs w:val="18"/>
              </w:rPr>
            </w:pPr>
            <w:r>
              <w:rPr>
                <w:rFonts w:ascii="Times New Roman" w:hAnsi="Times New Roman" w:cs="Times New Roman"/>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1E029F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30C1800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28D776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4883C0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2F9599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500D2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算力维保服务</w:t>
            </w:r>
          </w:p>
        </w:tc>
        <w:tc>
          <w:tcPr>
            <w:tcW w:w="0" w:type="auto"/>
            <w:tcBorders>
              <w:top w:val="single" w:color="auto" w:sz="2" w:space="0"/>
              <w:left w:val="single" w:color="auto" w:sz="2" w:space="0"/>
              <w:bottom w:val="single" w:color="auto" w:sz="2" w:space="0"/>
              <w:right w:val="single" w:color="auto" w:sz="2" w:space="0"/>
            </w:tcBorders>
            <w:vAlign w:val="center"/>
          </w:tcPr>
          <w:p w14:paraId="4EB8589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中国移动通信集团广东有限公司深圳分公司</w:t>
            </w:r>
          </w:p>
        </w:tc>
        <w:tc>
          <w:tcPr>
            <w:tcW w:w="0" w:type="auto"/>
            <w:tcBorders>
              <w:top w:val="single" w:color="auto" w:sz="2" w:space="0"/>
              <w:left w:val="single" w:color="auto" w:sz="2" w:space="0"/>
              <w:bottom w:val="single" w:color="auto" w:sz="2" w:space="0"/>
              <w:right w:val="single" w:color="auto" w:sz="2" w:space="0"/>
            </w:tcBorders>
            <w:vAlign w:val="center"/>
          </w:tcPr>
          <w:p w14:paraId="03810822">
            <w:pPr>
              <w:jc w:val="right"/>
              <w:rPr>
                <w:rFonts w:ascii="Times New Roman" w:hAnsi="Times New Roman" w:eastAsia="宋体" w:cs="Times New Roman"/>
                <w:sz w:val="18"/>
                <w:szCs w:val="18"/>
              </w:rPr>
            </w:pPr>
            <w:r>
              <w:rPr>
                <w:rFonts w:ascii="Times New Roman" w:hAnsi="Times New Roman" w:cs="Times New Roman"/>
                <w:sz w:val="18"/>
                <w:szCs w:val="18"/>
              </w:rPr>
              <w:t>5,169.76</w:t>
            </w:r>
          </w:p>
        </w:tc>
        <w:tc>
          <w:tcPr>
            <w:tcW w:w="0" w:type="auto"/>
            <w:tcBorders>
              <w:top w:val="single" w:color="auto" w:sz="2" w:space="0"/>
              <w:left w:val="single" w:color="auto" w:sz="2" w:space="0"/>
              <w:bottom w:val="single" w:color="auto" w:sz="2" w:space="0"/>
              <w:right w:val="single" w:color="auto" w:sz="2" w:space="0"/>
            </w:tcBorders>
            <w:vAlign w:val="center"/>
          </w:tcPr>
          <w:p w14:paraId="33DDE708">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73E98938">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02BBD1FD">
            <w:pPr>
              <w:jc w:val="right"/>
              <w:rPr>
                <w:rFonts w:ascii="Times New Roman" w:hAnsi="Times New Roman" w:eastAsia="宋体" w:cs="Times New Roman"/>
                <w:sz w:val="18"/>
                <w:szCs w:val="18"/>
              </w:rPr>
            </w:pPr>
            <w:r>
              <w:rPr>
                <w:rFonts w:ascii="Times New Roman" w:hAnsi="Times New Roman" w:cs="Times New Roman"/>
                <w:sz w:val="18"/>
                <w:szCs w:val="18"/>
              </w:rPr>
              <w:t>5,169.76</w:t>
            </w:r>
          </w:p>
        </w:tc>
        <w:tc>
          <w:tcPr>
            <w:tcW w:w="0" w:type="auto"/>
            <w:tcBorders>
              <w:top w:val="single" w:color="auto" w:sz="2" w:space="0"/>
              <w:left w:val="single" w:color="auto" w:sz="2" w:space="0"/>
              <w:bottom w:val="single" w:color="auto" w:sz="2" w:space="0"/>
              <w:right w:val="single" w:color="auto" w:sz="2" w:space="0"/>
            </w:tcBorders>
            <w:vAlign w:val="center"/>
          </w:tcPr>
          <w:p w14:paraId="626CB9BF">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5F671331">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3C743A91">
            <w:pPr>
              <w:rPr>
                <w:rFonts w:ascii="Times New Roman" w:hAnsi="Times New Roman" w:eastAsia="宋体" w:cs="Times New Roman"/>
                <w:sz w:val="18"/>
                <w:szCs w:val="18"/>
              </w:rPr>
            </w:pPr>
            <w:r>
              <w:rPr>
                <w:rFonts w:ascii="Times New Roman" w:hAnsi="Times New Roman" w:cs="Times New Roman"/>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C86D03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B3387D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0239E39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3D23A9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50682F9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已签订的重大采购合同截至本报告期的履行情况</w:t>
      </w:r>
    </w:p>
    <w:p w14:paraId="59AF000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7F266115">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8"/>
        <w:gridCol w:w="630"/>
        <w:gridCol w:w="994"/>
        <w:gridCol w:w="1050"/>
        <w:gridCol w:w="1109"/>
        <w:gridCol w:w="994"/>
        <w:gridCol w:w="688"/>
        <w:gridCol w:w="1564"/>
        <w:gridCol w:w="1214"/>
        <w:gridCol w:w="922"/>
      </w:tblGrid>
      <w:tr w14:paraId="265C3C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8451D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合同标的</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FDAAC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对方当事人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04F98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合同总金额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66081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合计已履行金额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6A33C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765BB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待履行金额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45A09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是否正常履行</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F63F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影响重大合同履行的各项条件是否发生重大变化</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993577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是否存在合同无法履行的重大风险</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36B44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合同未正常履行的说明</w:t>
            </w:r>
          </w:p>
        </w:tc>
      </w:tr>
      <w:tr w14:paraId="274FEF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EE74C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高性能服务器</w:t>
            </w:r>
          </w:p>
        </w:tc>
        <w:tc>
          <w:tcPr>
            <w:tcW w:w="0" w:type="auto"/>
            <w:tcBorders>
              <w:top w:val="single" w:color="auto" w:sz="2" w:space="0"/>
              <w:left w:val="single" w:color="auto" w:sz="2" w:space="0"/>
              <w:bottom w:val="single" w:color="auto" w:sz="2" w:space="0"/>
              <w:right w:val="single" w:color="auto" w:sz="2" w:space="0"/>
            </w:tcBorders>
            <w:vAlign w:val="center"/>
          </w:tcPr>
          <w:p w14:paraId="5C6025B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供应商1</w:t>
            </w:r>
          </w:p>
        </w:tc>
        <w:tc>
          <w:tcPr>
            <w:tcW w:w="0" w:type="auto"/>
            <w:tcBorders>
              <w:top w:val="single" w:color="auto" w:sz="2" w:space="0"/>
              <w:left w:val="single" w:color="auto" w:sz="2" w:space="0"/>
              <w:bottom w:val="single" w:color="auto" w:sz="2" w:space="0"/>
              <w:right w:val="single" w:color="auto" w:sz="2" w:space="0"/>
            </w:tcBorders>
            <w:vAlign w:val="center"/>
          </w:tcPr>
          <w:p w14:paraId="5C724699">
            <w:pPr>
              <w:jc w:val="right"/>
              <w:rPr>
                <w:rFonts w:ascii="Times New Roman" w:hAnsi="Times New Roman" w:eastAsia="宋体" w:cs="Times New Roman"/>
                <w:sz w:val="18"/>
                <w:szCs w:val="18"/>
              </w:rPr>
            </w:pPr>
            <w:r>
              <w:rPr>
                <w:rFonts w:ascii="Times New Roman" w:hAnsi="Times New Roman" w:cs="Times New Roman"/>
                <w:sz w:val="18"/>
                <w:szCs w:val="18"/>
              </w:rPr>
              <w:t>8,750.00</w:t>
            </w:r>
          </w:p>
        </w:tc>
        <w:tc>
          <w:tcPr>
            <w:tcW w:w="0" w:type="auto"/>
            <w:tcBorders>
              <w:top w:val="single" w:color="auto" w:sz="2" w:space="0"/>
              <w:left w:val="single" w:color="auto" w:sz="2" w:space="0"/>
              <w:bottom w:val="single" w:color="auto" w:sz="2" w:space="0"/>
              <w:right w:val="single" w:color="auto" w:sz="2" w:space="0"/>
            </w:tcBorders>
            <w:vAlign w:val="center"/>
          </w:tcPr>
          <w:p w14:paraId="765372FE">
            <w:pPr>
              <w:jc w:val="right"/>
              <w:rPr>
                <w:rFonts w:ascii="Times New Roman" w:hAnsi="Times New Roman" w:eastAsia="宋体" w:cs="Times New Roman"/>
                <w:sz w:val="18"/>
                <w:szCs w:val="18"/>
              </w:rPr>
            </w:pPr>
            <w:r>
              <w:rPr>
                <w:rFonts w:ascii="Times New Roman" w:hAnsi="Times New Roman" w:cs="Times New Roman"/>
                <w:sz w:val="18"/>
                <w:szCs w:val="18"/>
              </w:rPr>
              <w:t>5,375.00</w:t>
            </w:r>
          </w:p>
        </w:tc>
        <w:tc>
          <w:tcPr>
            <w:tcW w:w="0" w:type="auto"/>
            <w:tcBorders>
              <w:top w:val="single" w:color="auto" w:sz="2" w:space="0"/>
              <w:left w:val="single" w:color="auto" w:sz="2" w:space="0"/>
              <w:bottom w:val="single" w:color="auto" w:sz="2" w:space="0"/>
              <w:right w:val="single" w:color="auto" w:sz="2" w:space="0"/>
            </w:tcBorders>
            <w:vAlign w:val="center"/>
          </w:tcPr>
          <w:p w14:paraId="55DA508C">
            <w:pPr>
              <w:jc w:val="right"/>
              <w:rPr>
                <w:rFonts w:ascii="Times New Roman" w:hAnsi="Times New Roman" w:eastAsia="宋体" w:cs="Times New Roman"/>
                <w:sz w:val="18"/>
                <w:szCs w:val="18"/>
              </w:rPr>
            </w:pPr>
            <w:r>
              <w:rPr>
                <w:rFonts w:ascii="Times New Roman" w:hAnsi="Times New Roman" w:cs="Times New Roman"/>
                <w:sz w:val="18"/>
                <w:szCs w:val="18"/>
              </w:rPr>
              <w:t>5,375.00</w:t>
            </w:r>
          </w:p>
        </w:tc>
        <w:tc>
          <w:tcPr>
            <w:tcW w:w="0" w:type="auto"/>
            <w:tcBorders>
              <w:top w:val="single" w:color="auto" w:sz="2" w:space="0"/>
              <w:left w:val="single" w:color="auto" w:sz="2" w:space="0"/>
              <w:bottom w:val="single" w:color="auto" w:sz="2" w:space="0"/>
              <w:right w:val="single" w:color="auto" w:sz="2" w:space="0"/>
            </w:tcBorders>
            <w:vAlign w:val="center"/>
          </w:tcPr>
          <w:p w14:paraId="4E8BBE50">
            <w:pPr>
              <w:jc w:val="right"/>
              <w:rPr>
                <w:rFonts w:ascii="Times New Roman" w:hAnsi="Times New Roman" w:eastAsia="宋体" w:cs="Times New Roman"/>
                <w:sz w:val="18"/>
                <w:szCs w:val="18"/>
              </w:rPr>
            </w:pPr>
            <w:r>
              <w:rPr>
                <w:rFonts w:ascii="Times New Roman" w:hAnsi="Times New Roman" w:cs="Times New Roman"/>
                <w:sz w:val="18"/>
                <w:szCs w:val="18"/>
              </w:rPr>
              <w:t>3,375.00</w:t>
            </w:r>
          </w:p>
        </w:tc>
        <w:tc>
          <w:tcPr>
            <w:tcW w:w="0" w:type="auto"/>
            <w:tcBorders>
              <w:top w:val="single" w:color="auto" w:sz="2" w:space="0"/>
              <w:left w:val="single" w:color="auto" w:sz="2" w:space="0"/>
              <w:bottom w:val="single" w:color="auto" w:sz="2" w:space="0"/>
              <w:right w:val="single" w:color="auto" w:sz="2" w:space="0"/>
            </w:tcBorders>
            <w:vAlign w:val="center"/>
          </w:tcPr>
          <w:p w14:paraId="61C32C6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091BC5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42C958F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331339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665D1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A950F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组网设备</w:t>
            </w:r>
          </w:p>
        </w:tc>
        <w:tc>
          <w:tcPr>
            <w:tcW w:w="0" w:type="auto"/>
            <w:tcBorders>
              <w:top w:val="single" w:color="auto" w:sz="2" w:space="0"/>
              <w:left w:val="single" w:color="auto" w:sz="2" w:space="0"/>
              <w:bottom w:val="single" w:color="auto" w:sz="2" w:space="0"/>
              <w:right w:val="single" w:color="auto" w:sz="2" w:space="0"/>
            </w:tcBorders>
            <w:vAlign w:val="center"/>
          </w:tcPr>
          <w:p w14:paraId="1E965A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供应商2</w:t>
            </w:r>
          </w:p>
        </w:tc>
        <w:tc>
          <w:tcPr>
            <w:tcW w:w="0" w:type="auto"/>
            <w:tcBorders>
              <w:top w:val="single" w:color="auto" w:sz="2" w:space="0"/>
              <w:left w:val="single" w:color="auto" w:sz="2" w:space="0"/>
              <w:bottom w:val="single" w:color="auto" w:sz="2" w:space="0"/>
              <w:right w:val="single" w:color="auto" w:sz="2" w:space="0"/>
            </w:tcBorders>
            <w:vAlign w:val="center"/>
          </w:tcPr>
          <w:p w14:paraId="67797DCE">
            <w:pPr>
              <w:jc w:val="right"/>
              <w:rPr>
                <w:rFonts w:ascii="Times New Roman" w:hAnsi="Times New Roman" w:eastAsia="宋体" w:cs="Times New Roman"/>
                <w:sz w:val="18"/>
                <w:szCs w:val="18"/>
              </w:rPr>
            </w:pPr>
            <w:r>
              <w:rPr>
                <w:rFonts w:ascii="Times New Roman" w:hAnsi="Times New Roman" w:cs="Times New Roman"/>
                <w:sz w:val="18"/>
                <w:szCs w:val="18"/>
              </w:rPr>
              <w:t>1,500.00</w:t>
            </w:r>
          </w:p>
        </w:tc>
        <w:tc>
          <w:tcPr>
            <w:tcW w:w="0" w:type="auto"/>
            <w:tcBorders>
              <w:top w:val="single" w:color="auto" w:sz="2" w:space="0"/>
              <w:left w:val="single" w:color="auto" w:sz="2" w:space="0"/>
              <w:bottom w:val="single" w:color="auto" w:sz="2" w:space="0"/>
              <w:right w:val="single" w:color="auto" w:sz="2" w:space="0"/>
            </w:tcBorders>
            <w:vAlign w:val="center"/>
          </w:tcPr>
          <w:p w14:paraId="63788FA1">
            <w:pPr>
              <w:jc w:val="right"/>
              <w:rPr>
                <w:rFonts w:ascii="Times New Roman" w:hAnsi="Times New Roman" w:eastAsia="宋体" w:cs="Times New Roman"/>
                <w:sz w:val="18"/>
                <w:szCs w:val="18"/>
              </w:rPr>
            </w:pPr>
            <w:r>
              <w:rPr>
                <w:rFonts w:ascii="Times New Roman" w:hAnsi="Times New Roman" w:cs="Times New Roman"/>
                <w:sz w:val="18"/>
                <w:szCs w:val="18"/>
              </w:rPr>
              <w:t>600.00</w:t>
            </w:r>
          </w:p>
        </w:tc>
        <w:tc>
          <w:tcPr>
            <w:tcW w:w="0" w:type="auto"/>
            <w:tcBorders>
              <w:top w:val="single" w:color="auto" w:sz="2" w:space="0"/>
              <w:left w:val="single" w:color="auto" w:sz="2" w:space="0"/>
              <w:bottom w:val="single" w:color="auto" w:sz="2" w:space="0"/>
              <w:right w:val="single" w:color="auto" w:sz="2" w:space="0"/>
            </w:tcBorders>
            <w:vAlign w:val="center"/>
          </w:tcPr>
          <w:p w14:paraId="1211BCC3">
            <w:pPr>
              <w:jc w:val="right"/>
              <w:rPr>
                <w:rFonts w:ascii="Times New Roman" w:hAnsi="Times New Roman" w:eastAsia="宋体" w:cs="Times New Roman"/>
                <w:sz w:val="18"/>
                <w:szCs w:val="18"/>
              </w:rPr>
            </w:pPr>
            <w:r>
              <w:rPr>
                <w:rFonts w:ascii="Times New Roman" w:hAnsi="Times New Roman" w:cs="Times New Roman"/>
                <w:sz w:val="18"/>
                <w:szCs w:val="18"/>
              </w:rPr>
              <w:t>600.00</w:t>
            </w:r>
          </w:p>
        </w:tc>
        <w:tc>
          <w:tcPr>
            <w:tcW w:w="0" w:type="auto"/>
            <w:tcBorders>
              <w:top w:val="single" w:color="auto" w:sz="2" w:space="0"/>
              <w:left w:val="single" w:color="auto" w:sz="2" w:space="0"/>
              <w:bottom w:val="single" w:color="auto" w:sz="2" w:space="0"/>
              <w:right w:val="single" w:color="auto" w:sz="2" w:space="0"/>
            </w:tcBorders>
            <w:vAlign w:val="center"/>
          </w:tcPr>
          <w:p w14:paraId="0EFA4354">
            <w:pPr>
              <w:jc w:val="right"/>
              <w:rPr>
                <w:rFonts w:ascii="Times New Roman" w:hAnsi="Times New Roman" w:eastAsia="宋体" w:cs="Times New Roman"/>
                <w:sz w:val="18"/>
                <w:szCs w:val="18"/>
              </w:rPr>
            </w:pPr>
            <w:r>
              <w:rPr>
                <w:rFonts w:ascii="Times New Roman" w:hAnsi="Times New Roman" w:cs="Times New Roman"/>
                <w:sz w:val="18"/>
                <w:szCs w:val="18"/>
              </w:rPr>
              <w:t>900.00</w:t>
            </w:r>
          </w:p>
        </w:tc>
        <w:tc>
          <w:tcPr>
            <w:tcW w:w="0" w:type="auto"/>
            <w:tcBorders>
              <w:top w:val="single" w:color="auto" w:sz="2" w:space="0"/>
              <w:left w:val="single" w:color="auto" w:sz="2" w:space="0"/>
              <w:bottom w:val="single" w:color="auto" w:sz="2" w:space="0"/>
              <w:right w:val="single" w:color="auto" w:sz="2" w:space="0"/>
            </w:tcBorders>
            <w:vAlign w:val="center"/>
          </w:tcPr>
          <w:p w14:paraId="360D762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5FDD5CF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7760A47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57C5AB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7EDB1A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651139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高性能服务器</w:t>
            </w:r>
          </w:p>
        </w:tc>
        <w:tc>
          <w:tcPr>
            <w:tcW w:w="0" w:type="auto"/>
            <w:tcBorders>
              <w:top w:val="single" w:color="auto" w:sz="2" w:space="0"/>
              <w:left w:val="single" w:color="auto" w:sz="2" w:space="0"/>
              <w:bottom w:val="single" w:color="auto" w:sz="2" w:space="0"/>
              <w:right w:val="single" w:color="auto" w:sz="2" w:space="0"/>
            </w:tcBorders>
            <w:vAlign w:val="center"/>
          </w:tcPr>
          <w:p w14:paraId="059F92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供应商3</w:t>
            </w:r>
          </w:p>
        </w:tc>
        <w:tc>
          <w:tcPr>
            <w:tcW w:w="0" w:type="auto"/>
            <w:tcBorders>
              <w:top w:val="single" w:color="auto" w:sz="2" w:space="0"/>
              <w:left w:val="single" w:color="auto" w:sz="2" w:space="0"/>
              <w:bottom w:val="single" w:color="auto" w:sz="2" w:space="0"/>
              <w:right w:val="single" w:color="auto" w:sz="2" w:space="0"/>
            </w:tcBorders>
            <w:vAlign w:val="center"/>
          </w:tcPr>
          <w:p w14:paraId="5E82472E">
            <w:pPr>
              <w:jc w:val="right"/>
              <w:rPr>
                <w:rFonts w:ascii="Times New Roman" w:hAnsi="Times New Roman" w:eastAsia="宋体" w:cs="Times New Roman"/>
                <w:sz w:val="18"/>
                <w:szCs w:val="18"/>
              </w:rPr>
            </w:pPr>
            <w:r>
              <w:rPr>
                <w:rFonts w:ascii="Times New Roman" w:hAnsi="Times New Roman" w:cs="Times New Roman"/>
                <w:sz w:val="18"/>
                <w:szCs w:val="18"/>
              </w:rPr>
              <w:t>14,250.00</w:t>
            </w:r>
          </w:p>
        </w:tc>
        <w:tc>
          <w:tcPr>
            <w:tcW w:w="0" w:type="auto"/>
            <w:tcBorders>
              <w:top w:val="single" w:color="auto" w:sz="2" w:space="0"/>
              <w:left w:val="single" w:color="auto" w:sz="2" w:space="0"/>
              <w:bottom w:val="single" w:color="auto" w:sz="2" w:space="0"/>
              <w:right w:val="single" w:color="auto" w:sz="2" w:space="0"/>
            </w:tcBorders>
            <w:vAlign w:val="center"/>
          </w:tcPr>
          <w:p w14:paraId="5BB1A8C1">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30243FEE">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6C79A45E">
            <w:pPr>
              <w:jc w:val="right"/>
              <w:rPr>
                <w:rFonts w:ascii="Times New Roman" w:hAnsi="Times New Roman" w:eastAsia="宋体" w:cs="Times New Roman"/>
                <w:sz w:val="18"/>
                <w:szCs w:val="18"/>
              </w:rPr>
            </w:pPr>
            <w:r>
              <w:rPr>
                <w:rFonts w:ascii="Times New Roman" w:hAnsi="Times New Roman" w:cs="Times New Roman"/>
                <w:sz w:val="18"/>
                <w:szCs w:val="18"/>
              </w:rPr>
              <w:t>14,250.00</w:t>
            </w:r>
          </w:p>
        </w:tc>
        <w:tc>
          <w:tcPr>
            <w:tcW w:w="0" w:type="auto"/>
            <w:tcBorders>
              <w:top w:val="single" w:color="auto" w:sz="2" w:space="0"/>
              <w:left w:val="single" w:color="auto" w:sz="2" w:space="0"/>
              <w:bottom w:val="single" w:color="auto" w:sz="2" w:space="0"/>
              <w:right w:val="single" w:color="auto" w:sz="2" w:space="0"/>
            </w:tcBorders>
            <w:vAlign w:val="center"/>
          </w:tcPr>
          <w:p w14:paraId="66BCA25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75AA918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5DB5B88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A10B0A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66571B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505D4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高性能服务器</w:t>
            </w:r>
          </w:p>
        </w:tc>
        <w:tc>
          <w:tcPr>
            <w:tcW w:w="0" w:type="auto"/>
            <w:tcBorders>
              <w:top w:val="single" w:color="auto" w:sz="2" w:space="0"/>
              <w:left w:val="single" w:color="auto" w:sz="2" w:space="0"/>
              <w:bottom w:val="single" w:color="auto" w:sz="2" w:space="0"/>
              <w:right w:val="single" w:color="auto" w:sz="2" w:space="0"/>
            </w:tcBorders>
            <w:vAlign w:val="center"/>
          </w:tcPr>
          <w:p w14:paraId="6B6FA65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供应商4</w:t>
            </w:r>
          </w:p>
        </w:tc>
        <w:tc>
          <w:tcPr>
            <w:tcW w:w="0" w:type="auto"/>
            <w:tcBorders>
              <w:top w:val="single" w:color="auto" w:sz="2" w:space="0"/>
              <w:left w:val="single" w:color="auto" w:sz="2" w:space="0"/>
              <w:bottom w:val="single" w:color="auto" w:sz="2" w:space="0"/>
              <w:right w:val="single" w:color="auto" w:sz="2" w:space="0"/>
            </w:tcBorders>
            <w:vAlign w:val="center"/>
          </w:tcPr>
          <w:p w14:paraId="6B9927FB">
            <w:pPr>
              <w:jc w:val="right"/>
              <w:rPr>
                <w:rFonts w:ascii="Times New Roman" w:hAnsi="Times New Roman" w:eastAsia="宋体" w:cs="Times New Roman"/>
                <w:sz w:val="18"/>
                <w:szCs w:val="18"/>
              </w:rPr>
            </w:pPr>
            <w:r>
              <w:rPr>
                <w:rFonts w:ascii="Times New Roman" w:hAnsi="Times New Roman" w:cs="Times New Roman"/>
                <w:sz w:val="18"/>
                <w:szCs w:val="18"/>
              </w:rPr>
              <w:t>8,750.00</w:t>
            </w:r>
          </w:p>
        </w:tc>
        <w:tc>
          <w:tcPr>
            <w:tcW w:w="0" w:type="auto"/>
            <w:tcBorders>
              <w:top w:val="single" w:color="auto" w:sz="2" w:space="0"/>
              <w:left w:val="single" w:color="auto" w:sz="2" w:space="0"/>
              <w:bottom w:val="single" w:color="auto" w:sz="2" w:space="0"/>
              <w:right w:val="single" w:color="auto" w:sz="2" w:space="0"/>
            </w:tcBorders>
            <w:vAlign w:val="center"/>
          </w:tcPr>
          <w:p w14:paraId="6D7903DB">
            <w:pPr>
              <w:jc w:val="right"/>
              <w:rPr>
                <w:rFonts w:ascii="Times New Roman" w:hAnsi="Times New Roman" w:eastAsia="宋体" w:cs="Times New Roman"/>
                <w:sz w:val="18"/>
                <w:szCs w:val="18"/>
              </w:rPr>
            </w:pPr>
            <w:r>
              <w:rPr>
                <w:rFonts w:ascii="Times New Roman" w:hAnsi="Times New Roman" w:cs="Times New Roman"/>
                <w:sz w:val="18"/>
                <w:szCs w:val="18"/>
              </w:rPr>
              <w:t>4,000.00</w:t>
            </w:r>
          </w:p>
        </w:tc>
        <w:tc>
          <w:tcPr>
            <w:tcW w:w="0" w:type="auto"/>
            <w:tcBorders>
              <w:top w:val="single" w:color="auto" w:sz="2" w:space="0"/>
              <w:left w:val="single" w:color="auto" w:sz="2" w:space="0"/>
              <w:bottom w:val="single" w:color="auto" w:sz="2" w:space="0"/>
              <w:right w:val="single" w:color="auto" w:sz="2" w:space="0"/>
            </w:tcBorders>
            <w:vAlign w:val="center"/>
          </w:tcPr>
          <w:p w14:paraId="4901EF88">
            <w:pPr>
              <w:jc w:val="right"/>
              <w:rPr>
                <w:rFonts w:ascii="Times New Roman" w:hAnsi="Times New Roman" w:eastAsia="宋体" w:cs="Times New Roman"/>
                <w:sz w:val="18"/>
                <w:szCs w:val="18"/>
              </w:rPr>
            </w:pPr>
            <w:r>
              <w:rPr>
                <w:rFonts w:ascii="Times New Roman" w:hAnsi="Times New Roman" w:cs="Times New Roman"/>
                <w:sz w:val="18"/>
                <w:szCs w:val="18"/>
              </w:rPr>
              <w:t>4,000.00</w:t>
            </w:r>
          </w:p>
        </w:tc>
        <w:tc>
          <w:tcPr>
            <w:tcW w:w="0" w:type="auto"/>
            <w:tcBorders>
              <w:top w:val="single" w:color="auto" w:sz="2" w:space="0"/>
              <w:left w:val="single" w:color="auto" w:sz="2" w:space="0"/>
              <w:bottom w:val="single" w:color="auto" w:sz="2" w:space="0"/>
              <w:right w:val="single" w:color="auto" w:sz="2" w:space="0"/>
            </w:tcBorders>
            <w:vAlign w:val="center"/>
          </w:tcPr>
          <w:p w14:paraId="4657D842">
            <w:pPr>
              <w:jc w:val="right"/>
              <w:rPr>
                <w:rFonts w:ascii="Times New Roman" w:hAnsi="Times New Roman" w:eastAsia="宋体" w:cs="Times New Roman"/>
                <w:sz w:val="18"/>
                <w:szCs w:val="18"/>
              </w:rPr>
            </w:pPr>
            <w:r>
              <w:rPr>
                <w:rFonts w:ascii="Times New Roman" w:hAnsi="Times New Roman" w:cs="Times New Roman"/>
                <w:sz w:val="18"/>
                <w:szCs w:val="18"/>
              </w:rPr>
              <w:t>4,750.00</w:t>
            </w:r>
          </w:p>
        </w:tc>
        <w:tc>
          <w:tcPr>
            <w:tcW w:w="0" w:type="auto"/>
            <w:tcBorders>
              <w:top w:val="single" w:color="auto" w:sz="2" w:space="0"/>
              <w:left w:val="single" w:color="auto" w:sz="2" w:space="0"/>
              <w:bottom w:val="single" w:color="auto" w:sz="2" w:space="0"/>
              <w:right w:val="single" w:color="auto" w:sz="2" w:space="0"/>
            </w:tcBorders>
            <w:vAlign w:val="center"/>
          </w:tcPr>
          <w:p w14:paraId="0498E43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19FEC8D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1972DCC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6E40DAB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5C4A92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59D46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测评费</w:t>
            </w:r>
          </w:p>
        </w:tc>
        <w:tc>
          <w:tcPr>
            <w:tcW w:w="0" w:type="auto"/>
            <w:tcBorders>
              <w:top w:val="single" w:color="auto" w:sz="2" w:space="0"/>
              <w:left w:val="single" w:color="auto" w:sz="2" w:space="0"/>
              <w:bottom w:val="single" w:color="auto" w:sz="2" w:space="0"/>
              <w:right w:val="single" w:color="auto" w:sz="2" w:space="0"/>
            </w:tcBorders>
            <w:vAlign w:val="center"/>
          </w:tcPr>
          <w:p w14:paraId="6D746B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供应商5</w:t>
            </w:r>
          </w:p>
        </w:tc>
        <w:tc>
          <w:tcPr>
            <w:tcW w:w="0" w:type="auto"/>
            <w:tcBorders>
              <w:top w:val="single" w:color="auto" w:sz="2" w:space="0"/>
              <w:left w:val="single" w:color="auto" w:sz="2" w:space="0"/>
              <w:bottom w:val="single" w:color="auto" w:sz="2" w:space="0"/>
              <w:right w:val="single" w:color="auto" w:sz="2" w:space="0"/>
            </w:tcBorders>
            <w:vAlign w:val="center"/>
          </w:tcPr>
          <w:p w14:paraId="41664829">
            <w:pPr>
              <w:jc w:val="right"/>
              <w:rPr>
                <w:rFonts w:ascii="Times New Roman" w:hAnsi="Times New Roman" w:eastAsia="宋体" w:cs="Times New Roman"/>
                <w:sz w:val="18"/>
                <w:szCs w:val="18"/>
              </w:rPr>
            </w:pPr>
            <w:r>
              <w:rPr>
                <w:rFonts w:ascii="Times New Roman" w:hAnsi="Times New Roman" w:cs="Times New Roman"/>
                <w:sz w:val="18"/>
                <w:szCs w:val="18"/>
              </w:rPr>
              <w:t>3.00</w:t>
            </w:r>
          </w:p>
        </w:tc>
        <w:tc>
          <w:tcPr>
            <w:tcW w:w="0" w:type="auto"/>
            <w:tcBorders>
              <w:top w:val="single" w:color="auto" w:sz="2" w:space="0"/>
              <w:left w:val="single" w:color="auto" w:sz="2" w:space="0"/>
              <w:bottom w:val="single" w:color="auto" w:sz="2" w:space="0"/>
              <w:right w:val="single" w:color="auto" w:sz="2" w:space="0"/>
            </w:tcBorders>
            <w:vAlign w:val="center"/>
          </w:tcPr>
          <w:p w14:paraId="749B6844">
            <w:pPr>
              <w:jc w:val="right"/>
              <w:rPr>
                <w:rFonts w:ascii="Times New Roman" w:hAnsi="Times New Roman" w:eastAsia="宋体" w:cs="Times New Roman"/>
                <w:sz w:val="18"/>
                <w:szCs w:val="18"/>
              </w:rPr>
            </w:pPr>
            <w:r>
              <w:rPr>
                <w:rFonts w:ascii="Times New Roman" w:hAnsi="Times New Roman" w:cs="Times New Roman"/>
                <w:sz w:val="18"/>
                <w:szCs w:val="18"/>
              </w:rPr>
              <w:t>3.00</w:t>
            </w:r>
          </w:p>
        </w:tc>
        <w:tc>
          <w:tcPr>
            <w:tcW w:w="0" w:type="auto"/>
            <w:tcBorders>
              <w:top w:val="single" w:color="auto" w:sz="2" w:space="0"/>
              <w:left w:val="single" w:color="auto" w:sz="2" w:space="0"/>
              <w:bottom w:val="single" w:color="auto" w:sz="2" w:space="0"/>
              <w:right w:val="single" w:color="auto" w:sz="2" w:space="0"/>
            </w:tcBorders>
            <w:vAlign w:val="center"/>
          </w:tcPr>
          <w:p w14:paraId="5769654B">
            <w:pPr>
              <w:jc w:val="right"/>
              <w:rPr>
                <w:rFonts w:ascii="Times New Roman" w:hAnsi="Times New Roman" w:eastAsia="宋体" w:cs="Times New Roman"/>
                <w:sz w:val="18"/>
                <w:szCs w:val="18"/>
              </w:rPr>
            </w:pPr>
            <w:r>
              <w:rPr>
                <w:rFonts w:ascii="Times New Roman" w:hAnsi="Times New Roman" w:cs="Times New Roman"/>
                <w:sz w:val="18"/>
                <w:szCs w:val="18"/>
              </w:rPr>
              <w:t>3.00</w:t>
            </w:r>
          </w:p>
        </w:tc>
        <w:tc>
          <w:tcPr>
            <w:tcW w:w="0" w:type="auto"/>
            <w:tcBorders>
              <w:top w:val="single" w:color="auto" w:sz="2" w:space="0"/>
              <w:left w:val="single" w:color="auto" w:sz="2" w:space="0"/>
              <w:bottom w:val="single" w:color="auto" w:sz="2" w:space="0"/>
              <w:right w:val="single" w:color="auto" w:sz="2" w:space="0"/>
            </w:tcBorders>
            <w:vAlign w:val="center"/>
          </w:tcPr>
          <w:p w14:paraId="0D3883EB">
            <w:pPr>
              <w:jc w:val="right"/>
              <w:rPr>
                <w:rFonts w:ascii="Times New Roman" w:hAnsi="Times New Roman" w:eastAsia="宋体" w:cs="Times New Roman"/>
                <w:sz w:val="18"/>
                <w:szCs w:val="18"/>
              </w:rPr>
            </w:pPr>
            <w:r>
              <w:rPr>
                <w:rFonts w:ascii="Times New Roman" w:hAnsi="Times New Roman" w:cs="Times New Roman"/>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6902E7D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0" w:type="auto"/>
            <w:tcBorders>
              <w:top w:val="single" w:color="auto" w:sz="2" w:space="0"/>
              <w:left w:val="single" w:color="auto" w:sz="2" w:space="0"/>
              <w:bottom w:val="single" w:color="auto" w:sz="2" w:space="0"/>
              <w:right w:val="single" w:color="auto" w:sz="2" w:space="0"/>
            </w:tcBorders>
            <w:vAlign w:val="center"/>
          </w:tcPr>
          <w:p w14:paraId="6275435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2C9A364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0" w:type="auto"/>
            <w:tcBorders>
              <w:top w:val="single" w:color="auto" w:sz="2" w:space="0"/>
              <w:left w:val="single" w:color="auto" w:sz="2" w:space="0"/>
              <w:bottom w:val="single" w:color="auto" w:sz="2" w:space="0"/>
              <w:right w:val="single" w:color="auto" w:sz="2" w:space="0"/>
            </w:tcBorders>
            <w:vAlign w:val="center"/>
          </w:tcPr>
          <w:p w14:paraId="34A67CC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28F0ECF4">
      <w:pPr>
        <w:keepNext/>
        <w:keepLines/>
        <w:spacing w:before="300" w:after="300" w:line="280" w:lineRule="exact"/>
        <w:outlineLvl w:val="3"/>
        <w:rPr>
          <w:rFonts w:ascii="Times New Roman" w:hAnsi="Times New Roman" w:cs="Times New Roman" w:eastAsiaTheme="majorEastAsia"/>
          <w:b/>
          <w:bCs/>
          <w:sz w:val="18"/>
          <w:szCs w:val="18"/>
        </w:rPr>
      </w:pPr>
      <w:bookmarkStart w:id="23" w:name="_Toc988912"/>
      <w:r>
        <w:rPr>
          <w:rFonts w:ascii="Times New Roman" w:hAnsi="Times New Roman" w:cs="Times New Roman" w:eastAsiaTheme="majorEastAsia"/>
          <w:b/>
          <w:bCs/>
          <w:sz w:val="18"/>
          <w:szCs w:val="18"/>
        </w:rPr>
        <w:t>（5） 营业成本构成</w:t>
      </w:r>
      <w:bookmarkEnd w:id="23"/>
    </w:p>
    <w:p w14:paraId="30F4AF8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行业和产品分类</w:t>
      </w:r>
    </w:p>
    <w:p w14:paraId="6C7014AE">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Layout w:type="autofit"/>
        <w:tblCellMar>
          <w:top w:w="0" w:type="dxa"/>
          <w:left w:w="108" w:type="dxa"/>
          <w:bottom w:w="0" w:type="dxa"/>
          <w:right w:w="108" w:type="dxa"/>
        </w:tblCellMar>
      </w:tblPr>
      <w:tblGrid>
        <w:gridCol w:w="1643"/>
        <w:gridCol w:w="1584"/>
        <w:gridCol w:w="1870"/>
        <w:gridCol w:w="1699"/>
        <w:gridCol w:w="1870"/>
        <w:gridCol w:w="1187"/>
      </w:tblGrid>
      <w:tr w14:paraId="1C022900">
        <w:tblPrEx>
          <w:tblCellMar>
            <w:top w:w="0" w:type="dxa"/>
            <w:left w:w="108" w:type="dxa"/>
            <w:bottom w:w="0" w:type="dxa"/>
            <w:right w:w="108" w:type="dxa"/>
          </w:tblCellMar>
        </w:tblPrEx>
        <w:trPr>
          <w:trHeight w:val="300" w:hRule="atLeast"/>
        </w:trPr>
        <w:tc>
          <w:tcPr>
            <w:tcW w:w="834" w:type="pct"/>
            <w:vMerge w:val="restart"/>
            <w:tcBorders>
              <w:top w:val="single" w:color="auto" w:sz="4" w:space="0"/>
              <w:left w:val="single" w:color="auto" w:sz="4" w:space="0"/>
              <w:bottom w:val="single" w:color="auto" w:sz="4" w:space="0"/>
              <w:right w:val="single" w:color="auto" w:sz="4" w:space="0"/>
            </w:tcBorders>
            <w:shd w:val="clear" w:color="000000" w:fill="D3D3D3"/>
            <w:vAlign w:val="center"/>
          </w:tcPr>
          <w:p w14:paraId="6CF95F46">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行业分类</w:t>
            </w:r>
          </w:p>
        </w:tc>
        <w:tc>
          <w:tcPr>
            <w:tcW w:w="1753" w:type="pct"/>
            <w:gridSpan w:val="2"/>
            <w:tcBorders>
              <w:top w:val="single" w:color="auto" w:sz="4" w:space="0"/>
              <w:left w:val="nil"/>
              <w:bottom w:val="single" w:color="auto" w:sz="4" w:space="0"/>
              <w:right w:val="single" w:color="auto" w:sz="4" w:space="0"/>
            </w:tcBorders>
            <w:shd w:val="clear" w:color="000000" w:fill="D3D3D3"/>
            <w:vAlign w:val="center"/>
          </w:tcPr>
          <w:p w14:paraId="1B5A6290">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2024年</w:t>
            </w:r>
          </w:p>
        </w:tc>
        <w:tc>
          <w:tcPr>
            <w:tcW w:w="1811" w:type="pct"/>
            <w:gridSpan w:val="2"/>
            <w:tcBorders>
              <w:top w:val="single" w:color="auto" w:sz="4" w:space="0"/>
              <w:left w:val="nil"/>
              <w:bottom w:val="single" w:color="auto" w:sz="4" w:space="0"/>
              <w:right w:val="single" w:color="auto" w:sz="4" w:space="0"/>
            </w:tcBorders>
            <w:shd w:val="clear" w:color="000000" w:fill="D3D3D3"/>
            <w:vAlign w:val="center"/>
          </w:tcPr>
          <w:p w14:paraId="405455C2">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2023年</w:t>
            </w:r>
          </w:p>
        </w:tc>
        <w:tc>
          <w:tcPr>
            <w:tcW w:w="602" w:type="pct"/>
            <w:vMerge w:val="restart"/>
            <w:tcBorders>
              <w:top w:val="single" w:color="auto" w:sz="4" w:space="0"/>
              <w:left w:val="single" w:color="auto" w:sz="4" w:space="0"/>
              <w:bottom w:val="single" w:color="auto" w:sz="4" w:space="0"/>
              <w:right w:val="single" w:color="auto" w:sz="4" w:space="0"/>
            </w:tcBorders>
            <w:shd w:val="clear" w:color="000000" w:fill="D3D3D3"/>
            <w:vAlign w:val="center"/>
          </w:tcPr>
          <w:p w14:paraId="42BB21E9">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同比增减</w:t>
            </w:r>
          </w:p>
        </w:tc>
      </w:tr>
      <w:tr w14:paraId="7D1187EF">
        <w:tblPrEx>
          <w:tblCellMar>
            <w:top w:w="0" w:type="dxa"/>
            <w:left w:w="108" w:type="dxa"/>
            <w:bottom w:w="0" w:type="dxa"/>
            <w:right w:w="108" w:type="dxa"/>
          </w:tblCellMar>
        </w:tblPrEx>
        <w:trPr>
          <w:trHeight w:val="270" w:hRule="atLeast"/>
        </w:trPr>
        <w:tc>
          <w:tcPr>
            <w:tcW w:w="834" w:type="pct"/>
            <w:vMerge w:val="continue"/>
            <w:tcBorders>
              <w:top w:val="single" w:color="auto" w:sz="4" w:space="0"/>
              <w:left w:val="single" w:color="auto" w:sz="4" w:space="0"/>
              <w:bottom w:val="single" w:color="auto" w:sz="4" w:space="0"/>
              <w:right w:val="single" w:color="auto" w:sz="4" w:space="0"/>
            </w:tcBorders>
            <w:vAlign w:val="center"/>
          </w:tcPr>
          <w:p w14:paraId="22DFB265">
            <w:pPr>
              <w:widowControl/>
              <w:rPr>
                <w:rFonts w:ascii="Times New Roman" w:hAnsi="Times New Roman" w:eastAsia="宋体" w:cs="Times New Roman"/>
                <w:kern w:val="0"/>
                <w:sz w:val="18"/>
                <w:szCs w:val="18"/>
              </w:rPr>
            </w:pPr>
          </w:p>
        </w:tc>
        <w:tc>
          <w:tcPr>
            <w:tcW w:w="804" w:type="pct"/>
            <w:tcBorders>
              <w:top w:val="nil"/>
              <w:left w:val="nil"/>
              <w:bottom w:val="single" w:color="auto" w:sz="4" w:space="0"/>
              <w:right w:val="single" w:color="auto" w:sz="4" w:space="0"/>
            </w:tcBorders>
            <w:shd w:val="clear" w:color="000000" w:fill="D3D3D3"/>
            <w:vAlign w:val="center"/>
          </w:tcPr>
          <w:p w14:paraId="45B99073">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金额</w:t>
            </w:r>
          </w:p>
        </w:tc>
        <w:tc>
          <w:tcPr>
            <w:tcW w:w="949" w:type="pct"/>
            <w:tcBorders>
              <w:top w:val="nil"/>
              <w:left w:val="nil"/>
              <w:bottom w:val="single" w:color="auto" w:sz="4" w:space="0"/>
              <w:right w:val="single" w:color="auto" w:sz="4" w:space="0"/>
            </w:tcBorders>
            <w:shd w:val="clear" w:color="000000" w:fill="D3D3D3"/>
            <w:vAlign w:val="center"/>
          </w:tcPr>
          <w:p w14:paraId="47407361">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占营业成本比重</w:t>
            </w:r>
          </w:p>
        </w:tc>
        <w:tc>
          <w:tcPr>
            <w:tcW w:w="862" w:type="pct"/>
            <w:tcBorders>
              <w:top w:val="nil"/>
              <w:left w:val="nil"/>
              <w:bottom w:val="single" w:color="auto" w:sz="4" w:space="0"/>
              <w:right w:val="single" w:color="auto" w:sz="4" w:space="0"/>
            </w:tcBorders>
            <w:shd w:val="clear" w:color="000000" w:fill="D3D3D3"/>
            <w:vAlign w:val="center"/>
          </w:tcPr>
          <w:p w14:paraId="15CB4C74">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金额</w:t>
            </w:r>
          </w:p>
        </w:tc>
        <w:tc>
          <w:tcPr>
            <w:tcW w:w="949" w:type="pct"/>
            <w:tcBorders>
              <w:top w:val="nil"/>
              <w:left w:val="nil"/>
              <w:bottom w:val="single" w:color="auto" w:sz="4" w:space="0"/>
              <w:right w:val="single" w:color="auto" w:sz="4" w:space="0"/>
            </w:tcBorders>
            <w:shd w:val="clear" w:color="000000" w:fill="D3D3D3"/>
            <w:vAlign w:val="center"/>
          </w:tcPr>
          <w:p w14:paraId="3A35F296">
            <w:pPr>
              <w:widowControl/>
              <w:jc w:val="center"/>
              <w:rPr>
                <w:rFonts w:ascii="Times New Roman" w:hAnsi="Times New Roman" w:eastAsia="宋体" w:cs="Times New Roman"/>
                <w:kern w:val="0"/>
                <w:sz w:val="18"/>
                <w:szCs w:val="18"/>
              </w:rPr>
            </w:pPr>
            <w:r>
              <w:rPr>
                <w:rFonts w:ascii="Times New Roman" w:hAnsi="Times New Roman" w:eastAsia="宋体" w:cs="Times New Roman"/>
                <w:kern w:val="0"/>
                <w:sz w:val="18"/>
                <w:szCs w:val="18"/>
              </w:rPr>
              <w:t>占营业成本比重</w:t>
            </w:r>
          </w:p>
        </w:tc>
        <w:tc>
          <w:tcPr>
            <w:tcW w:w="602" w:type="pct"/>
            <w:vMerge w:val="continue"/>
            <w:tcBorders>
              <w:top w:val="single" w:color="auto" w:sz="4" w:space="0"/>
              <w:left w:val="single" w:color="auto" w:sz="4" w:space="0"/>
              <w:bottom w:val="single" w:color="auto" w:sz="4" w:space="0"/>
              <w:right w:val="single" w:color="auto" w:sz="4" w:space="0"/>
            </w:tcBorders>
            <w:vAlign w:val="center"/>
          </w:tcPr>
          <w:p w14:paraId="4E68E202">
            <w:pPr>
              <w:widowControl/>
              <w:rPr>
                <w:rFonts w:ascii="Times New Roman" w:hAnsi="Times New Roman" w:eastAsia="宋体" w:cs="Times New Roman"/>
                <w:kern w:val="0"/>
                <w:sz w:val="18"/>
                <w:szCs w:val="18"/>
              </w:rPr>
            </w:pPr>
          </w:p>
        </w:tc>
      </w:tr>
      <w:tr w14:paraId="71B0EAB3">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1F7788E6">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智慧政务</w:t>
            </w:r>
          </w:p>
        </w:tc>
        <w:tc>
          <w:tcPr>
            <w:tcW w:w="804" w:type="pct"/>
            <w:tcBorders>
              <w:top w:val="nil"/>
              <w:left w:val="nil"/>
              <w:bottom w:val="single" w:color="auto" w:sz="4" w:space="0"/>
              <w:right w:val="single" w:color="auto" w:sz="4" w:space="0"/>
            </w:tcBorders>
            <w:shd w:val="clear" w:color="auto" w:fill="auto"/>
            <w:vAlign w:val="center"/>
          </w:tcPr>
          <w:p w14:paraId="2700733C">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45,943,227.24</w:t>
            </w:r>
          </w:p>
        </w:tc>
        <w:tc>
          <w:tcPr>
            <w:tcW w:w="949" w:type="pct"/>
            <w:tcBorders>
              <w:top w:val="nil"/>
              <w:left w:val="nil"/>
              <w:bottom w:val="single" w:color="auto" w:sz="4" w:space="0"/>
              <w:right w:val="single" w:color="auto" w:sz="4" w:space="0"/>
            </w:tcBorders>
            <w:shd w:val="clear" w:color="auto" w:fill="auto"/>
            <w:vAlign w:val="center"/>
          </w:tcPr>
          <w:p w14:paraId="357B1CE1">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21.28%</w:t>
            </w:r>
          </w:p>
        </w:tc>
        <w:tc>
          <w:tcPr>
            <w:tcW w:w="862" w:type="pct"/>
            <w:tcBorders>
              <w:top w:val="nil"/>
              <w:left w:val="nil"/>
              <w:bottom w:val="single" w:color="auto" w:sz="4" w:space="0"/>
              <w:right w:val="single" w:color="auto" w:sz="4" w:space="0"/>
            </w:tcBorders>
            <w:shd w:val="clear" w:color="auto" w:fill="auto"/>
            <w:vAlign w:val="center"/>
          </w:tcPr>
          <w:p w14:paraId="7F397A73">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157,643,668.71</w:t>
            </w:r>
          </w:p>
        </w:tc>
        <w:tc>
          <w:tcPr>
            <w:tcW w:w="949" w:type="pct"/>
            <w:tcBorders>
              <w:top w:val="nil"/>
              <w:left w:val="nil"/>
              <w:bottom w:val="single" w:color="auto" w:sz="4" w:space="0"/>
              <w:right w:val="single" w:color="auto" w:sz="4" w:space="0"/>
            </w:tcBorders>
            <w:shd w:val="clear" w:color="auto" w:fill="auto"/>
            <w:vAlign w:val="center"/>
          </w:tcPr>
          <w:p w14:paraId="04D46DAD">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48.21%</w:t>
            </w:r>
          </w:p>
        </w:tc>
        <w:tc>
          <w:tcPr>
            <w:tcW w:w="602" w:type="pct"/>
            <w:tcBorders>
              <w:top w:val="nil"/>
              <w:left w:val="nil"/>
              <w:bottom w:val="single" w:color="auto" w:sz="4" w:space="0"/>
              <w:right w:val="single" w:color="auto" w:sz="4" w:space="0"/>
            </w:tcBorders>
            <w:shd w:val="clear" w:color="auto" w:fill="auto"/>
            <w:vAlign w:val="center"/>
          </w:tcPr>
          <w:p w14:paraId="55A8A6B3">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-70.86%</w:t>
            </w:r>
          </w:p>
        </w:tc>
      </w:tr>
      <w:tr w14:paraId="76E36E8E">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15331097">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智慧企业</w:t>
            </w:r>
          </w:p>
        </w:tc>
        <w:tc>
          <w:tcPr>
            <w:tcW w:w="804" w:type="pct"/>
            <w:tcBorders>
              <w:top w:val="nil"/>
              <w:left w:val="nil"/>
              <w:bottom w:val="single" w:color="auto" w:sz="4" w:space="0"/>
              <w:right w:val="single" w:color="auto" w:sz="4" w:space="0"/>
            </w:tcBorders>
            <w:shd w:val="clear" w:color="auto" w:fill="auto"/>
            <w:vAlign w:val="center"/>
          </w:tcPr>
          <w:p w14:paraId="4B53D804">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32,092,342.16</w:t>
            </w:r>
          </w:p>
        </w:tc>
        <w:tc>
          <w:tcPr>
            <w:tcW w:w="949" w:type="pct"/>
            <w:tcBorders>
              <w:top w:val="nil"/>
              <w:left w:val="nil"/>
              <w:bottom w:val="single" w:color="auto" w:sz="4" w:space="0"/>
              <w:right w:val="single" w:color="auto" w:sz="4" w:space="0"/>
            </w:tcBorders>
            <w:shd w:val="clear" w:color="auto" w:fill="auto"/>
            <w:vAlign w:val="center"/>
          </w:tcPr>
          <w:p w14:paraId="72F002E7">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19.40%</w:t>
            </w:r>
          </w:p>
        </w:tc>
        <w:tc>
          <w:tcPr>
            <w:tcW w:w="862" w:type="pct"/>
            <w:tcBorders>
              <w:top w:val="nil"/>
              <w:left w:val="nil"/>
              <w:bottom w:val="single" w:color="auto" w:sz="4" w:space="0"/>
              <w:right w:val="single" w:color="auto" w:sz="4" w:space="0"/>
            </w:tcBorders>
            <w:shd w:val="clear" w:color="auto" w:fill="auto"/>
            <w:vAlign w:val="center"/>
          </w:tcPr>
          <w:p w14:paraId="386720D0">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27,546,353.00</w:t>
            </w:r>
          </w:p>
        </w:tc>
        <w:tc>
          <w:tcPr>
            <w:tcW w:w="949" w:type="pct"/>
            <w:tcBorders>
              <w:top w:val="nil"/>
              <w:left w:val="nil"/>
              <w:bottom w:val="single" w:color="auto" w:sz="4" w:space="0"/>
              <w:right w:val="single" w:color="auto" w:sz="4" w:space="0"/>
            </w:tcBorders>
            <w:shd w:val="clear" w:color="auto" w:fill="auto"/>
            <w:vAlign w:val="center"/>
          </w:tcPr>
          <w:p w14:paraId="01F17FC3">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8.42%</w:t>
            </w:r>
          </w:p>
        </w:tc>
        <w:tc>
          <w:tcPr>
            <w:tcW w:w="602" w:type="pct"/>
            <w:tcBorders>
              <w:top w:val="nil"/>
              <w:left w:val="nil"/>
              <w:bottom w:val="single" w:color="auto" w:sz="4" w:space="0"/>
              <w:right w:val="single" w:color="auto" w:sz="4" w:space="0"/>
            </w:tcBorders>
            <w:shd w:val="clear" w:color="auto" w:fill="auto"/>
            <w:vAlign w:val="center"/>
          </w:tcPr>
          <w:p w14:paraId="2C80AB71">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16.50%</w:t>
            </w:r>
          </w:p>
        </w:tc>
      </w:tr>
      <w:tr w14:paraId="15C0831D">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526E926D">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智慧教育</w:t>
            </w:r>
          </w:p>
        </w:tc>
        <w:tc>
          <w:tcPr>
            <w:tcW w:w="804" w:type="pct"/>
            <w:tcBorders>
              <w:top w:val="nil"/>
              <w:left w:val="nil"/>
              <w:bottom w:val="single" w:color="auto" w:sz="4" w:space="0"/>
              <w:right w:val="single" w:color="auto" w:sz="4" w:space="0"/>
            </w:tcBorders>
            <w:shd w:val="clear" w:color="auto" w:fill="auto"/>
            <w:vAlign w:val="center"/>
          </w:tcPr>
          <w:p w14:paraId="6753ACBB">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73,132,458.49</w:t>
            </w:r>
          </w:p>
        </w:tc>
        <w:tc>
          <w:tcPr>
            <w:tcW w:w="949" w:type="pct"/>
            <w:tcBorders>
              <w:top w:val="nil"/>
              <w:left w:val="nil"/>
              <w:bottom w:val="single" w:color="auto" w:sz="4" w:space="0"/>
              <w:right w:val="single" w:color="auto" w:sz="4" w:space="0"/>
            </w:tcBorders>
            <w:shd w:val="clear" w:color="auto" w:fill="auto"/>
            <w:vAlign w:val="center"/>
          </w:tcPr>
          <w:p w14:paraId="6F282118">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36.31%</w:t>
            </w:r>
          </w:p>
        </w:tc>
        <w:tc>
          <w:tcPr>
            <w:tcW w:w="862" w:type="pct"/>
            <w:tcBorders>
              <w:top w:val="nil"/>
              <w:left w:val="nil"/>
              <w:bottom w:val="single" w:color="auto" w:sz="4" w:space="0"/>
              <w:right w:val="single" w:color="auto" w:sz="4" w:space="0"/>
            </w:tcBorders>
            <w:shd w:val="clear" w:color="auto" w:fill="auto"/>
            <w:vAlign w:val="center"/>
          </w:tcPr>
          <w:p w14:paraId="2A0993E7">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117,127,349.70</w:t>
            </w:r>
          </w:p>
        </w:tc>
        <w:tc>
          <w:tcPr>
            <w:tcW w:w="949" w:type="pct"/>
            <w:tcBorders>
              <w:top w:val="nil"/>
              <w:left w:val="nil"/>
              <w:bottom w:val="single" w:color="auto" w:sz="4" w:space="0"/>
              <w:right w:val="single" w:color="auto" w:sz="4" w:space="0"/>
            </w:tcBorders>
            <w:shd w:val="clear" w:color="auto" w:fill="auto"/>
            <w:vAlign w:val="center"/>
          </w:tcPr>
          <w:p w14:paraId="22E0F911">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35.82%</w:t>
            </w:r>
          </w:p>
        </w:tc>
        <w:tc>
          <w:tcPr>
            <w:tcW w:w="602" w:type="pct"/>
            <w:tcBorders>
              <w:top w:val="nil"/>
              <w:left w:val="nil"/>
              <w:bottom w:val="single" w:color="auto" w:sz="4" w:space="0"/>
              <w:right w:val="single" w:color="auto" w:sz="4" w:space="0"/>
            </w:tcBorders>
            <w:shd w:val="clear" w:color="auto" w:fill="auto"/>
            <w:vAlign w:val="center"/>
          </w:tcPr>
          <w:p w14:paraId="0C9FB296">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-37.56%</w:t>
            </w:r>
          </w:p>
        </w:tc>
      </w:tr>
      <w:tr w14:paraId="42117BDD">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7FF77A0A">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智慧医疗</w:t>
            </w:r>
          </w:p>
        </w:tc>
        <w:tc>
          <w:tcPr>
            <w:tcW w:w="804" w:type="pct"/>
            <w:tcBorders>
              <w:top w:val="nil"/>
              <w:left w:val="nil"/>
              <w:bottom w:val="single" w:color="auto" w:sz="4" w:space="0"/>
              <w:right w:val="single" w:color="auto" w:sz="4" w:space="0"/>
            </w:tcBorders>
            <w:shd w:val="clear" w:color="auto" w:fill="auto"/>
            <w:vAlign w:val="center"/>
          </w:tcPr>
          <w:p w14:paraId="4E77BAE7">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23,737,976.17</w:t>
            </w:r>
          </w:p>
        </w:tc>
        <w:tc>
          <w:tcPr>
            <w:tcW w:w="949" w:type="pct"/>
            <w:tcBorders>
              <w:top w:val="nil"/>
              <w:left w:val="nil"/>
              <w:bottom w:val="single" w:color="auto" w:sz="4" w:space="0"/>
              <w:right w:val="single" w:color="auto" w:sz="4" w:space="0"/>
            </w:tcBorders>
            <w:shd w:val="clear" w:color="auto" w:fill="auto"/>
            <w:vAlign w:val="center"/>
          </w:tcPr>
          <w:p w14:paraId="57474DF1">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11.59%</w:t>
            </w:r>
          </w:p>
        </w:tc>
        <w:tc>
          <w:tcPr>
            <w:tcW w:w="862" w:type="pct"/>
            <w:tcBorders>
              <w:top w:val="nil"/>
              <w:left w:val="nil"/>
              <w:bottom w:val="single" w:color="auto" w:sz="4" w:space="0"/>
              <w:right w:val="single" w:color="auto" w:sz="4" w:space="0"/>
            </w:tcBorders>
            <w:shd w:val="clear" w:color="auto" w:fill="auto"/>
            <w:vAlign w:val="center"/>
          </w:tcPr>
          <w:p w14:paraId="6AC3C43D">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24,709,609.76</w:t>
            </w:r>
          </w:p>
        </w:tc>
        <w:tc>
          <w:tcPr>
            <w:tcW w:w="949" w:type="pct"/>
            <w:tcBorders>
              <w:top w:val="nil"/>
              <w:left w:val="nil"/>
              <w:bottom w:val="single" w:color="auto" w:sz="4" w:space="0"/>
              <w:right w:val="single" w:color="auto" w:sz="4" w:space="0"/>
            </w:tcBorders>
            <w:shd w:val="clear" w:color="auto" w:fill="auto"/>
            <w:vAlign w:val="center"/>
          </w:tcPr>
          <w:p w14:paraId="774D3F17">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7.56%</w:t>
            </w:r>
          </w:p>
        </w:tc>
        <w:tc>
          <w:tcPr>
            <w:tcW w:w="602" w:type="pct"/>
            <w:tcBorders>
              <w:top w:val="nil"/>
              <w:left w:val="nil"/>
              <w:bottom w:val="single" w:color="auto" w:sz="4" w:space="0"/>
              <w:right w:val="single" w:color="auto" w:sz="4" w:space="0"/>
            </w:tcBorders>
            <w:shd w:val="clear" w:color="auto" w:fill="auto"/>
            <w:vAlign w:val="center"/>
          </w:tcPr>
          <w:p w14:paraId="5E6FC096">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-3.93%</w:t>
            </w:r>
          </w:p>
        </w:tc>
      </w:tr>
      <w:tr w14:paraId="3757FC15">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18C3ECF3">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轨道交通</w:t>
            </w:r>
          </w:p>
        </w:tc>
        <w:tc>
          <w:tcPr>
            <w:tcW w:w="804" w:type="pct"/>
            <w:tcBorders>
              <w:top w:val="nil"/>
              <w:left w:val="nil"/>
              <w:bottom w:val="single" w:color="auto" w:sz="4" w:space="0"/>
              <w:right w:val="single" w:color="auto" w:sz="4" w:space="0"/>
            </w:tcBorders>
            <w:shd w:val="clear" w:color="auto" w:fill="auto"/>
            <w:vAlign w:val="center"/>
          </w:tcPr>
          <w:p w14:paraId="043C758F">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18,838,306.49</w:t>
            </w:r>
          </w:p>
        </w:tc>
        <w:tc>
          <w:tcPr>
            <w:tcW w:w="949" w:type="pct"/>
            <w:tcBorders>
              <w:top w:val="nil"/>
              <w:left w:val="nil"/>
              <w:bottom w:val="single" w:color="auto" w:sz="4" w:space="0"/>
              <w:right w:val="single" w:color="auto" w:sz="4" w:space="0"/>
            </w:tcBorders>
            <w:shd w:val="clear" w:color="auto" w:fill="auto"/>
            <w:vAlign w:val="center"/>
          </w:tcPr>
          <w:p w14:paraId="0A6F90A3">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10.48%</w:t>
            </w:r>
          </w:p>
        </w:tc>
        <w:tc>
          <w:tcPr>
            <w:tcW w:w="862" w:type="pct"/>
            <w:tcBorders>
              <w:top w:val="nil"/>
              <w:left w:val="nil"/>
              <w:bottom w:val="single" w:color="auto" w:sz="4" w:space="0"/>
              <w:right w:val="single" w:color="auto" w:sz="4" w:space="0"/>
            </w:tcBorders>
            <w:shd w:val="clear" w:color="auto" w:fill="auto"/>
            <w:vAlign w:val="center"/>
          </w:tcPr>
          <w:p w14:paraId="7BFC66D2">
            <w:pPr>
              <w:widowControl/>
              <w:jc w:val="right"/>
              <w:rPr>
                <w:rFonts w:ascii="Times New Roman" w:hAnsi="Times New Roman" w:eastAsia="宋体" w:cs="Times New Roman"/>
                <w:kern w:val="0"/>
                <w:sz w:val="18"/>
                <w:szCs w:val="18"/>
              </w:rPr>
            </w:pPr>
          </w:p>
        </w:tc>
        <w:tc>
          <w:tcPr>
            <w:tcW w:w="949" w:type="pct"/>
            <w:tcBorders>
              <w:top w:val="nil"/>
              <w:left w:val="nil"/>
              <w:bottom w:val="single" w:color="auto" w:sz="4" w:space="0"/>
              <w:right w:val="single" w:color="auto" w:sz="4" w:space="0"/>
            </w:tcBorders>
            <w:shd w:val="clear" w:color="auto" w:fill="auto"/>
            <w:vAlign w:val="center"/>
          </w:tcPr>
          <w:p w14:paraId="645D935F">
            <w:pPr>
              <w:widowControl/>
              <w:jc w:val="right"/>
              <w:rPr>
                <w:rFonts w:ascii="Times New Roman" w:hAnsi="Times New Roman" w:eastAsia="宋体" w:cs="Times New Roman"/>
                <w:kern w:val="0"/>
                <w:sz w:val="18"/>
                <w:szCs w:val="18"/>
              </w:rPr>
            </w:pPr>
          </w:p>
        </w:tc>
        <w:tc>
          <w:tcPr>
            <w:tcW w:w="602" w:type="pct"/>
            <w:tcBorders>
              <w:top w:val="nil"/>
              <w:left w:val="nil"/>
              <w:bottom w:val="single" w:color="auto" w:sz="4" w:space="0"/>
              <w:right w:val="single" w:color="auto" w:sz="4" w:space="0"/>
            </w:tcBorders>
            <w:shd w:val="clear" w:color="auto" w:fill="auto"/>
            <w:vAlign w:val="center"/>
          </w:tcPr>
          <w:p w14:paraId="03240D3F">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100.00%</w:t>
            </w:r>
          </w:p>
        </w:tc>
      </w:tr>
      <w:tr w14:paraId="2F60F8DB">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657DAA1B">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新能源电力</w:t>
            </w:r>
          </w:p>
        </w:tc>
        <w:tc>
          <w:tcPr>
            <w:tcW w:w="804" w:type="pct"/>
            <w:tcBorders>
              <w:top w:val="nil"/>
              <w:left w:val="nil"/>
              <w:bottom w:val="single" w:color="auto" w:sz="4" w:space="0"/>
              <w:right w:val="single" w:color="auto" w:sz="4" w:space="0"/>
            </w:tcBorders>
            <w:shd w:val="clear" w:color="auto" w:fill="auto"/>
            <w:vAlign w:val="center"/>
          </w:tcPr>
          <w:p w14:paraId="5A0630DD">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412,519.37</w:t>
            </w:r>
          </w:p>
        </w:tc>
        <w:tc>
          <w:tcPr>
            <w:tcW w:w="949" w:type="pct"/>
            <w:tcBorders>
              <w:top w:val="nil"/>
              <w:left w:val="nil"/>
              <w:bottom w:val="single" w:color="auto" w:sz="4" w:space="0"/>
              <w:right w:val="single" w:color="auto" w:sz="4" w:space="0"/>
            </w:tcBorders>
            <w:shd w:val="clear" w:color="auto" w:fill="auto"/>
            <w:vAlign w:val="center"/>
          </w:tcPr>
          <w:p w14:paraId="26E8D01B">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0.29%</w:t>
            </w:r>
          </w:p>
        </w:tc>
        <w:tc>
          <w:tcPr>
            <w:tcW w:w="862" w:type="pct"/>
            <w:tcBorders>
              <w:top w:val="nil"/>
              <w:left w:val="nil"/>
              <w:bottom w:val="single" w:color="auto" w:sz="4" w:space="0"/>
              <w:right w:val="single" w:color="auto" w:sz="4" w:space="0"/>
            </w:tcBorders>
            <w:shd w:val="clear" w:color="auto" w:fill="auto"/>
            <w:vAlign w:val="center"/>
          </w:tcPr>
          <w:p w14:paraId="454F846C">
            <w:pPr>
              <w:widowControl/>
              <w:jc w:val="right"/>
              <w:rPr>
                <w:rFonts w:ascii="Times New Roman" w:hAnsi="Times New Roman" w:eastAsia="宋体" w:cs="Times New Roman"/>
                <w:kern w:val="0"/>
                <w:sz w:val="18"/>
                <w:szCs w:val="18"/>
              </w:rPr>
            </w:pPr>
          </w:p>
        </w:tc>
        <w:tc>
          <w:tcPr>
            <w:tcW w:w="949" w:type="pct"/>
            <w:tcBorders>
              <w:top w:val="nil"/>
              <w:left w:val="nil"/>
              <w:bottom w:val="single" w:color="auto" w:sz="4" w:space="0"/>
              <w:right w:val="single" w:color="auto" w:sz="4" w:space="0"/>
            </w:tcBorders>
            <w:shd w:val="clear" w:color="auto" w:fill="auto"/>
            <w:vAlign w:val="center"/>
          </w:tcPr>
          <w:p w14:paraId="33AE5F2B">
            <w:pPr>
              <w:widowControl/>
              <w:jc w:val="right"/>
              <w:rPr>
                <w:rFonts w:ascii="Times New Roman" w:hAnsi="Times New Roman" w:eastAsia="宋体" w:cs="Times New Roman"/>
                <w:kern w:val="0"/>
                <w:sz w:val="18"/>
                <w:szCs w:val="18"/>
              </w:rPr>
            </w:pPr>
          </w:p>
        </w:tc>
        <w:tc>
          <w:tcPr>
            <w:tcW w:w="602" w:type="pct"/>
            <w:tcBorders>
              <w:top w:val="nil"/>
              <w:left w:val="nil"/>
              <w:bottom w:val="single" w:color="auto" w:sz="4" w:space="0"/>
              <w:right w:val="single" w:color="auto" w:sz="4" w:space="0"/>
            </w:tcBorders>
            <w:shd w:val="clear" w:color="auto" w:fill="auto"/>
            <w:vAlign w:val="center"/>
          </w:tcPr>
          <w:p w14:paraId="50E2E5A5">
            <w:pPr>
              <w:widowControl/>
              <w:jc w:val="right"/>
              <w:rPr>
                <w:rFonts w:ascii="Times New Roman" w:hAnsi="Times New Roman" w:eastAsia="宋体" w:cs="Times New Roman"/>
                <w:kern w:val="0"/>
                <w:sz w:val="18"/>
                <w:szCs w:val="18"/>
              </w:rPr>
            </w:pPr>
            <w:r>
              <w:rPr>
                <w:rFonts w:ascii="Times New Roman" w:hAnsi="Times New Roman" w:eastAsia="宋体" w:cs="Times New Roman"/>
                <w:kern w:val="0"/>
                <w:sz w:val="18"/>
                <w:szCs w:val="18"/>
              </w:rPr>
              <w:t>100.00%</w:t>
            </w:r>
          </w:p>
        </w:tc>
      </w:tr>
      <w:tr w14:paraId="2E7894AB">
        <w:tblPrEx>
          <w:tblCellMar>
            <w:top w:w="0" w:type="dxa"/>
            <w:left w:w="108" w:type="dxa"/>
            <w:bottom w:w="0" w:type="dxa"/>
            <w:right w:w="108" w:type="dxa"/>
          </w:tblCellMar>
        </w:tblPrEx>
        <w:trPr>
          <w:trHeight w:val="270" w:hRule="atLeast"/>
        </w:trPr>
        <w:tc>
          <w:tcPr>
            <w:tcW w:w="834" w:type="pct"/>
            <w:tcBorders>
              <w:top w:val="nil"/>
              <w:left w:val="single" w:color="auto" w:sz="4" w:space="0"/>
              <w:bottom w:val="single" w:color="auto" w:sz="4" w:space="0"/>
              <w:right w:val="single" w:color="auto" w:sz="4" w:space="0"/>
            </w:tcBorders>
            <w:shd w:val="clear" w:color="auto" w:fill="auto"/>
            <w:vAlign w:val="center"/>
          </w:tcPr>
          <w:p w14:paraId="2A94D07C">
            <w:pPr>
              <w:widowControl/>
              <w:rPr>
                <w:rFonts w:ascii="Times New Roman" w:hAnsi="Times New Roman" w:eastAsia="宋体" w:cs="Times New Roman"/>
                <w:kern w:val="0"/>
                <w:sz w:val="18"/>
                <w:szCs w:val="18"/>
              </w:rPr>
            </w:pPr>
            <w:r>
              <w:rPr>
                <w:rFonts w:ascii="Times New Roman" w:hAnsi="Times New Roman" w:eastAsia="宋体" w:cs="Times New Roman"/>
                <w:kern w:val="0"/>
                <w:sz w:val="18"/>
                <w:szCs w:val="18"/>
              </w:rPr>
              <w:t>其他业务成本</w:t>
            </w:r>
          </w:p>
        </w:tc>
        <w:tc>
          <w:tcPr>
            <w:tcW w:w="804" w:type="pct"/>
            <w:tcBorders>
              <w:top w:val="nil"/>
              <w:left w:val="nil"/>
              <w:bottom w:val="single" w:color="auto" w:sz="4" w:space="0"/>
              <w:right w:val="single" w:color="auto" w:sz="4" w:space="0"/>
            </w:tcBorders>
            <w:shd w:val="clear" w:color="auto" w:fill="auto"/>
            <w:vAlign w:val="center"/>
          </w:tcPr>
          <w:p w14:paraId="03E512A2">
            <w:pPr>
              <w:widowControl/>
              <w:jc w:val="right"/>
              <w:rPr>
                <w:rFonts w:ascii="Times New Roman" w:hAnsi="Times New Roman" w:eastAsia="宋体" w:cs="Times New Roman"/>
                <w:kern w:val="0"/>
                <w:sz w:val="18"/>
                <w:szCs w:val="18"/>
              </w:rPr>
            </w:pPr>
          </w:p>
        </w:tc>
        <w:tc>
          <w:tcPr>
            <w:tcW w:w="949" w:type="pct"/>
            <w:tcBorders>
              <w:top w:val="nil"/>
              <w:left w:val="nil"/>
              <w:bottom w:val="single" w:color="auto" w:sz="4" w:space="0"/>
              <w:right w:val="single" w:color="auto" w:sz="4" w:space="0"/>
            </w:tcBorders>
            <w:shd w:val="clear" w:color="auto" w:fill="auto"/>
            <w:vAlign w:val="center"/>
          </w:tcPr>
          <w:p w14:paraId="552F56D8">
            <w:pPr>
              <w:widowControl/>
              <w:jc w:val="right"/>
              <w:rPr>
                <w:rFonts w:ascii="Times New Roman" w:hAnsi="Times New Roman" w:eastAsia="宋体" w:cs="Times New Roman"/>
                <w:kern w:val="0"/>
                <w:sz w:val="18"/>
                <w:szCs w:val="18"/>
              </w:rPr>
            </w:pPr>
          </w:p>
        </w:tc>
        <w:tc>
          <w:tcPr>
            <w:tcW w:w="862" w:type="pct"/>
            <w:tcBorders>
              <w:top w:val="nil"/>
              <w:left w:val="nil"/>
              <w:bottom w:val="single" w:color="auto" w:sz="4" w:space="0"/>
              <w:right w:val="single" w:color="auto" w:sz="4" w:space="0"/>
            </w:tcBorders>
            <w:shd w:val="clear" w:color="auto" w:fill="auto"/>
            <w:vAlign w:val="center"/>
          </w:tcPr>
          <w:p w14:paraId="3764BAD6">
            <w:pPr>
              <w:widowControl/>
              <w:jc w:val="right"/>
              <w:rPr>
                <w:rFonts w:ascii="Times New Roman" w:hAnsi="Times New Roman" w:eastAsia="宋体" w:cs="Times New Roman"/>
                <w:kern w:val="0"/>
                <w:sz w:val="18"/>
                <w:szCs w:val="18"/>
              </w:rPr>
            </w:pPr>
          </w:p>
        </w:tc>
        <w:tc>
          <w:tcPr>
            <w:tcW w:w="949" w:type="pct"/>
            <w:tcBorders>
              <w:top w:val="nil"/>
              <w:left w:val="nil"/>
              <w:bottom w:val="single" w:color="auto" w:sz="4" w:space="0"/>
              <w:right w:val="single" w:color="auto" w:sz="4" w:space="0"/>
            </w:tcBorders>
            <w:shd w:val="clear" w:color="auto" w:fill="auto"/>
            <w:vAlign w:val="center"/>
          </w:tcPr>
          <w:p w14:paraId="65F83E18">
            <w:pPr>
              <w:widowControl/>
              <w:jc w:val="right"/>
              <w:rPr>
                <w:rFonts w:ascii="Times New Roman" w:hAnsi="Times New Roman" w:eastAsia="宋体" w:cs="Times New Roman"/>
                <w:kern w:val="0"/>
                <w:sz w:val="18"/>
                <w:szCs w:val="18"/>
              </w:rPr>
            </w:pPr>
          </w:p>
        </w:tc>
        <w:tc>
          <w:tcPr>
            <w:tcW w:w="602" w:type="pct"/>
            <w:tcBorders>
              <w:top w:val="nil"/>
              <w:left w:val="nil"/>
              <w:bottom w:val="single" w:color="auto" w:sz="4" w:space="0"/>
              <w:right w:val="single" w:color="auto" w:sz="4" w:space="0"/>
            </w:tcBorders>
            <w:shd w:val="clear" w:color="auto" w:fill="auto"/>
            <w:vAlign w:val="center"/>
          </w:tcPr>
          <w:p w14:paraId="6AB69741">
            <w:pPr>
              <w:widowControl/>
              <w:jc w:val="right"/>
              <w:rPr>
                <w:rFonts w:ascii="Times New Roman" w:hAnsi="Times New Roman" w:eastAsia="宋体" w:cs="Times New Roman"/>
                <w:kern w:val="0"/>
                <w:sz w:val="18"/>
                <w:szCs w:val="18"/>
              </w:rPr>
            </w:pPr>
          </w:p>
        </w:tc>
      </w:tr>
    </w:tbl>
    <w:p w14:paraId="7767BBAE">
      <w:pPr>
        <w:spacing w:before="120" w:after="120" w:line="240" w:lineRule="exact"/>
        <w:jc w:val="right"/>
        <w:rPr>
          <w:rFonts w:ascii="Times New Roman" w:hAnsi="Times New Roman" w:cs="Times New Roman" w:eastAsiaTheme="majorEastAsia"/>
          <w:sz w:val="18"/>
          <w:szCs w:val="18"/>
        </w:rPr>
      </w:pPr>
    </w:p>
    <w:p w14:paraId="432F1253">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5"/>
        <w:gridCol w:w="1561"/>
        <w:gridCol w:w="1843"/>
        <w:gridCol w:w="1701"/>
        <w:gridCol w:w="1843"/>
        <w:gridCol w:w="1240"/>
      </w:tblGrid>
      <w:tr w14:paraId="7AEE81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00A6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产品分类</w:t>
            </w:r>
          </w:p>
        </w:tc>
        <w:tc>
          <w:tcPr>
            <w:tcW w:w="1727"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571D9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1798"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93F43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629"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FCDD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同比增减</w:t>
            </w:r>
          </w:p>
        </w:tc>
      </w:tr>
      <w:tr w14:paraId="07C8C0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0C3F63B">
            <w:pPr>
              <w:rPr>
                <w:rFonts w:ascii="Times New Roman" w:hAnsi="Times New Roman" w:cs="Times New Roman" w:eastAsiaTheme="majorEastAsia"/>
              </w:rPr>
            </w:pPr>
          </w:p>
        </w:tc>
        <w:tc>
          <w:tcPr>
            <w:tcW w:w="792" w:type="pct"/>
            <w:tcBorders>
              <w:top w:val="single" w:color="auto" w:sz="2" w:space="0"/>
              <w:left w:val="single" w:color="auto" w:sz="2" w:space="0"/>
              <w:bottom w:val="single" w:color="auto" w:sz="2" w:space="0"/>
              <w:right w:val="single" w:color="auto" w:sz="2" w:space="0"/>
            </w:tcBorders>
            <w:shd w:val="clear" w:color="auto" w:fill="D3D3D3"/>
            <w:vAlign w:val="center"/>
          </w:tcPr>
          <w:p w14:paraId="541DF5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935" w:type="pct"/>
            <w:tcBorders>
              <w:top w:val="single" w:color="auto" w:sz="2" w:space="0"/>
              <w:left w:val="single" w:color="auto" w:sz="2" w:space="0"/>
              <w:bottom w:val="single" w:color="auto" w:sz="2" w:space="0"/>
              <w:right w:val="single" w:color="auto" w:sz="2" w:space="0"/>
            </w:tcBorders>
            <w:shd w:val="clear" w:color="auto" w:fill="D3D3D3"/>
            <w:vAlign w:val="center"/>
          </w:tcPr>
          <w:p w14:paraId="449DF1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占营业成本比重</w:t>
            </w:r>
          </w:p>
        </w:tc>
        <w:tc>
          <w:tcPr>
            <w:tcW w:w="863" w:type="pct"/>
            <w:tcBorders>
              <w:top w:val="single" w:color="auto" w:sz="2" w:space="0"/>
              <w:left w:val="single" w:color="auto" w:sz="2" w:space="0"/>
              <w:bottom w:val="single" w:color="auto" w:sz="2" w:space="0"/>
              <w:right w:val="single" w:color="auto" w:sz="2" w:space="0"/>
            </w:tcBorders>
            <w:shd w:val="clear" w:color="auto" w:fill="D3D3D3"/>
            <w:vAlign w:val="center"/>
          </w:tcPr>
          <w:p w14:paraId="1AE771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935" w:type="pct"/>
            <w:tcBorders>
              <w:top w:val="single" w:color="auto" w:sz="2" w:space="0"/>
              <w:left w:val="single" w:color="auto" w:sz="2" w:space="0"/>
              <w:bottom w:val="single" w:color="auto" w:sz="2" w:space="0"/>
              <w:right w:val="single" w:color="auto" w:sz="2" w:space="0"/>
            </w:tcBorders>
            <w:shd w:val="clear" w:color="auto" w:fill="D3D3D3"/>
            <w:vAlign w:val="center"/>
          </w:tcPr>
          <w:p w14:paraId="622237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占营业成本比重</w:t>
            </w:r>
          </w:p>
        </w:tc>
        <w:tc>
          <w:tcPr>
            <w:tcW w:w="629"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CBB43BE">
            <w:pPr>
              <w:rPr>
                <w:rFonts w:ascii="Times New Roman" w:hAnsi="Times New Roman" w:cs="Times New Roman" w:eastAsiaTheme="majorEastAsia"/>
              </w:rPr>
            </w:pPr>
          </w:p>
        </w:tc>
      </w:tr>
      <w:tr w14:paraId="6040C2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3FF301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w:t>
            </w:r>
          </w:p>
        </w:tc>
        <w:tc>
          <w:tcPr>
            <w:tcW w:w="792" w:type="pct"/>
            <w:tcBorders>
              <w:top w:val="single" w:color="auto" w:sz="2" w:space="0"/>
              <w:left w:val="single" w:color="auto" w:sz="2" w:space="0"/>
              <w:bottom w:val="single" w:color="auto" w:sz="2" w:space="0"/>
              <w:right w:val="single" w:color="auto" w:sz="2" w:space="0"/>
            </w:tcBorders>
            <w:vAlign w:val="center"/>
          </w:tcPr>
          <w:p w14:paraId="74C3E5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50,373,262.81</w:t>
            </w:r>
          </w:p>
        </w:tc>
        <w:tc>
          <w:tcPr>
            <w:tcW w:w="935" w:type="pct"/>
            <w:tcBorders>
              <w:top w:val="single" w:color="auto" w:sz="2" w:space="0"/>
              <w:left w:val="single" w:color="auto" w:sz="2" w:space="0"/>
              <w:bottom w:val="single" w:color="auto" w:sz="2" w:space="0"/>
              <w:right w:val="single" w:color="auto" w:sz="2" w:space="0"/>
            </w:tcBorders>
            <w:vAlign w:val="center"/>
          </w:tcPr>
          <w:p w14:paraId="5DA7A8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24.25%</w:t>
            </w:r>
          </w:p>
        </w:tc>
        <w:tc>
          <w:tcPr>
            <w:tcW w:w="863" w:type="pct"/>
            <w:tcBorders>
              <w:top w:val="single" w:color="auto" w:sz="2" w:space="0"/>
              <w:left w:val="single" w:color="auto" w:sz="2" w:space="0"/>
              <w:bottom w:val="single" w:color="auto" w:sz="2" w:space="0"/>
              <w:right w:val="single" w:color="auto" w:sz="2" w:space="0"/>
            </w:tcBorders>
            <w:vAlign w:val="center"/>
          </w:tcPr>
          <w:p w14:paraId="1E6C7E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152,314,661.90</w:t>
            </w:r>
          </w:p>
        </w:tc>
        <w:tc>
          <w:tcPr>
            <w:tcW w:w="935" w:type="pct"/>
            <w:tcBorders>
              <w:top w:val="single" w:color="auto" w:sz="2" w:space="0"/>
              <w:left w:val="single" w:color="auto" w:sz="2" w:space="0"/>
              <w:bottom w:val="single" w:color="auto" w:sz="2" w:space="0"/>
              <w:right w:val="single" w:color="auto" w:sz="2" w:space="0"/>
            </w:tcBorders>
            <w:vAlign w:val="center"/>
          </w:tcPr>
          <w:p w14:paraId="21AB3C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46.58%</w:t>
            </w:r>
          </w:p>
        </w:tc>
        <w:tc>
          <w:tcPr>
            <w:tcW w:w="629" w:type="pct"/>
            <w:tcBorders>
              <w:top w:val="single" w:color="auto" w:sz="2" w:space="0"/>
              <w:left w:val="single" w:color="auto" w:sz="2" w:space="0"/>
              <w:bottom w:val="single" w:color="auto" w:sz="2" w:space="0"/>
              <w:right w:val="single" w:color="auto" w:sz="2" w:space="0"/>
            </w:tcBorders>
            <w:vAlign w:val="center"/>
          </w:tcPr>
          <w:p w14:paraId="75035A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-66.93%</w:t>
            </w:r>
          </w:p>
        </w:tc>
      </w:tr>
      <w:tr w14:paraId="6C4E28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470C659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软件及技术服务</w:t>
            </w:r>
          </w:p>
        </w:tc>
        <w:tc>
          <w:tcPr>
            <w:tcW w:w="792" w:type="pct"/>
            <w:tcBorders>
              <w:top w:val="single" w:color="auto" w:sz="2" w:space="0"/>
              <w:left w:val="single" w:color="auto" w:sz="2" w:space="0"/>
              <w:bottom w:val="single" w:color="auto" w:sz="2" w:space="0"/>
              <w:right w:val="single" w:color="auto" w:sz="2" w:space="0"/>
            </w:tcBorders>
            <w:vAlign w:val="center"/>
          </w:tcPr>
          <w:p w14:paraId="3DC7C2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30,639,722.97</w:t>
            </w:r>
          </w:p>
        </w:tc>
        <w:tc>
          <w:tcPr>
            <w:tcW w:w="935" w:type="pct"/>
            <w:tcBorders>
              <w:top w:val="single" w:color="auto" w:sz="2" w:space="0"/>
              <w:left w:val="single" w:color="auto" w:sz="2" w:space="0"/>
              <w:bottom w:val="single" w:color="auto" w:sz="2" w:space="0"/>
              <w:right w:val="single" w:color="auto" w:sz="2" w:space="0"/>
            </w:tcBorders>
            <w:vAlign w:val="center"/>
          </w:tcPr>
          <w:p w14:paraId="4DF230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18.63%</w:t>
            </w:r>
          </w:p>
        </w:tc>
        <w:tc>
          <w:tcPr>
            <w:tcW w:w="863" w:type="pct"/>
            <w:tcBorders>
              <w:top w:val="single" w:color="auto" w:sz="2" w:space="0"/>
              <w:left w:val="single" w:color="auto" w:sz="2" w:space="0"/>
              <w:bottom w:val="single" w:color="auto" w:sz="2" w:space="0"/>
              <w:right w:val="single" w:color="auto" w:sz="2" w:space="0"/>
            </w:tcBorders>
            <w:vAlign w:val="center"/>
          </w:tcPr>
          <w:p w14:paraId="291CB7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6,557,880.22</w:t>
            </w:r>
          </w:p>
        </w:tc>
        <w:tc>
          <w:tcPr>
            <w:tcW w:w="935" w:type="pct"/>
            <w:tcBorders>
              <w:top w:val="single" w:color="auto" w:sz="2" w:space="0"/>
              <w:left w:val="single" w:color="auto" w:sz="2" w:space="0"/>
              <w:bottom w:val="single" w:color="auto" w:sz="2" w:space="0"/>
              <w:right w:val="single" w:color="auto" w:sz="2" w:space="0"/>
            </w:tcBorders>
            <w:vAlign w:val="center"/>
          </w:tcPr>
          <w:p w14:paraId="55ECA7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w:t>
            </w:r>
          </w:p>
        </w:tc>
        <w:tc>
          <w:tcPr>
            <w:tcW w:w="629" w:type="pct"/>
            <w:tcBorders>
              <w:top w:val="single" w:color="auto" w:sz="2" w:space="0"/>
              <w:left w:val="single" w:color="auto" w:sz="2" w:space="0"/>
              <w:bottom w:val="single" w:color="auto" w:sz="2" w:space="0"/>
              <w:right w:val="single" w:color="auto" w:sz="2" w:space="0"/>
            </w:tcBorders>
            <w:vAlign w:val="center"/>
          </w:tcPr>
          <w:p w14:paraId="3A9D00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367.22%</w:t>
            </w:r>
          </w:p>
        </w:tc>
      </w:tr>
      <w:tr w14:paraId="4FD97E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7F6E56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信息系统运维服务</w:t>
            </w:r>
          </w:p>
        </w:tc>
        <w:tc>
          <w:tcPr>
            <w:tcW w:w="792" w:type="pct"/>
            <w:tcBorders>
              <w:top w:val="single" w:color="auto" w:sz="2" w:space="0"/>
              <w:left w:val="single" w:color="auto" w:sz="2" w:space="0"/>
              <w:bottom w:val="single" w:color="auto" w:sz="2" w:space="0"/>
              <w:right w:val="single" w:color="auto" w:sz="2" w:space="0"/>
            </w:tcBorders>
            <w:vAlign w:val="center"/>
          </w:tcPr>
          <w:p w14:paraId="3F6485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6,074,450.70</w:t>
            </w:r>
          </w:p>
        </w:tc>
        <w:tc>
          <w:tcPr>
            <w:tcW w:w="935" w:type="pct"/>
            <w:tcBorders>
              <w:top w:val="single" w:color="auto" w:sz="2" w:space="0"/>
              <w:left w:val="single" w:color="auto" w:sz="2" w:space="0"/>
              <w:bottom w:val="single" w:color="auto" w:sz="2" w:space="0"/>
              <w:right w:val="single" w:color="auto" w:sz="2" w:space="0"/>
            </w:tcBorders>
            <w:vAlign w:val="center"/>
          </w:tcPr>
          <w:p w14:paraId="354EB0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4.34%</w:t>
            </w:r>
          </w:p>
        </w:tc>
        <w:tc>
          <w:tcPr>
            <w:tcW w:w="863" w:type="pct"/>
            <w:tcBorders>
              <w:top w:val="single" w:color="auto" w:sz="2" w:space="0"/>
              <w:left w:val="single" w:color="auto" w:sz="2" w:space="0"/>
              <w:bottom w:val="single" w:color="auto" w:sz="2" w:space="0"/>
              <w:right w:val="single" w:color="auto" w:sz="2" w:space="0"/>
            </w:tcBorders>
            <w:vAlign w:val="center"/>
          </w:tcPr>
          <w:p w14:paraId="44F905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9,137,951.00</w:t>
            </w:r>
          </w:p>
        </w:tc>
        <w:tc>
          <w:tcPr>
            <w:tcW w:w="935" w:type="pct"/>
            <w:tcBorders>
              <w:top w:val="single" w:color="auto" w:sz="2" w:space="0"/>
              <w:left w:val="single" w:color="auto" w:sz="2" w:space="0"/>
              <w:bottom w:val="single" w:color="auto" w:sz="2" w:space="0"/>
              <w:right w:val="single" w:color="auto" w:sz="2" w:space="0"/>
            </w:tcBorders>
            <w:vAlign w:val="center"/>
          </w:tcPr>
          <w:p w14:paraId="4AA7E8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2.79%</w:t>
            </w:r>
          </w:p>
        </w:tc>
        <w:tc>
          <w:tcPr>
            <w:tcW w:w="629" w:type="pct"/>
            <w:tcBorders>
              <w:top w:val="single" w:color="auto" w:sz="2" w:space="0"/>
              <w:left w:val="single" w:color="auto" w:sz="2" w:space="0"/>
              <w:bottom w:val="single" w:color="auto" w:sz="2" w:space="0"/>
              <w:right w:val="single" w:color="auto" w:sz="2" w:space="0"/>
            </w:tcBorders>
            <w:vAlign w:val="center"/>
          </w:tcPr>
          <w:p w14:paraId="2F0889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-33.53%</w:t>
            </w:r>
          </w:p>
        </w:tc>
      </w:tr>
      <w:tr w14:paraId="3B404E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6B6CFE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硬件销售</w:t>
            </w:r>
          </w:p>
        </w:tc>
        <w:tc>
          <w:tcPr>
            <w:tcW w:w="792" w:type="pct"/>
            <w:tcBorders>
              <w:top w:val="single" w:color="auto" w:sz="2" w:space="0"/>
              <w:left w:val="single" w:color="auto" w:sz="2" w:space="0"/>
              <w:bottom w:val="single" w:color="auto" w:sz="2" w:space="0"/>
              <w:right w:val="single" w:color="auto" w:sz="2" w:space="0"/>
            </w:tcBorders>
            <w:vAlign w:val="center"/>
          </w:tcPr>
          <w:p w14:paraId="6F1471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106,656,874.07</w:t>
            </w:r>
          </w:p>
        </w:tc>
        <w:tc>
          <w:tcPr>
            <w:tcW w:w="935" w:type="pct"/>
            <w:tcBorders>
              <w:top w:val="single" w:color="auto" w:sz="2" w:space="0"/>
              <w:left w:val="single" w:color="auto" w:sz="2" w:space="0"/>
              <w:bottom w:val="single" w:color="auto" w:sz="2" w:space="0"/>
              <w:right w:val="single" w:color="auto" w:sz="2" w:space="0"/>
            </w:tcBorders>
            <w:vAlign w:val="center"/>
          </w:tcPr>
          <w:p w14:paraId="2996AF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51.82%</w:t>
            </w:r>
          </w:p>
        </w:tc>
        <w:tc>
          <w:tcPr>
            <w:tcW w:w="863" w:type="pct"/>
            <w:tcBorders>
              <w:top w:val="single" w:color="auto" w:sz="2" w:space="0"/>
              <w:left w:val="single" w:color="auto" w:sz="2" w:space="0"/>
              <w:bottom w:val="single" w:color="auto" w:sz="2" w:space="0"/>
              <w:right w:val="single" w:color="auto" w:sz="2" w:space="0"/>
            </w:tcBorders>
            <w:vAlign w:val="center"/>
          </w:tcPr>
          <w:p w14:paraId="4B9519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159,016,488.05</w:t>
            </w:r>
          </w:p>
        </w:tc>
        <w:tc>
          <w:tcPr>
            <w:tcW w:w="935" w:type="pct"/>
            <w:tcBorders>
              <w:top w:val="single" w:color="auto" w:sz="2" w:space="0"/>
              <w:left w:val="single" w:color="auto" w:sz="2" w:space="0"/>
              <w:bottom w:val="single" w:color="auto" w:sz="2" w:space="0"/>
              <w:right w:val="single" w:color="auto" w:sz="2" w:space="0"/>
            </w:tcBorders>
            <w:vAlign w:val="center"/>
          </w:tcPr>
          <w:p w14:paraId="232E5D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48.62%</w:t>
            </w:r>
          </w:p>
        </w:tc>
        <w:tc>
          <w:tcPr>
            <w:tcW w:w="629" w:type="pct"/>
            <w:tcBorders>
              <w:top w:val="single" w:color="auto" w:sz="2" w:space="0"/>
              <w:left w:val="single" w:color="auto" w:sz="2" w:space="0"/>
              <w:bottom w:val="single" w:color="auto" w:sz="2" w:space="0"/>
              <w:right w:val="single" w:color="auto" w:sz="2" w:space="0"/>
            </w:tcBorders>
            <w:vAlign w:val="center"/>
          </w:tcPr>
          <w:p w14:paraId="07E9F4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-32.93%</w:t>
            </w:r>
          </w:p>
        </w:tc>
      </w:tr>
      <w:tr w14:paraId="26904B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3E1F23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光伏发电</w:t>
            </w:r>
          </w:p>
        </w:tc>
        <w:tc>
          <w:tcPr>
            <w:tcW w:w="792" w:type="pct"/>
            <w:tcBorders>
              <w:top w:val="single" w:color="auto" w:sz="2" w:space="0"/>
              <w:left w:val="single" w:color="auto" w:sz="2" w:space="0"/>
              <w:bottom w:val="single" w:color="auto" w:sz="2" w:space="0"/>
              <w:right w:val="single" w:color="auto" w:sz="2" w:space="0"/>
            </w:tcBorders>
            <w:vAlign w:val="center"/>
          </w:tcPr>
          <w:p w14:paraId="3AE112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412,519.37</w:t>
            </w:r>
          </w:p>
        </w:tc>
        <w:tc>
          <w:tcPr>
            <w:tcW w:w="935" w:type="pct"/>
            <w:tcBorders>
              <w:top w:val="single" w:color="auto" w:sz="2" w:space="0"/>
              <w:left w:val="single" w:color="auto" w:sz="2" w:space="0"/>
              <w:bottom w:val="single" w:color="auto" w:sz="2" w:space="0"/>
              <w:right w:val="single" w:color="auto" w:sz="2" w:space="0"/>
            </w:tcBorders>
            <w:vAlign w:val="center"/>
          </w:tcPr>
          <w:p w14:paraId="677B0A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0.29%</w:t>
            </w:r>
          </w:p>
        </w:tc>
        <w:tc>
          <w:tcPr>
            <w:tcW w:w="863" w:type="pct"/>
            <w:tcBorders>
              <w:top w:val="single" w:color="auto" w:sz="2" w:space="0"/>
              <w:left w:val="single" w:color="auto" w:sz="2" w:space="0"/>
              <w:bottom w:val="single" w:color="auto" w:sz="2" w:space="0"/>
              <w:right w:val="single" w:color="auto" w:sz="2" w:space="0"/>
            </w:tcBorders>
            <w:vAlign w:val="center"/>
          </w:tcPr>
          <w:p w14:paraId="1A2A9FAB">
            <w:pPr>
              <w:spacing w:line="240" w:lineRule="exact"/>
              <w:jc w:val="right"/>
              <w:rPr>
                <w:rFonts w:ascii="Times New Roman" w:hAnsi="Times New Roman" w:cs="Times New Roman" w:eastAsiaTheme="majorEastAsia"/>
                <w:sz w:val="18"/>
                <w:szCs w:val="18"/>
              </w:rPr>
            </w:pPr>
          </w:p>
        </w:tc>
        <w:tc>
          <w:tcPr>
            <w:tcW w:w="935" w:type="pct"/>
            <w:tcBorders>
              <w:top w:val="single" w:color="auto" w:sz="2" w:space="0"/>
              <w:left w:val="single" w:color="auto" w:sz="2" w:space="0"/>
              <w:bottom w:val="single" w:color="auto" w:sz="2" w:space="0"/>
              <w:right w:val="single" w:color="auto" w:sz="2" w:space="0"/>
            </w:tcBorders>
            <w:vAlign w:val="center"/>
          </w:tcPr>
          <w:p w14:paraId="2A466432">
            <w:pPr>
              <w:spacing w:line="240" w:lineRule="exact"/>
              <w:jc w:val="right"/>
              <w:rPr>
                <w:rFonts w:ascii="Times New Roman" w:hAnsi="Times New Roman" w:cs="Times New Roman" w:eastAsiaTheme="majorEastAsia"/>
                <w:sz w:val="18"/>
                <w:szCs w:val="18"/>
              </w:rPr>
            </w:pPr>
          </w:p>
        </w:tc>
        <w:tc>
          <w:tcPr>
            <w:tcW w:w="629" w:type="pct"/>
            <w:tcBorders>
              <w:top w:val="single" w:color="auto" w:sz="2" w:space="0"/>
              <w:left w:val="single" w:color="auto" w:sz="2" w:space="0"/>
              <w:bottom w:val="single" w:color="auto" w:sz="2" w:space="0"/>
              <w:right w:val="single" w:color="auto" w:sz="2" w:space="0"/>
            </w:tcBorders>
            <w:vAlign w:val="center"/>
          </w:tcPr>
          <w:p w14:paraId="531AF8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176D03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45" w:type="pct"/>
            <w:tcBorders>
              <w:top w:val="single" w:color="auto" w:sz="2" w:space="0"/>
              <w:left w:val="single" w:color="auto" w:sz="2" w:space="0"/>
              <w:bottom w:val="single" w:color="auto" w:sz="2" w:space="0"/>
              <w:right w:val="single" w:color="auto" w:sz="2" w:space="0"/>
            </w:tcBorders>
            <w:vAlign w:val="center"/>
          </w:tcPr>
          <w:p w14:paraId="1B68F3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其他业务成本</w:t>
            </w:r>
          </w:p>
        </w:tc>
        <w:tc>
          <w:tcPr>
            <w:tcW w:w="792" w:type="pct"/>
            <w:tcBorders>
              <w:top w:val="single" w:color="auto" w:sz="2" w:space="0"/>
              <w:left w:val="single" w:color="auto" w:sz="2" w:space="0"/>
              <w:bottom w:val="single" w:color="auto" w:sz="2" w:space="0"/>
              <w:right w:val="single" w:color="auto" w:sz="2" w:space="0"/>
            </w:tcBorders>
            <w:vAlign w:val="center"/>
          </w:tcPr>
          <w:p w14:paraId="161299BF">
            <w:pPr>
              <w:spacing w:line="240" w:lineRule="exact"/>
              <w:jc w:val="right"/>
              <w:rPr>
                <w:rFonts w:ascii="Times New Roman" w:hAnsi="Times New Roman" w:cs="Times New Roman" w:eastAsiaTheme="majorEastAsia"/>
                <w:sz w:val="18"/>
                <w:szCs w:val="18"/>
              </w:rPr>
            </w:pPr>
          </w:p>
        </w:tc>
        <w:tc>
          <w:tcPr>
            <w:tcW w:w="935" w:type="pct"/>
            <w:tcBorders>
              <w:top w:val="single" w:color="auto" w:sz="2" w:space="0"/>
              <w:left w:val="single" w:color="auto" w:sz="2" w:space="0"/>
              <w:bottom w:val="single" w:color="auto" w:sz="2" w:space="0"/>
              <w:right w:val="single" w:color="auto" w:sz="2" w:space="0"/>
            </w:tcBorders>
            <w:vAlign w:val="center"/>
          </w:tcPr>
          <w:p w14:paraId="2EAC4CC1">
            <w:pPr>
              <w:spacing w:line="240" w:lineRule="exact"/>
              <w:jc w:val="right"/>
              <w:rPr>
                <w:rFonts w:ascii="Times New Roman" w:hAnsi="Times New Roman" w:cs="Times New Roman" w:eastAsiaTheme="majorEastAsia"/>
                <w:sz w:val="18"/>
                <w:szCs w:val="18"/>
              </w:rPr>
            </w:pPr>
          </w:p>
        </w:tc>
        <w:tc>
          <w:tcPr>
            <w:tcW w:w="863" w:type="pct"/>
            <w:tcBorders>
              <w:top w:val="single" w:color="auto" w:sz="2" w:space="0"/>
              <w:left w:val="single" w:color="auto" w:sz="2" w:space="0"/>
              <w:bottom w:val="single" w:color="auto" w:sz="2" w:space="0"/>
              <w:right w:val="single" w:color="auto" w:sz="2" w:space="0"/>
            </w:tcBorders>
            <w:vAlign w:val="center"/>
          </w:tcPr>
          <w:p w14:paraId="0227C863">
            <w:pPr>
              <w:spacing w:line="240" w:lineRule="exact"/>
              <w:jc w:val="right"/>
              <w:rPr>
                <w:rFonts w:ascii="Times New Roman" w:hAnsi="Times New Roman" w:cs="Times New Roman" w:eastAsiaTheme="majorEastAsia"/>
                <w:sz w:val="18"/>
                <w:szCs w:val="18"/>
              </w:rPr>
            </w:pPr>
          </w:p>
        </w:tc>
        <w:tc>
          <w:tcPr>
            <w:tcW w:w="935" w:type="pct"/>
            <w:tcBorders>
              <w:top w:val="single" w:color="auto" w:sz="2" w:space="0"/>
              <w:left w:val="single" w:color="auto" w:sz="2" w:space="0"/>
              <w:bottom w:val="single" w:color="auto" w:sz="2" w:space="0"/>
              <w:right w:val="single" w:color="auto" w:sz="2" w:space="0"/>
            </w:tcBorders>
            <w:vAlign w:val="center"/>
          </w:tcPr>
          <w:p w14:paraId="07C017A5">
            <w:pPr>
              <w:spacing w:line="240" w:lineRule="exact"/>
              <w:jc w:val="right"/>
              <w:rPr>
                <w:rFonts w:ascii="Times New Roman" w:hAnsi="Times New Roman" w:cs="Times New Roman" w:eastAsiaTheme="majorEastAsia"/>
                <w:sz w:val="18"/>
                <w:szCs w:val="18"/>
              </w:rPr>
            </w:pPr>
          </w:p>
        </w:tc>
        <w:tc>
          <w:tcPr>
            <w:tcW w:w="629" w:type="pct"/>
            <w:tcBorders>
              <w:top w:val="single" w:color="auto" w:sz="2" w:space="0"/>
              <w:left w:val="single" w:color="auto" w:sz="2" w:space="0"/>
              <w:bottom w:val="single" w:color="auto" w:sz="2" w:space="0"/>
              <w:right w:val="single" w:color="auto" w:sz="2" w:space="0"/>
            </w:tcBorders>
            <w:vAlign w:val="center"/>
          </w:tcPr>
          <w:p w14:paraId="5B903F62">
            <w:pPr>
              <w:spacing w:line="240" w:lineRule="exact"/>
              <w:jc w:val="right"/>
              <w:rPr>
                <w:rFonts w:ascii="Times New Roman" w:hAnsi="Times New Roman" w:cs="Times New Roman" w:eastAsiaTheme="majorEastAsia"/>
                <w:sz w:val="18"/>
                <w:szCs w:val="18"/>
              </w:rPr>
            </w:pPr>
          </w:p>
        </w:tc>
      </w:tr>
    </w:tbl>
    <w:p w14:paraId="3248DC6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39B692C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w:t>
      </w:r>
      <w:r>
        <w:rPr>
          <w:rFonts w:cs="Times New Roman" w:asciiTheme="minorEastAsia" w:hAnsiTheme="minorEastAsia"/>
          <w:sz w:val="18"/>
          <w:szCs w:val="18"/>
        </w:rPr>
        <w:t>的“软件与信息技术服务业”</w:t>
      </w:r>
      <w:r>
        <w:rPr>
          <w:rFonts w:ascii="Times New Roman" w:hAnsi="Times New Roman" w:cs="Times New Roman" w:eastAsiaTheme="majorEastAsia"/>
          <w:sz w:val="18"/>
          <w:szCs w:val="18"/>
        </w:rPr>
        <w:t>的披露要求</w:t>
      </w:r>
    </w:p>
    <w:p w14:paraId="524DB01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主营业务成本构成</w:t>
      </w:r>
    </w:p>
    <w:p w14:paraId="10B3250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6"/>
        <w:gridCol w:w="1607"/>
        <w:gridCol w:w="1606"/>
        <w:gridCol w:w="1607"/>
        <w:gridCol w:w="1606"/>
      </w:tblGrid>
      <w:tr w14:paraId="79329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93E4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成本构成</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39BEC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A293D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上年同期</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2A9A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同比增减</w:t>
            </w:r>
          </w:p>
        </w:tc>
      </w:tr>
      <w:tr w14:paraId="46C8FC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vMerge w:val="continue"/>
            <w:tcBorders>
              <w:top w:val="single" w:color="auto" w:sz="2" w:space="0"/>
              <w:left w:val="single" w:color="auto" w:sz="2" w:space="0"/>
              <w:bottom w:val="single" w:color="auto" w:sz="2" w:space="0"/>
              <w:right w:val="single" w:color="auto" w:sz="2" w:space="0"/>
            </w:tcBorders>
            <w:vAlign w:val="center"/>
          </w:tcPr>
          <w:p w14:paraId="2839217F">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806DD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87458D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占营业成本比重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323FD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B2078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占营业成本比重</w:t>
            </w: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AC1469">
            <w:pPr>
              <w:rPr>
                <w:rFonts w:ascii="Times New Roman" w:hAnsi="Times New Roman" w:cs="Times New Roman" w:eastAsiaTheme="majorEastAsia"/>
              </w:rPr>
            </w:pPr>
          </w:p>
        </w:tc>
      </w:tr>
      <w:tr w14:paraId="57CAE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1FB25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直接材料</w:t>
            </w:r>
          </w:p>
        </w:tc>
        <w:tc>
          <w:tcPr>
            <w:tcW w:w="1606" w:type="dxa"/>
            <w:tcBorders>
              <w:top w:val="single" w:color="auto" w:sz="2" w:space="0"/>
              <w:left w:val="single" w:color="auto" w:sz="2" w:space="0"/>
              <w:bottom w:val="single" w:color="auto" w:sz="2" w:space="0"/>
              <w:right w:val="single" w:color="auto" w:sz="2" w:space="0"/>
            </w:tcBorders>
            <w:vAlign w:val="center"/>
          </w:tcPr>
          <w:p w14:paraId="650217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153,760,821.94</w:t>
            </w:r>
          </w:p>
        </w:tc>
        <w:tc>
          <w:tcPr>
            <w:tcW w:w="1606" w:type="dxa"/>
            <w:tcBorders>
              <w:top w:val="single" w:color="auto" w:sz="2" w:space="0"/>
              <w:left w:val="single" w:color="auto" w:sz="2" w:space="0"/>
              <w:bottom w:val="single" w:color="auto" w:sz="2" w:space="0"/>
              <w:right w:val="single" w:color="auto" w:sz="2" w:space="0"/>
            </w:tcBorders>
            <w:vAlign w:val="center"/>
          </w:tcPr>
          <w:p w14:paraId="43CDBE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79.19%</w:t>
            </w:r>
          </w:p>
        </w:tc>
        <w:tc>
          <w:tcPr>
            <w:tcW w:w="1606" w:type="dxa"/>
            <w:tcBorders>
              <w:top w:val="single" w:color="auto" w:sz="2" w:space="0"/>
              <w:left w:val="single" w:color="auto" w:sz="2" w:space="0"/>
              <w:bottom w:val="single" w:color="auto" w:sz="2" w:space="0"/>
              <w:right w:val="single" w:color="auto" w:sz="2" w:space="0"/>
            </w:tcBorders>
            <w:vAlign w:val="center"/>
          </w:tcPr>
          <w:p w14:paraId="6D3613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257,295,261.28</w:t>
            </w:r>
          </w:p>
        </w:tc>
        <w:tc>
          <w:tcPr>
            <w:tcW w:w="1606" w:type="dxa"/>
            <w:tcBorders>
              <w:top w:val="single" w:color="auto" w:sz="2" w:space="0"/>
              <w:left w:val="single" w:color="auto" w:sz="2" w:space="0"/>
              <w:bottom w:val="single" w:color="auto" w:sz="2" w:space="0"/>
              <w:right w:val="single" w:color="auto" w:sz="2" w:space="0"/>
            </w:tcBorders>
            <w:vAlign w:val="center"/>
          </w:tcPr>
          <w:p w14:paraId="603785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78.68%</w:t>
            </w:r>
          </w:p>
        </w:tc>
        <w:tc>
          <w:tcPr>
            <w:tcW w:w="1606" w:type="dxa"/>
            <w:tcBorders>
              <w:top w:val="single" w:color="auto" w:sz="2" w:space="0"/>
              <w:left w:val="single" w:color="auto" w:sz="2" w:space="0"/>
              <w:bottom w:val="single" w:color="auto" w:sz="2" w:space="0"/>
              <w:right w:val="single" w:color="auto" w:sz="2" w:space="0"/>
            </w:tcBorders>
            <w:vAlign w:val="center"/>
          </w:tcPr>
          <w:p w14:paraId="23FCF8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-40.24%</w:t>
            </w:r>
          </w:p>
        </w:tc>
      </w:tr>
      <w:tr w14:paraId="5096FC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89788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直接人工</w:t>
            </w:r>
          </w:p>
        </w:tc>
        <w:tc>
          <w:tcPr>
            <w:tcW w:w="1606" w:type="dxa"/>
            <w:tcBorders>
              <w:top w:val="single" w:color="auto" w:sz="2" w:space="0"/>
              <w:left w:val="single" w:color="auto" w:sz="2" w:space="0"/>
              <w:bottom w:val="single" w:color="auto" w:sz="2" w:space="0"/>
              <w:right w:val="single" w:color="auto" w:sz="2" w:space="0"/>
            </w:tcBorders>
            <w:vAlign w:val="center"/>
          </w:tcPr>
          <w:p w14:paraId="1AE457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13,822,851.11</w:t>
            </w:r>
          </w:p>
        </w:tc>
        <w:tc>
          <w:tcPr>
            <w:tcW w:w="1606" w:type="dxa"/>
            <w:tcBorders>
              <w:top w:val="single" w:color="auto" w:sz="2" w:space="0"/>
              <w:left w:val="single" w:color="auto" w:sz="2" w:space="0"/>
              <w:bottom w:val="single" w:color="auto" w:sz="2" w:space="0"/>
              <w:right w:val="single" w:color="auto" w:sz="2" w:space="0"/>
            </w:tcBorders>
            <w:vAlign w:val="center"/>
          </w:tcPr>
          <w:p w14:paraId="18150A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7.12%</w:t>
            </w:r>
          </w:p>
        </w:tc>
        <w:tc>
          <w:tcPr>
            <w:tcW w:w="1606" w:type="dxa"/>
            <w:tcBorders>
              <w:top w:val="single" w:color="auto" w:sz="2" w:space="0"/>
              <w:left w:val="single" w:color="auto" w:sz="2" w:space="0"/>
              <w:bottom w:val="single" w:color="auto" w:sz="2" w:space="0"/>
              <w:right w:val="single" w:color="auto" w:sz="2" w:space="0"/>
            </w:tcBorders>
            <w:vAlign w:val="center"/>
          </w:tcPr>
          <w:p w14:paraId="5F0F17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11,601,299.80</w:t>
            </w:r>
          </w:p>
        </w:tc>
        <w:tc>
          <w:tcPr>
            <w:tcW w:w="1606" w:type="dxa"/>
            <w:tcBorders>
              <w:top w:val="single" w:color="auto" w:sz="2" w:space="0"/>
              <w:left w:val="single" w:color="auto" w:sz="2" w:space="0"/>
              <w:bottom w:val="single" w:color="auto" w:sz="2" w:space="0"/>
              <w:right w:val="single" w:color="auto" w:sz="2" w:space="0"/>
            </w:tcBorders>
            <w:vAlign w:val="center"/>
          </w:tcPr>
          <w:p w14:paraId="4461F8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w:t>
            </w:r>
          </w:p>
        </w:tc>
        <w:tc>
          <w:tcPr>
            <w:tcW w:w="1606" w:type="dxa"/>
            <w:tcBorders>
              <w:top w:val="single" w:color="auto" w:sz="2" w:space="0"/>
              <w:left w:val="single" w:color="auto" w:sz="2" w:space="0"/>
              <w:bottom w:val="single" w:color="auto" w:sz="2" w:space="0"/>
              <w:right w:val="single" w:color="auto" w:sz="2" w:space="0"/>
            </w:tcBorders>
            <w:vAlign w:val="center"/>
          </w:tcPr>
          <w:p w14:paraId="010D43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19.15%</w:t>
            </w:r>
          </w:p>
        </w:tc>
      </w:tr>
      <w:tr w14:paraId="3D86B9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6E2CE4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劳务及服务</w:t>
            </w:r>
          </w:p>
        </w:tc>
        <w:tc>
          <w:tcPr>
            <w:tcW w:w="1606" w:type="dxa"/>
            <w:tcBorders>
              <w:top w:val="single" w:color="auto" w:sz="2" w:space="0"/>
              <w:left w:val="single" w:color="auto" w:sz="2" w:space="0"/>
              <w:bottom w:val="single" w:color="auto" w:sz="2" w:space="0"/>
              <w:right w:val="single" w:color="auto" w:sz="2" w:space="0"/>
            </w:tcBorders>
            <w:vAlign w:val="center"/>
          </w:tcPr>
          <w:p w14:paraId="1981A6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25,231,559.37</w:t>
            </w:r>
          </w:p>
        </w:tc>
        <w:tc>
          <w:tcPr>
            <w:tcW w:w="1606" w:type="dxa"/>
            <w:tcBorders>
              <w:top w:val="single" w:color="auto" w:sz="2" w:space="0"/>
              <w:left w:val="single" w:color="auto" w:sz="2" w:space="0"/>
              <w:bottom w:val="single" w:color="auto" w:sz="2" w:space="0"/>
              <w:right w:val="single" w:color="auto" w:sz="2" w:space="0"/>
            </w:tcBorders>
            <w:vAlign w:val="center"/>
          </w:tcPr>
          <w:p w14:paraId="18E6D7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w:t>
            </w:r>
          </w:p>
        </w:tc>
        <w:tc>
          <w:tcPr>
            <w:tcW w:w="1606" w:type="dxa"/>
            <w:tcBorders>
              <w:top w:val="single" w:color="auto" w:sz="2" w:space="0"/>
              <w:left w:val="single" w:color="auto" w:sz="2" w:space="0"/>
              <w:bottom w:val="single" w:color="auto" w:sz="2" w:space="0"/>
              <w:right w:val="single" w:color="auto" w:sz="2" w:space="0"/>
            </w:tcBorders>
            <w:vAlign w:val="center"/>
          </w:tcPr>
          <w:p w14:paraId="18C6DB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56,579,760.66</w:t>
            </w:r>
          </w:p>
        </w:tc>
        <w:tc>
          <w:tcPr>
            <w:tcW w:w="1606" w:type="dxa"/>
            <w:tcBorders>
              <w:top w:val="single" w:color="auto" w:sz="2" w:space="0"/>
              <w:left w:val="single" w:color="auto" w:sz="2" w:space="0"/>
              <w:bottom w:val="single" w:color="auto" w:sz="2" w:space="0"/>
              <w:right w:val="single" w:color="auto" w:sz="2" w:space="0"/>
            </w:tcBorders>
            <w:vAlign w:val="center"/>
          </w:tcPr>
          <w:p w14:paraId="70EA8C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17.30%</w:t>
            </w:r>
          </w:p>
        </w:tc>
        <w:tc>
          <w:tcPr>
            <w:tcW w:w="1606" w:type="dxa"/>
            <w:tcBorders>
              <w:top w:val="single" w:color="auto" w:sz="2" w:space="0"/>
              <w:left w:val="single" w:color="auto" w:sz="2" w:space="0"/>
              <w:bottom w:val="single" w:color="auto" w:sz="2" w:space="0"/>
              <w:right w:val="single" w:color="auto" w:sz="2" w:space="0"/>
            </w:tcBorders>
            <w:vAlign w:val="center"/>
          </w:tcPr>
          <w:p w14:paraId="1B44EE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-55.41%</w:t>
            </w:r>
          </w:p>
        </w:tc>
      </w:tr>
      <w:tr w14:paraId="658A6E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3EA68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其他费用</w:t>
            </w:r>
          </w:p>
        </w:tc>
        <w:tc>
          <w:tcPr>
            <w:tcW w:w="1606" w:type="dxa"/>
            <w:tcBorders>
              <w:top w:val="single" w:color="auto" w:sz="2" w:space="0"/>
              <w:left w:val="single" w:color="auto" w:sz="2" w:space="0"/>
              <w:bottom w:val="single" w:color="auto" w:sz="2" w:space="0"/>
              <w:right w:val="single" w:color="auto" w:sz="2" w:space="0"/>
            </w:tcBorders>
            <w:vAlign w:val="center"/>
          </w:tcPr>
          <w:p w14:paraId="6213F7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1,341,597.50</w:t>
            </w:r>
          </w:p>
        </w:tc>
        <w:tc>
          <w:tcPr>
            <w:tcW w:w="1606" w:type="dxa"/>
            <w:tcBorders>
              <w:top w:val="single" w:color="auto" w:sz="2" w:space="0"/>
              <w:left w:val="single" w:color="auto" w:sz="2" w:space="0"/>
              <w:bottom w:val="single" w:color="auto" w:sz="2" w:space="0"/>
              <w:right w:val="single" w:color="auto" w:sz="2" w:space="0"/>
            </w:tcBorders>
            <w:vAlign w:val="center"/>
          </w:tcPr>
          <w:p w14:paraId="74F3FD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0.69%</w:t>
            </w:r>
          </w:p>
        </w:tc>
        <w:tc>
          <w:tcPr>
            <w:tcW w:w="1606" w:type="dxa"/>
            <w:tcBorders>
              <w:top w:val="single" w:color="auto" w:sz="2" w:space="0"/>
              <w:left w:val="single" w:color="auto" w:sz="2" w:space="0"/>
              <w:bottom w:val="single" w:color="auto" w:sz="2" w:space="0"/>
              <w:right w:val="single" w:color="auto" w:sz="2" w:space="0"/>
            </w:tcBorders>
            <w:vAlign w:val="center"/>
          </w:tcPr>
          <w:p w14:paraId="435797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1,550,659.43</w:t>
            </w:r>
          </w:p>
        </w:tc>
        <w:tc>
          <w:tcPr>
            <w:tcW w:w="1606" w:type="dxa"/>
            <w:tcBorders>
              <w:top w:val="single" w:color="auto" w:sz="2" w:space="0"/>
              <w:left w:val="single" w:color="auto" w:sz="2" w:space="0"/>
              <w:bottom w:val="single" w:color="auto" w:sz="2" w:space="0"/>
              <w:right w:val="single" w:color="auto" w:sz="2" w:space="0"/>
            </w:tcBorders>
            <w:vAlign w:val="center"/>
          </w:tcPr>
          <w:p w14:paraId="69513C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0.47%</w:t>
            </w:r>
          </w:p>
        </w:tc>
        <w:tc>
          <w:tcPr>
            <w:tcW w:w="1606" w:type="dxa"/>
            <w:tcBorders>
              <w:top w:val="single" w:color="auto" w:sz="2" w:space="0"/>
              <w:left w:val="single" w:color="auto" w:sz="2" w:space="0"/>
              <w:bottom w:val="single" w:color="auto" w:sz="2" w:space="0"/>
              <w:right w:val="single" w:color="auto" w:sz="2" w:space="0"/>
            </w:tcBorders>
            <w:vAlign w:val="center"/>
          </w:tcPr>
          <w:p w14:paraId="6950D0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-13.48%</w:t>
            </w:r>
          </w:p>
        </w:tc>
      </w:tr>
    </w:tbl>
    <w:p w14:paraId="2A038A62">
      <w:pPr>
        <w:keepNext/>
        <w:keepLines/>
        <w:spacing w:before="300" w:after="300" w:line="280" w:lineRule="exact"/>
        <w:outlineLvl w:val="3"/>
        <w:rPr>
          <w:rFonts w:ascii="Times New Roman" w:hAnsi="Times New Roman" w:cs="Times New Roman" w:eastAsiaTheme="majorEastAsia"/>
          <w:b/>
          <w:bCs/>
          <w:sz w:val="18"/>
          <w:szCs w:val="18"/>
        </w:rPr>
      </w:pPr>
      <w:bookmarkStart w:id="24" w:name="_Toc988913"/>
      <w:r>
        <w:rPr>
          <w:rFonts w:ascii="Times New Roman" w:hAnsi="Times New Roman" w:cs="Times New Roman" w:eastAsiaTheme="majorEastAsia"/>
          <w:b/>
          <w:bCs/>
          <w:sz w:val="18"/>
          <w:szCs w:val="18"/>
        </w:rPr>
        <w:t>（6） 报告期内合并范围是否发生变动</w:t>
      </w:r>
      <w:bookmarkEnd w:id="24"/>
    </w:p>
    <w:p w14:paraId="03B9194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是 □否</w:t>
      </w:r>
    </w:p>
    <w:p w14:paraId="4FAA226D">
      <w:pPr>
        <w:pStyle w:val="10"/>
        <w:spacing w:before="156" w:beforeLines="50" w:beforeAutospacing="0" w:after="156" w:afterLines="50" w:afterAutospacing="0"/>
        <w:ind w:firstLine="360" w:firstLineChars="200"/>
        <w:jc w:val="both"/>
        <w:rPr>
          <w:rFonts w:ascii="Times New Roman" w:hAnsi="Times New Roman" w:cs="Times New Roman" w:eastAsiaTheme="majorEastAsia"/>
        </w:rPr>
      </w:pPr>
      <w:r>
        <w:rPr>
          <w:rFonts w:ascii="Times New Roman" w:hAnsi="Times New Roman" w:cs="Times New Roman" w:eastAsiaTheme="majorEastAsia"/>
          <w:sz w:val="18"/>
          <w:szCs w:val="18"/>
        </w:rPr>
        <w:t>本期纳入合并财务报表范围的主体较上期相比，增加13户。报告期内，公司收购广东翼启数据产业有限公司、</w:t>
      </w:r>
      <w:r>
        <w:rPr>
          <w:rFonts w:ascii="Times New Roman" w:hAnsi="Times New Roman" w:cs="Times New Roman" w:eastAsiaTheme="majorEastAsia"/>
          <w:color w:val="000000"/>
          <w:sz w:val="18"/>
          <w:szCs w:val="18"/>
        </w:rPr>
        <w:t>桓台爱康新能源有限公司、桓台爱道光伏发电有限公司、邯郸庚源新能源科技有限公司</w:t>
      </w:r>
      <w:r>
        <w:rPr>
          <w:rFonts w:ascii="Times New Roman" w:hAnsi="Times New Roman" w:cs="Times New Roman" w:eastAsiaTheme="majorEastAsia"/>
          <w:color w:val="333333"/>
          <w:sz w:val="18"/>
          <w:szCs w:val="18"/>
        </w:rPr>
        <w:t>，</w:t>
      </w:r>
      <w:r>
        <w:rPr>
          <w:rFonts w:ascii="Times New Roman" w:hAnsi="Times New Roman" w:cs="Times New Roman" w:eastAsiaTheme="majorEastAsia"/>
          <w:sz w:val="18"/>
          <w:szCs w:val="18"/>
        </w:rPr>
        <w:t>新设子公司</w:t>
      </w:r>
      <w:r>
        <w:rPr>
          <w:rFonts w:ascii="Times New Roman" w:hAnsi="Times New Roman" w:cs="Times New Roman" w:eastAsiaTheme="majorEastAsia"/>
          <w:color w:val="000000"/>
          <w:sz w:val="18"/>
          <w:szCs w:val="18"/>
        </w:rPr>
        <w:t>海南天亿马数字能源有限公司</w:t>
      </w:r>
      <w:r>
        <w:rPr>
          <w:rFonts w:ascii="Times New Roman" w:hAnsi="Times New Roman" w:cs="Times New Roman" w:eastAsiaTheme="majorEastAsia"/>
          <w:sz w:val="18"/>
          <w:szCs w:val="18"/>
        </w:rPr>
        <w:t>、</w:t>
      </w:r>
      <w:r>
        <w:rPr>
          <w:rFonts w:ascii="Times New Roman" w:hAnsi="Times New Roman" w:cs="Times New Roman" w:eastAsiaTheme="majorEastAsia"/>
          <w:color w:val="000000"/>
          <w:sz w:val="18"/>
          <w:szCs w:val="18"/>
        </w:rPr>
        <w:t>广东天亿马新能源产业发展有限公司</w:t>
      </w:r>
      <w:r>
        <w:rPr>
          <w:rFonts w:ascii="Times New Roman" w:hAnsi="Times New Roman" w:cs="Times New Roman" w:eastAsiaTheme="majorEastAsia"/>
          <w:sz w:val="18"/>
          <w:szCs w:val="18"/>
        </w:rPr>
        <w:t>、</w:t>
      </w:r>
      <w:r>
        <w:rPr>
          <w:rFonts w:ascii="Times New Roman" w:hAnsi="Times New Roman" w:cs="Times New Roman" w:eastAsiaTheme="majorEastAsia"/>
          <w:color w:val="000000"/>
          <w:sz w:val="18"/>
          <w:szCs w:val="18"/>
        </w:rPr>
        <w:t>天亿马新能源（衡阳）有限公司</w:t>
      </w:r>
      <w:r>
        <w:rPr>
          <w:rFonts w:ascii="Times New Roman" w:hAnsi="Times New Roman" w:cs="Times New Roman" w:eastAsiaTheme="majorEastAsia"/>
          <w:sz w:val="18"/>
          <w:szCs w:val="18"/>
        </w:rPr>
        <w:t>、</w:t>
      </w:r>
      <w:r>
        <w:rPr>
          <w:rFonts w:ascii="Times New Roman" w:hAnsi="Times New Roman" w:cs="Times New Roman" w:eastAsiaTheme="majorEastAsia"/>
          <w:color w:val="000000"/>
          <w:sz w:val="18"/>
          <w:szCs w:val="18"/>
        </w:rPr>
        <w:t>深圳市亿泰新能源有限公司、广西亿泰新能源有限公司、衡阳凯晶新能源有限公司、深圳市天亿马信息技术有限公司、广州路创轨道科技有限公司、惠州市天亿马信息技术有限公司</w:t>
      </w:r>
      <w:r>
        <w:rPr>
          <w:rFonts w:ascii="Times New Roman" w:hAnsi="Times New Roman" w:cs="Times New Roman" w:eastAsiaTheme="majorEastAsia"/>
          <w:sz w:val="18"/>
          <w:szCs w:val="18"/>
        </w:rPr>
        <w:t>。</w:t>
      </w:r>
    </w:p>
    <w:p w14:paraId="602FBF19">
      <w:pPr>
        <w:keepNext/>
        <w:keepLines/>
        <w:spacing w:before="300" w:after="300" w:line="280" w:lineRule="exact"/>
        <w:outlineLvl w:val="3"/>
        <w:rPr>
          <w:rFonts w:ascii="Times New Roman" w:hAnsi="Times New Roman" w:cs="Times New Roman" w:eastAsiaTheme="majorEastAsia"/>
          <w:b/>
          <w:bCs/>
          <w:sz w:val="18"/>
          <w:szCs w:val="18"/>
        </w:rPr>
      </w:pPr>
      <w:bookmarkStart w:id="25" w:name="_Toc988914"/>
      <w:r>
        <w:rPr>
          <w:rFonts w:ascii="Times New Roman" w:hAnsi="Times New Roman" w:cs="Times New Roman" w:eastAsiaTheme="majorEastAsia"/>
          <w:b/>
          <w:bCs/>
          <w:sz w:val="18"/>
          <w:szCs w:val="18"/>
        </w:rPr>
        <w:t>（7） 公司报告期内业务、产品或服务发生重大变化或调整有关情况</w:t>
      </w:r>
      <w:bookmarkEnd w:id="25"/>
    </w:p>
    <w:p w14:paraId="25B1DB3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74731F5">
      <w:pPr>
        <w:keepNext/>
        <w:keepLines/>
        <w:spacing w:before="300" w:after="300" w:line="280" w:lineRule="exact"/>
        <w:outlineLvl w:val="3"/>
        <w:rPr>
          <w:rFonts w:ascii="Times New Roman" w:hAnsi="Times New Roman" w:cs="Times New Roman" w:eastAsiaTheme="majorEastAsia"/>
          <w:b/>
          <w:bCs/>
          <w:sz w:val="18"/>
          <w:szCs w:val="18"/>
        </w:rPr>
      </w:pPr>
      <w:bookmarkStart w:id="26" w:name="_Toc988915"/>
      <w:r>
        <w:rPr>
          <w:rFonts w:ascii="Times New Roman" w:hAnsi="Times New Roman" w:cs="Times New Roman" w:eastAsiaTheme="majorEastAsia"/>
          <w:b/>
          <w:bCs/>
          <w:sz w:val="18"/>
          <w:szCs w:val="18"/>
        </w:rPr>
        <w:t>（8） 主要销售客户和主要供应商情况</w:t>
      </w:r>
      <w:bookmarkEnd w:id="26"/>
    </w:p>
    <w:p w14:paraId="1ED6E26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公司主要销售客户情况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4626A5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8336E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前五名客户合计销售金额（元）</w:t>
            </w:r>
          </w:p>
        </w:tc>
        <w:tc>
          <w:tcPr>
            <w:tcW w:w="4820" w:type="dxa"/>
            <w:tcBorders>
              <w:top w:val="single" w:color="auto" w:sz="2" w:space="0"/>
              <w:left w:val="single" w:color="auto" w:sz="2" w:space="0"/>
              <w:bottom w:val="single" w:color="auto" w:sz="2" w:space="0"/>
              <w:right w:val="single" w:color="auto" w:sz="2" w:space="0"/>
            </w:tcBorders>
            <w:vAlign w:val="center"/>
          </w:tcPr>
          <w:p w14:paraId="0C3DA2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59,624,285.85</w:t>
            </w:r>
          </w:p>
        </w:tc>
      </w:tr>
      <w:tr w14:paraId="5495F4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AE4163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前五名客户合计销售金额占年度销售总额比例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25981A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26.66%</w:t>
            </w:r>
          </w:p>
        </w:tc>
      </w:tr>
      <w:tr w14:paraId="38A334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8F0B6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前五名客户销售额中关联方销售额占年度销售总额比例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3B25A5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bl>
    <w:p w14:paraId="5711049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公司前5大客户资料</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140C1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02513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序号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2A28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3A06D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销售额（元）</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5A5D66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占年度销售总额比例</w:t>
            </w:r>
          </w:p>
        </w:tc>
      </w:tr>
      <w:tr w14:paraId="2316BB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07FF6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w:t>
            </w:r>
          </w:p>
        </w:tc>
        <w:tc>
          <w:tcPr>
            <w:tcW w:w="2410" w:type="dxa"/>
            <w:tcBorders>
              <w:top w:val="single" w:color="auto" w:sz="2" w:space="0"/>
              <w:left w:val="single" w:color="auto" w:sz="2" w:space="0"/>
              <w:bottom w:val="single" w:color="auto" w:sz="2" w:space="0"/>
              <w:right w:val="single" w:color="auto" w:sz="2" w:space="0"/>
            </w:tcBorders>
            <w:vAlign w:val="center"/>
          </w:tcPr>
          <w:p w14:paraId="3DFA21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客户一</w:t>
            </w:r>
          </w:p>
        </w:tc>
        <w:tc>
          <w:tcPr>
            <w:tcW w:w="2410" w:type="dxa"/>
            <w:tcBorders>
              <w:top w:val="single" w:color="auto" w:sz="2" w:space="0"/>
              <w:left w:val="single" w:color="auto" w:sz="2" w:space="0"/>
              <w:bottom w:val="single" w:color="auto" w:sz="2" w:space="0"/>
              <w:right w:val="single" w:color="auto" w:sz="2" w:space="0"/>
            </w:tcBorders>
            <w:vAlign w:val="center"/>
          </w:tcPr>
          <w:p w14:paraId="241E4D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18,971,681.43</w:t>
            </w:r>
          </w:p>
        </w:tc>
        <w:tc>
          <w:tcPr>
            <w:tcW w:w="2410" w:type="dxa"/>
            <w:tcBorders>
              <w:top w:val="single" w:color="auto" w:sz="2" w:space="0"/>
              <w:left w:val="single" w:color="auto" w:sz="2" w:space="0"/>
              <w:bottom w:val="single" w:color="auto" w:sz="2" w:space="0"/>
              <w:right w:val="single" w:color="auto" w:sz="2" w:space="0"/>
            </w:tcBorders>
            <w:vAlign w:val="center"/>
          </w:tcPr>
          <w:p w14:paraId="52A08F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8.48%</w:t>
            </w:r>
          </w:p>
        </w:tc>
      </w:tr>
      <w:tr w14:paraId="7DEA9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DC6DC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2410" w:type="dxa"/>
            <w:tcBorders>
              <w:top w:val="single" w:color="auto" w:sz="2" w:space="0"/>
              <w:left w:val="single" w:color="auto" w:sz="2" w:space="0"/>
              <w:bottom w:val="single" w:color="auto" w:sz="2" w:space="0"/>
              <w:right w:val="single" w:color="auto" w:sz="2" w:space="0"/>
            </w:tcBorders>
            <w:vAlign w:val="center"/>
          </w:tcPr>
          <w:p w14:paraId="782704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客户二</w:t>
            </w:r>
          </w:p>
        </w:tc>
        <w:tc>
          <w:tcPr>
            <w:tcW w:w="2410" w:type="dxa"/>
            <w:tcBorders>
              <w:top w:val="single" w:color="auto" w:sz="2" w:space="0"/>
              <w:left w:val="single" w:color="auto" w:sz="2" w:space="0"/>
              <w:bottom w:val="single" w:color="auto" w:sz="2" w:space="0"/>
              <w:right w:val="single" w:color="auto" w:sz="2" w:space="0"/>
            </w:tcBorders>
            <w:vAlign w:val="center"/>
          </w:tcPr>
          <w:p w14:paraId="251AA2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12,160,007.50</w:t>
            </w:r>
          </w:p>
        </w:tc>
        <w:tc>
          <w:tcPr>
            <w:tcW w:w="2410" w:type="dxa"/>
            <w:tcBorders>
              <w:top w:val="single" w:color="auto" w:sz="2" w:space="0"/>
              <w:left w:val="single" w:color="auto" w:sz="2" w:space="0"/>
              <w:bottom w:val="single" w:color="auto" w:sz="2" w:space="0"/>
              <w:right w:val="single" w:color="auto" w:sz="2" w:space="0"/>
            </w:tcBorders>
            <w:vAlign w:val="center"/>
          </w:tcPr>
          <w:p w14:paraId="260F92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5.44%</w:t>
            </w:r>
          </w:p>
        </w:tc>
      </w:tr>
      <w:tr w14:paraId="243303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793E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6E6C9C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客户三</w:t>
            </w:r>
          </w:p>
        </w:tc>
        <w:tc>
          <w:tcPr>
            <w:tcW w:w="2410" w:type="dxa"/>
            <w:tcBorders>
              <w:top w:val="single" w:color="auto" w:sz="2" w:space="0"/>
              <w:left w:val="single" w:color="auto" w:sz="2" w:space="0"/>
              <w:bottom w:val="single" w:color="auto" w:sz="2" w:space="0"/>
              <w:right w:val="single" w:color="auto" w:sz="2" w:space="0"/>
            </w:tcBorders>
            <w:vAlign w:val="center"/>
          </w:tcPr>
          <w:p w14:paraId="674DBC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11,684,183.83</w:t>
            </w:r>
          </w:p>
        </w:tc>
        <w:tc>
          <w:tcPr>
            <w:tcW w:w="2410" w:type="dxa"/>
            <w:tcBorders>
              <w:top w:val="single" w:color="auto" w:sz="2" w:space="0"/>
              <w:left w:val="single" w:color="auto" w:sz="2" w:space="0"/>
              <w:bottom w:val="single" w:color="auto" w:sz="2" w:space="0"/>
              <w:right w:val="single" w:color="auto" w:sz="2" w:space="0"/>
            </w:tcBorders>
            <w:vAlign w:val="center"/>
          </w:tcPr>
          <w:p w14:paraId="3BBD60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5.22%</w:t>
            </w:r>
          </w:p>
        </w:tc>
      </w:tr>
      <w:tr w14:paraId="2D59C7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CFC1B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w:t>
            </w:r>
          </w:p>
        </w:tc>
        <w:tc>
          <w:tcPr>
            <w:tcW w:w="2410" w:type="dxa"/>
            <w:tcBorders>
              <w:top w:val="single" w:color="auto" w:sz="2" w:space="0"/>
              <w:left w:val="single" w:color="auto" w:sz="2" w:space="0"/>
              <w:bottom w:val="single" w:color="auto" w:sz="2" w:space="0"/>
              <w:right w:val="single" w:color="auto" w:sz="2" w:space="0"/>
            </w:tcBorders>
            <w:vAlign w:val="center"/>
          </w:tcPr>
          <w:p w14:paraId="405F5E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客户四</w:t>
            </w:r>
          </w:p>
        </w:tc>
        <w:tc>
          <w:tcPr>
            <w:tcW w:w="2410" w:type="dxa"/>
            <w:tcBorders>
              <w:top w:val="single" w:color="auto" w:sz="2" w:space="0"/>
              <w:left w:val="single" w:color="auto" w:sz="2" w:space="0"/>
              <w:bottom w:val="single" w:color="auto" w:sz="2" w:space="0"/>
              <w:right w:val="single" w:color="auto" w:sz="2" w:space="0"/>
            </w:tcBorders>
            <w:vAlign w:val="center"/>
          </w:tcPr>
          <w:p w14:paraId="11B422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8,832,042.07</w:t>
            </w:r>
          </w:p>
        </w:tc>
        <w:tc>
          <w:tcPr>
            <w:tcW w:w="2410" w:type="dxa"/>
            <w:tcBorders>
              <w:top w:val="single" w:color="auto" w:sz="2" w:space="0"/>
              <w:left w:val="single" w:color="auto" w:sz="2" w:space="0"/>
              <w:bottom w:val="single" w:color="auto" w:sz="2" w:space="0"/>
              <w:right w:val="single" w:color="auto" w:sz="2" w:space="0"/>
            </w:tcBorders>
            <w:vAlign w:val="center"/>
          </w:tcPr>
          <w:p w14:paraId="1CE444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3.95%</w:t>
            </w:r>
          </w:p>
        </w:tc>
      </w:tr>
      <w:tr w14:paraId="5A24A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4B2BB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2410" w:type="dxa"/>
            <w:tcBorders>
              <w:top w:val="single" w:color="auto" w:sz="2" w:space="0"/>
              <w:left w:val="single" w:color="auto" w:sz="2" w:space="0"/>
              <w:bottom w:val="single" w:color="auto" w:sz="2" w:space="0"/>
              <w:right w:val="single" w:color="auto" w:sz="2" w:space="0"/>
            </w:tcBorders>
            <w:vAlign w:val="center"/>
          </w:tcPr>
          <w:p w14:paraId="6F4217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客户五</w:t>
            </w:r>
          </w:p>
        </w:tc>
        <w:tc>
          <w:tcPr>
            <w:tcW w:w="2410" w:type="dxa"/>
            <w:tcBorders>
              <w:top w:val="single" w:color="auto" w:sz="2" w:space="0"/>
              <w:left w:val="single" w:color="auto" w:sz="2" w:space="0"/>
              <w:bottom w:val="single" w:color="auto" w:sz="2" w:space="0"/>
              <w:right w:val="single" w:color="auto" w:sz="2" w:space="0"/>
            </w:tcBorders>
            <w:vAlign w:val="center"/>
          </w:tcPr>
          <w:p w14:paraId="7E7409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7,976,371.02</w:t>
            </w:r>
          </w:p>
        </w:tc>
        <w:tc>
          <w:tcPr>
            <w:tcW w:w="2410" w:type="dxa"/>
            <w:tcBorders>
              <w:top w:val="single" w:color="auto" w:sz="2" w:space="0"/>
              <w:left w:val="single" w:color="auto" w:sz="2" w:space="0"/>
              <w:bottom w:val="single" w:color="auto" w:sz="2" w:space="0"/>
              <w:right w:val="single" w:color="auto" w:sz="2" w:space="0"/>
            </w:tcBorders>
            <w:vAlign w:val="center"/>
          </w:tcPr>
          <w:p w14:paraId="2E2D7B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w:t>
            </w:r>
          </w:p>
        </w:tc>
      </w:tr>
      <w:tr w14:paraId="2858E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601D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98E4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410" w:type="dxa"/>
            <w:tcBorders>
              <w:top w:val="single" w:color="auto" w:sz="2" w:space="0"/>
              <w:left w:val="single" w:color="auto" w:sz="2" w:space="0"/>
              <w:bottom w:val="single" w:color="auto" w:sz="2" w:space="0"/>
              <w:right w:val="single" w:color="auto" w:sz="2" w:space="0"/>
            </w:tcBorders>
            <w:vAlign w:val="center"/>
          </w:tcPr>
          <w:p w14:paraId="3A7978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59,624,285.85</w:t>
            </w:r>
          </w:p>
        </w:tc>
        <w:tc>
          <w:tcPr>
            <w:tcW w:w="2410" w:type="dxa"/>
            <w:tcBorders>
              <w:top w:val="single" w:color="auto" w:sz="2" w:space="0"/>
              <w:left w:val="single" w:color="auto" w:sz="2" w:space="0"/>
              <w:bottom w:val="single" w:color="auto" w:sz="2" w:space="0"/>
              <w:right w:val="single" w:color="auto" w:sz="2" w:space="0"/>
            </w:tcBorders>
            <w:vAlign w:val="center"/>
          </w:tcPr>
          <w:p w14:paraId="0BAC33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26.66%</w:t>
            </w:r>
          </w:p>
        </w:tc>
      </w:tr>
    </w:tbl>
    <w:p w14:paraId="572AD18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主要客户其他情况说明</w:t>
      </w:r>
    </w:p>
    <w:p w14:paraId="69F8E9A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87FC41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公司主要供应商情况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F1DFE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CF3FB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前五名供应商合计采购金额（元）</w:t>
            </w:r>
          </w:p>
        </w:tc>
        <w:tc>
          <w:tcPr>
            <w:tcW w:w="4820" w:type="dxa"/>
            <w:tcBorders>
              <w:top w:val="single" w:color="auto" w:sz="2" w:space="0"/>
              <w:left w:val="single" w:color="auto" w:sz="2" w:space="0"/>
              <w:bottom w:val="single" w:color="auto" w:sz="2" w:space="0"/>
              <w:right w:val="single" w:color="auto" w:sz="2" w:space="0"/>
            </w:tcBorders>
            <w:vAlign w:val="center"/>
          </w:tcPr>
          <w:p w14:paraId="2ABF35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407,760,836.15</w:t>
            </w:r>
          </w:p>
        </w:tc>
      </w:tr>
      <w:tr w14:paraId="51597E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E811B0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前五名供应商合计采购金额占年度采购总额比例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714868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66.11%</w:t>
            </w:r>
          </w:p>
        </w:tc>
      </w:tr>
      <w:tr w14:paraId="143BD2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2AEC5E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前五名供应商采购额中关联方采购额占年度采购总额比例</w:t>
            </w:r>
          </w:p>
        </w:tc>
        <w:tc>
          <w:tcPr>
            <w:tcW w:w="4820" w:type="dxa"/>
            <w:tcBorders>
              <w:top w:val="single" w:color="auto" w:sz="2" w:space="0"/>
              <w:left w:val="single" w:color="auto" w:sz="2" w:space="0"/>
              <w:bottom w:val="single" w:color="auto" w:sz="2" w:space="0"/>
              <w:right w:val="single" w:color="auto" w:sz="2" w:space="0"/>
            </w:tcBorders>
            <w:vAlign w:val="center"/>
          </w:tcPr>
          <w:p w14:paraId="22830B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bl>
    <w:p w14:paraId="3DF4319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公司前5名供应商资料</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03CC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4AE1F8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序号</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77F30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75B13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采购额（元）</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03BE9F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占年度采购总额比例</w:t>
            </w:r>
          </w:p>
        </w:tc>
      </w:tr>
      <w:tr w14:paraId="76AB93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361E4A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w:t>
            </w:r>
          </w:p>
        </w:tc>
        <w:tc>
          <w:tcPr>
            <w:tcW w:w="2410" w:type="dxa"/>
            <w:tcBorders>
              <w:top w:val="single" w:color="auto" w:sz="2" w:space="0"/>
              <w:left w:val="single" w:color="auto" w:sz="2" w:space="0"/>
              <w:bottom w:val="single" w:color="auto" w:sz="2" w:space="0"/>
              <w:right w:val="single" w:color="auto" w:sz="2" w:space="0"/>
            </w:tcBorders>
            <w:vAlign w:val="center"/>
          </w:tcPr>
          <w:p w14:paraId="39ABF9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供应商一</w:t>
            </w:r>
          </w:p>
        </w:tc>
        <w:tc>
          <w:tcPr>
            <w:tcW w:w="2410" w:type="dxa"/>
            <w:tcBorders>
              <w:top w:val="single" w:color="auto" w:sz="2" w:space="0"/>
              <w:left w:val="single" w:color="auto" w:sz="2" w:space="0"/>
              <w:bottom w:val="single" w:color="auto" w:sz="2" w:space="0"/>
              <w:right w:val="single" w:color="auto" w:sz="2" w:space="0"/>
            </w:tcBorders>
            <w:vAlign w:val="center"/>
          </w:tcPr>
          <w:p w14:paraId="39DABB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126,106,194.69</w:t>
            </w:r>
          </w:p>
        </w:tc>
        <w:tc>
          <w:tcPr>
            <w:tcW w:w="2410" w:type="dxa"/>
            <w:tcBorders>
              <w:top w:val="single" w:color="auto" w:sz="2" w:space="0"/>
              <w:left w:val="single" w:color="auto" w:sz="2" w:space="0"/>
              <w:bottom w:val="single" w:color="auto" w:sz="2" w:space="0"/>
              <w:right w:val="single" w:color="auto" w:sz="2" w:space="0"/>
            </w:tcBorders>
            <w:vAlign w:val="center"/>
          </w:tcPr>
          <w:p w14:paraId="2674B5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20.45%</w:t>
            </w:r>
          </w:p>
        </w:tc>
      </w:tr>
      <w:tr w14:paraId="4B1FCB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2C37A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2410" w:type="dxa"/>
            <w:tcBorders>
              <w:top w:val="single" w:color="auto" w:sz="2" w:space="0"/>
              <w:left w:val="single" w:color="auto" w:sz="2" w:space="0"/>
              <w:bottom w:val="single" w:color="auto" w:sz="2" w:space="0"/>
              <w:right w:val="single" w:color="auto" w:sz="2" w:space="0"/>
            </w:tcBorders>
            <w:vAlign w:val="center"/>
          </w:tcPr>
          <w:p w14:paraId="7CF036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供应商二</w:t>
            </w:r>
          </w:p>
        </w:tc>
        <w:tc>
          <w:tcPr>
            <w:tcW w:w="2410" w:type="dxa"/>
            <w:tcBorders>
              <w:top w:val="single" w:color="auto" w:sz="2" w:space="0"/>
              <w:left w:val="single" w:color="auto" w:sz="2" w:space="0"/>
              <w:bottom w:val="single" w:color="auto" w:sz="2" w:space="0"/>
              <w:right w:val="single" w:color="auto" w:sz="2" w:space="0"/>
            </w:tcBorders>
            <w:vAlign w:val="center"/>
          </w:tcPr>
          <w:p w14:paraId="5BFEE9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77,433,628.30</w:t>
            </w:r>
          </w:p>
        </w:tc>
        <w:tc>
          <w:tcPr>
            <w:tcW w:w="2410" w:type="dxa"/>
            <w:tcBorders>
              <w:top w:val="single" w:color="auto" w:sz="2" w:space="0"/>
              <w:left w:val="single" w:color="auto" w:sz="2" w:space="0"/>
              <w:bottom w:val="single" w:color="auto" w:sz="2" w:space="0"/>
              <w:right w:val="single" w:color="auto" w:sz="2" w:space="0"/>
            </w:tcBorders>
            <w:vAlign w:val="center"/>
          </w:tcPr>
          <w:p w14:paraId="188720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12.55%</w:t>
            </w:r>
          </w:p>
        </w:tc>
      </w:tr>
      <w:tr w14:paraId="78A260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5092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w:t>
            </w:r>
          </w:p>
        </w:tc>
        <w:tc>
          <w:tcPr>
            <w:tcW w:w="2410" w:type="dxa"/>
            <w:tcBorders>
              <w:top w:val="single" w:color="auto" w:sz="2" w:space="0"/>
              <w:left w:val="single" w:color="auto" w:sz="2" w:space="0"/>
              <w:bottom w:val="single" w:color="auto" w:sz="2" w:space="0"/>
              <w:right w:val="single" w:color="auto" w:sz="2" w:space="0"/>
            </w:tcBorders>
            <w:vAlign w:val="center"/>
          </w:tcPr>
          <w:p w14:paraId="763A07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供应商三</w:t>
            </w:r>
          </w:p>
        </w:tc>
        <w:tc>
          <w:tcPr>
            <w:tcW w:w="2410" w:type="dxa"/>
            <w:tcBorders>
              <w:top w:val="single" w:color="auto" w:sz="2" w:space="0"/>
              <w:left w:val="single" w:color="auto" w:sz="2" w:space="0"/>
              <w:bottom w:val="single" w:color="auto" w:sz="2" w:space="0"/>
              <w:right w:val="single" w:color="auto" w:sz="2" w:space="0"/>
            </w:tcBorders>
            <w:vAlign w:val="center"/>
          </w:tcPr>
          <w:p w14:paraId="7EE15F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77,433,628.30</w:t>
            </w:r>
          </w:p>
        </w:tc>
        <w:tc>
          <w:tcPr>
            <w:tcW w:w="2410" w:type="dxa"/>
            <w:tcBorders>
              <w:top w:val="single" w:color="auto" w:sz="2" w:space="0"/>
              <w:left w:val="single" w:color="auto" w:sz="2" w:space="0"/>
              <w:bottom w:val="single" w:color="auto" w:sz="2" w:space="0"/>
              <w:right w:val="single" w:color="auto" w:sz="2" w:space="0"/>
            </w:tcBorders>
            <w:vAlign w:val="center"/>
          </w:tcPr>
          <w:p w14:paraId="057CBC5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12.55%</w:t>
            </w:r>
          </w:p>
        </w:tc>
      </w:tr>
      <w:tr w14:paraId="47B321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AD700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w:t>
            </w:r>
          </w:p>
        </w:tc>
        <w:tc>
          <w:tcPr>
            <w:tcW w:w="2410" w:type="dxa"/>
            <w:tcBorders>
              <w:top w:val="single" w:color="auto" w:sz="2" w:space="0"/>
              <w:left w:val="single" w:color="auto" w:sz="2" w:space="0"/>
              <w:bottom w:val="single" w:color="auto" w:sz="2" w:space="0"/>
              <w:right w:val="single" w:color="auto" w:sz="2" w:space="0"/>
            </w:tcBorders>
            <w:vAlign w:val="center"/>
          </w:tcPr>
          <w:p w14:paraId="518116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供应商四</w:t>
            </w:r>
          </w:p>
        </w:tc>
        <w:tc>
          <w:tcPr>
            <w:tcW w:w="2410" w:type="dxa"/>
            <w:tcBorders>
              <w:top w:val="single" w:color="auto" w:sz="2" w:space="0"/>
              <w:left w:val="single" w:color="auto" w:sz="2" w:space="0"/>
              <w:bottom w:val="single" w:color="auto" w:sz="2" w:space="0"/>
              <w:right w:val="single" w:color="auto" w:sz="2" w:space="0"/>
            </w:tcBorders>
            <w:vAlign w:val="center"/>
          </w:tcPr>
          <w:p w14:paraId="3C2B69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74,370,739.55</w:t>
            </w:r>
          </w:p>
        </w:tc>
        <w:tc>
          <w:tcPr>
            <w:tcW w:w="2410" w:type="dxa"/>
            <w:tcBorders>
              <w:top w:val="single" w:color="auto" w:sz="2" w:space="0"/>
              <w:left w:val="single" w:color="auto" w:sz="2" w:space="0"/>
              <w:bottom w:val="single" w:color="auto" w:sz="2" w:space="0"/>
              <w:right w:val="single" w:color="auto" w:sz="2" w:space="0"/>
            </w:tcBorders>
            <w:vAlign w:val="center"/>
          </w:tcPr>
          <w:p w14:paraId="369163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12.06%</w:t>
            </w:r>
          </w:p>
        </w:tc>
      </w:tr>
      <w:tr w14:paraId="7D3D7B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43AA8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2410" w:type="dxa"/>
            <w:tcBorders>
              <w:top w:val="single" w:color="auto" w:sz="2" w:space="0"/>
              <w:left w:val="single" w:color="auto" w:sz="2" w:space="0"/>
              <w:bottom w:val="single" w:color="auto" w:sz="2" w:space="0"/>
              <w:right w:val="single" w:color="auto" w:sz="2" w:space="0"/>
            </w:tcBorders>
            <w:vAlign w:val="center"/>
          </w:tcPr>
          <w:p w14:paraId="34E64D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供应商五</w:t>
            </w:r>
          </w:p>
        </w:tc>
        <w:tc>
          <w:tcPr>
            <w:tcW w:w="2410" w:type="dxa"/>
            <w:tcBorders>
              <w:top w:val="single" w:color="auto" w:sz="2" w:space="0"/>
              <w:left w:val="single" w:color="auto" w:sz="2" w:space="0"/>
              <w:bottom w:val="single" w:color="auto" w:sz="2" w:space="0"/>
              <w:right w:val="single" w:color="auto" w:sz="2" w:space="0"/>
            </w:tcBorders>
            <w:vAlign w:val="center"/>
          </w:tcPr>
          <w:p w14:paraId="34A353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52,416,645.30</w:t>
            </w:r>
          </w:p>
        </w:tc>
        <w:tc>
          <w:tcPr>
            <w:tcW w:w="2410" w:type="dxa"/>
            <w:tcBorders>
              <w:top w:val="single" w:color="auto" w:sz="2" w:space="0"/>
              <w:left w:val="single" w:color="auto" w:sz="2" w:space="0"/>
              <w:bottom w:val="single" w:color="auto" w:sz="2" w:space="0"/>
              <w:right w:val="single" w:color="auto" w:sz="2" w:space="0"/>
            </w:tcBorders>
            <w:vAlign w:val="center"/>
          </w:tcPr>
          <w:p w14:paraId="2D489B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8.50%</w:t>
            </w:r>
          </w:p>
        </w:tc>
      </w:tr>
      <w:tr w14:paraId="4E8C0A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3317C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FF339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410" w:type="dxa"/>
            <w:tcBorders>
              <w:top w:val="single" w:color="auto" w:sz="2" w:space="0"/>
              <w:left w:val="single" w:color="auto" w:sz="2" w:space="0"/>
              <w:bottom w:val="single" w:color="auto" w:sz="2" w:space="0"/>
              <w:right w:val="single" w:color="auto" w:sz="2" w:space="0"/>
            </w:tcBorders>
            <w:vAlign w:val="center"/>
          </w:tcPr>
          <w:p w14:paraId="5B1D22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407,760,836.14</w:t>
            </w:r>
          </w:p>
        </w:tc>
        <w:tc>
          <w:tcPr>
            <w:tcW w:w="2410" w:type="dxa"/>
            <w:tcBorders>
              <w:top w:val="single" w:color="auto" w:sz="2" w:space="0"/>
              <w:left w:val="single" w:color="auto" w:sz="2" w:space="0"/>
              <w:bottom w:val="single" w:color="auto" w:sz="2" w:space="0"/>
              <w:right w:val="single" w:color="auto" w:sz="2" w:space="0"/>
            </w:tcBorders>
            <w:vAlign w:val="center"/>
          </w:tcPr>
          <w:p w14:paraId="4BBBE6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66.11%</w:t>
            </w:r>
          </w:p>
        </w:tc>
      </w:tr>
    </w:tbl>
    <w:p w14:paraId="6F3CF74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主要供应商其他情况说明</w:t>
      </w:r>
    </w:p>
    <w:p w14:paraId="117C1B9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5482837">
      <w:pPr>
        <w:pStyle w:val="3"/>
        <w:spacing w:line="280" w:lineRule="exact"/>
        <w:jc w:val="left"/>
        <w:rPr>
          <w:rFonts w:ascii="Times New Roman" w:hAnsi="Times New Roman" w:cs="Times New Roman" w:eastAsiaTheme="majorEastAsia"/>
          <w:b/>
          <w:bCs/>
        </w:rPr>
      </w:pPr>
      <w:bookmarkStart w:id="27" w:name="_Toc988916"/>
      <w:r>
        <w:rPr>
          <w:rFonts w:ascii="Times New Roman" w:hAnsi="Times New Roman" w:cs="Times New Roman" w:eastAsiaTheme="majorEastAsia"/>
          <w:b/>
          <w:bCs/>
        </w:rPr>
        <w:t>3、费用</w:t>
      </w:r>
      <w:bookmarkEnd w:id="27"/>
    </w:p>
    <w:p w14:paraId="488B5C7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83406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1E1117">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054836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C1FC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79536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同比增减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61340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重大变动说明</w:t>
            </w:r>
          </w:p>
        </w:tc>
      </w:tr>
      <w:tr w14:paraId="2CE4DB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60E37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销售费用</w:t>
            </w:r>
          </w:p>
        </w:tc>
        <w:tc>
          <w:tcPr>
            <w:tcW w:w="1928" w:type="dxa"/>
            <w:tcBorders>
              <w:top w:val="single" w:color="auto" w:sz="2" w:space="0"/>
              <w:left w:val="single" w:color="auto" w:sz="2" w:space="0"/>
              <w:bottom w:val="single" w:color="auto" w:sz="2" w:space="0"/>
              <w:right w:val="single" w:color="auto" w:sz="2" w:space="0"/>
            </w:tcBorders>
            <w:vAlign w:val="center"/>
          </w:tcPr>
          <w:p w14:paraId="42F98E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23,606,686.47</w:t>
            </w:r>
          </w:p>
        </w:tc>
        <w:tc>
          <w:tcPr>
            <w:tcW w:w="1928" w:type="dxa"/>
            <w:tcBorders>
              <w:top w:val="single" w:color="auto" w:sz="2" w:space="0"/>
              <w:left w:val="single" w:color="auto" w:sz="2" w:space="0"/>
              <w:bottom w:val="single" w:color="auto" w:sz="2" w:space="0"/>
              <w:right w:val="single" w:color="auto" w:sz="2" w:space="0"/>
            </w:tcBorders>
            <w:vAlign w:val="center"/>
          </w:tcPr>
          <w:p w14:paraId="056AFC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19,532,850.75</w:t>
            </w:r>
          </w:p>
        </w:tc>
        <w:tc>
          <w:tcPr>
            <w:tcW w:w="1928" w:type="dxa"/>
            <w:tcBorders>
              <w:top w:val="single" w:color="auto" w:sz="2" w:space="0"/>
              <w:left w:val="single" w:color="auto" w:sz="2" w:space="0"/>
              <w:bottom w:val="single" w:color="auto" w:sz="2" w:space="0"/>
              <w:right w:val="single" w:color="auto" w:sz="2" w:space="0"/>
            </w:tcBorders>
            <w:vAlign w:val="center"/>
          </w:tcPr>
          <w:p w14:paraId="19DE30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20.86%</w:t>
            </w:r>
          </w:p>
        </w:tc>
        <w:tc>
          <w:tcPr>
            <w:tcW w:w="1928" w:type="dxa"/>
            <w:tcBorders>
              <w:top w:val="single" w:color="auto" w:sz="2" w:space="0"/>
              <w:left w:val="single" w:color="auto" w:sz="2" w:space="0"/>
              <w:bottom w:val="single" w:color="auto" w:sz="2" w:space="0"/>
              <w:right w:val="single" w:color="auto" w:sz="2" w:space="0"/>
            </w:tcBorders>
            <w:vAlign w:val="center"/>
          </w:tcPr>
          <w:p w14:paraId="2A64A9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主要系股权激励及合并主体增加导致费用上升。</w:t>
            </w:r>
          </w:p>
        </w:tc>
      </w:tr>
      <w:tr w14:paraId="5374A3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A2984C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管理费用</w:t>
            </w:r>
          </w:p>
        </w:tc>
        <w:tc>
          <w:tcPr>
            <w:tcW w:w="1928" w:type="dxa"/>
            <w:tcBorders>
              <w:top w:val="single" w:color="auto" w:sz="2" w:space="0"/>
              <w:left w:val="single" w:color="auto" w:sz="2" w:space="0"/>
              <w:bottom w:val="single" w:color="auto" w:sz="2" w:space="0"/>
              <w:right w:val="single" w:color="auto" w:sz="2" w:space="0"/>
            </w:tcBorders>
            <w:vAlign w:val="center"/>
          </w:tcPr>
          <w:p w14:paraId="2C3F5A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31,237,039.63</w:t>
            </w:r>
          </w:p>
        </w:tc>
        <w:tc>
          <w:tcPr>
            <w:tcW w:w="1928" w:type="dxa"/>
            <w:tcBorders>
              <w:top w:val="single" w:color="auto" w:sz="2" w:space="0"/>
              <w:left w:val="single" w:color="auto" w:sz="2" w:space="0"/>
              <w:bottom w:val="single" w:color="auto" w:sz="2" w:space="0"/>
              <w:right w:val="single" w:color="auto" w:sz="2" w:space="0"/>
            </w:tcBorders>
            <w:vAlign w:val="center"/>
          </w:tcPr>
          <w:p w14:paraId="1093D8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24,816,344.88</w:t>
            </w:r>
          </w:p>
        </w:tc>
        <w:tc>
          <w:tcPr>
            <w:tcW w:w="1928" w:type="dxa"/>
            <w:tcBorders>
              <w:top w:val="single" w:color="auto" w:sz="2" w:space="0"/>
              <w:left w:val="single" w:color="auto" w:sz="2" w:space="0"/>
              <w:bottom w:val="single" w:color="auto" w:sz="2" w:space="0"/>
              <w:right w:val="single" w:color="auto" w:sz="2" w:space="0"/>
            </w:tcBorders>
            <w:vAlign w:val="center"/>
          </w:tcPr>
          <w:p w14:paraId="734077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25.87%</w:t>
            </w:r>
          </w:p>
        </w:tc>
        <w:tc>
          <w:tcPr>
            <w:tcW w:w="1928" w:type="dxa"/>
            <w:tcBorders>
              <w:top w:val="single" w:color="auto" w:sz="2" w:space="0"/>
              <w:left w:val="single" w:color="auto" w:sz="2" w:space="0"/>
              <w:bottom w:val="single" w:color="auto" w:sz="2" w:space="0"/>
              <w:right w:val="single" w:color="auto" w:sz="2" w:space="0"/>
            </w:tcBorders>
            <w:vAlign w:val="center"/>
          </w:tcPr>
          <w:p w14:paraId="5F4651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主要系股权激励及合并主体增加导致费用上升。</w:t>
            </w:r>
          </w:p>
        </w:tc>
      </w:tr>
      <w:tr w14:paraId="03A473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72FF31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财务费用</w:t>
            </w:r>
          </w:p>
        </w:tc>
        <w:tc>
          <w:tcPr>
            <w:tcW w:w="1928" w:type="dxa"/>
            <w:tcBorders>
              <w:top w:val="single" w:color="auto" w:sz="2" w:space="0"/>
              <w:left w:val="single" w:color="auto" w:sz="2" w:space="0"/>
              <w:bottom w:val="single" w:color="auto" w:sz="2" w:space="0"/>
              <w:right w:val="single" w:color="auto" w:sz="2" w:space="0"/>
            </w:tcBorders>
            <w:vAlign w:val="center"/>
          </w:tcPr>
          <w:p w14:paraId="003B02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-5,143,957.18</w:t>
            </w:r>
          </w:p>
        </w:tc>
        <w:tc>
          <w:tcPr>
            <w:tcW w:w="1928" w:type="dxa"/>
            <w:tcBorders>
              <w:top w:val="single" w:color="auto" w:sz="2" w:space="0"/>
              <w:left w:val="single" w:color="auto" w:sz="2" w:space="0"/>
              <w:bottom w:val="single" w:color="auto" w:sz="2" w:space="0"/>
              <w:right w:val="single" w:color="auto" w:sz="2" w:space="0"/>
            </w:tcBorders>
            <w:vAlign w:val="center"/>
          </w:tcPr>
          <w:p w14:paraId="618FE2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-8,281,893.59</w:t>
            </w:r>
          </w:p>
        </w:tc>
        <w:tc>
          <w:tcPr>
            <w:tcW w:w="1928" w:type="dxa"/>
            <w:tcBorders>
              <w:top w:val="single" w:color="auto" w:sz="2" w:space="0"/>
              <w:left w:val="single" w:color="auto" w:sz="2" w:space="0"/>
              <w:bottom w:val="single" w:color="auto" w:sz="2" w:space="0"/>
              <w:right w:val="single" w:color="auto" w:sz="2" w:space="0"/>
            </w:tcBorders>
            <w:vAlign w:val="center"/>
          </w:tcPr>
          <w:p w14:paraId="5128DC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-37.89%</w:t>
            </w:r>
          </w:p>
        </w:tc>
        <w:tc>
          <w:tcPr>
            <w:tcW w:w="1928" w:type="dxa"/>
            <w:tcBorders>
              <w:top w:val="single" w:color="auto" w:sz="2" w:space="0"/>
              <w:left w:val="single" w:color="auto" w:sz="2" w:space="0"/>
              <w:bottom w:val="single" w:color="auto" w:sz="2" w:space="0"/>
              <w:right w:val="single" w:color="auto" w:sz="2" w:space="0"/>
            </w:tcBorders>
            <w:vAlign w:val="center"/>
          </w:tcPr>
          <w:p w14:paraId="09C7F0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主要系闲置资金减少，导致利息收入减少所致。</w:t>
            </w:r>
          </w:p>
        </w:tc>
      </w:tr>
      <w:tr w14:paraId="2DBB5A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EE248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研发费用</w:t>
            </w:r>
          </w:p>
        </w:tc>
        <w:tc>
          <w:tcPr>
            <w:tcW w:w="1928" w:type="dxa"/>
            <w:tcBorders>
              <w:top w:val="single" w:color="auto" w:sz="2" w:space="0"/>
              <w:left w:val="single" w:color="auto" w:sz="2" w:space="0"/>
              <w:bottom w:val="single" w:color="auto" w:sz="2" w:space="0"/>
              <w:right w:val="single" w:color="auto" w:sz="2" w:space="0"/>
            </w:tcBorders>
            <w:vAlign w:val="center"/>
          </w:tcPr>
          <w:p w14:paraId="5F5CBF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1928" w:type="dxa"/>
            <w:tcBorders>
              <w:top w:val="single" w:color="auto" w:sz="2" w:space="0"/>
              <w:left w:val="single" w:color="auto" w:sz="2" w:space="0"/>
              <w:bottom w:val="single" w:color="auto" w:sz="2" w:space="0"/>
              <w:right w:val="single" w:color="auto" w:sz="2" w:space="0"/>
            </w:tcBorders>
            <w:vAlign w:val="center"/>
          </w:tcPr>
          <w:p w14:paraId="004CAA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c>
          <w:tcPr>
            <w:tcW w:w="1928" w:type="dxa"/>
            <w:tcBorders>
              <w:top w:val="single" w:color="auto" w:sz="2" w:space="0"/>
              <w:left w:val="single" w:color="auto" w:sz="2" w:space="0"/>
              <w:bottom w:val="single" w:color="auto" w:sz="2" w:space="0"/>
              <w:right w:val="single" w:color="auto" w:sz="2" w:space="0"/>
            </w:tcBorders>
            <w:vAlign w:val="center"/>
          </w:tcPr>
          <w:p w14:paraId="490DB9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-3.21%</w:t>
            </w:r>
          </w:p>
        </w:tc>
        <w:tc>
          <w:tcPr>
            <w:tcW w:w="1928" w:type="dxa"/>
            <w:tcBorders>
              <w:top w:val="single" w:color="auto" w:sz="2" w:space="0"/>
              <w:left w:val="single" w:color="auto" w:sz="2" w:space="0"/>
              <w:bottom w:val="single" w:color="auto" w:sz="2" w:space="0"/>
              <w:right w:val="single" w:color="auto" w:sz="2" w:space="0"/>
            </w:tcBorders>
            <w:vAlign w:val="center"/>
          </w:tcPr>
          <w:p w14:paraId="0F9CFF44">
            <w:pPr>
              <w:spacing w:line="240" w:lineRule="exact"/>
              <w:rPr>
                <w:rFonts w:ascii="Times New Roman" w:hAnsi="Times New Roman" w:cs="Times New Roman" w:eastAsiaTheme="majorEastAsia"/>
                <w:sz w:val="18"/>
                <w:szCs w:val="18"/>
              </w:rPr>
            </w:pPr>
          </w:p>
        </w:tc>
      </w:tr>
    </w:tbl>
    <w:p w14:paraId="6273615E">
      <w:pPr>
        <w:pStyle w:val="3"/>
        <w:spacing w:line="280" w:lineRule="exact"/>
        <w:jc w:val="left"/>
        <w:rPr>
          <w:rFonts w:ascii="Times New Roman" w:hAnsi="Times New Roman" w:cs="Times New Roman" w:eastAsiaTheme="majorEastAsia"/>
          <w:b/>
          <w:bCs/>
        </w:rPr>
      </w:pPr>
      <w:bookmarkStart w:id="28" w:name="_Toc988917"/>
      <w:r>
        <w:rPr>
          <w:rFonts w:ascii="Times New Roman" w:hAnsi="Times New Roman" w:cs="Times New Roman" w:eastAsiaTheme="majorEastAsia"/>
          <w:b/>
          <w:bCs/>
        </w:rPr>
        <w:t>4、研发投入</w:t>
      </w:r>
      <w:bookmarkEnd w:id="28"/>
    </w:p>
    <w:p w14:paraId="05A7394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80"/>
        <w:gridCol w:w="1876"/>
      </w:tblGrid>
      <w:tr w14:paraId="496058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447B81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主要研发项目名称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7913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项目目的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9513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项目进展</w:t>
            </w:r>
          </w:p>
        </w:tc>
        <w:tc>
          <w:tcPr>
            <w:tcW w:w="1980" w:type="dxa"/>
            <w:tcBorders>
              <w:top w:val="single" w:color="auto" w:sz="2" w:space="0"/>
              <w:left w:val="single" w:color="auto" w:sz="2" w:space="0"/>
              <w:bottom w:val="single" w:color="auto" w:sz="2" w:space="0"/>
              <w:right w:val="single" w:color="auto" w:sz="2" w:space="0"/>
            </w:tcBorders>
            <w:shd w:val="clear" w:color="auto" w:fill="D3D3D3"/>
            <w:vAlign w:val="center"/>
          </w:tcPr>
          <w:p w14:paraId="3A6BCD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拟达到的目标</w:t>
            </w:r>
          </w:p>
        </w:tc>
        <w:tc>
          <w:tcPr>
            <w:tcW w:w="1876" w:type="dxa"/>
            <w:tcBorders>
              <w:top w:val="single" w:color="auto" w:sz="2" w:space="0"/>
              <w:left w:val="single" w:color="auto" w:sz="2" w:space="0"/>
              <w:bottom w:val="single" w:color="auto" w:sz="2" w:space="0"/>
              <w:right w:val="single" w:color="auto" w:sz="2" w:space="0"/>
            </w:tcBorders>
            <w:shd w:val="clear" w:color="auto" w:fill="D3D3D3"/>
            <w:vAlign w:val="center"/>
          </w:tcPr>
          <w:p w14:paraId="611B39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预计对公司未来发展的影响</w:t>
            </w:r>
          </w:p>
        </w:tc>
      </w:tr>
      <w:tr w14:paraId="0DDDB9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64279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行政接待智能管理系统</w:t>
            </w:r>
          </w:p>
        </w:tc>
        <w:tc>
          <w:tcPr>
            <w:tcW w:w="1928" w:type="dxa"/>
            <w:tcBorders>
              <w:top w:val="single" w:color="auto" w:sz="2" w:space="0"/>
              <w:left w:val="single" w:color="auto" w:sz="2" w:space="0"/>
              <w:bottom w:val="single" w:color="auto" w:sz="2" w:space="0"/>
              <w:right w:val="single" w:color="auto" w:sz="2" w:space="0"/>
            </w:tcBorders>
            <w:vAlign w:val="center"/>
          </w:tcPr>
          <w:p w14:paraId="616972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提高信息利用效率,为行政接待工作的决策提供科学依据，进而提高行政接待工作的效率，减少人力成本。</w:t>
            </w:r>
          </w:p>
        </w:tc>
        <w:tc>
          <w:tcPr>
            <w:tcW w:w="1928" w:type="dxa"/>
            <w:tcBorders>
              <w:top w:val="single" w:color="auto" w:sz="2" w:space="0"/>
              <w:left w:val="single" w:color="auto" w:sz="2" w:space="0"/>
              <w:bottom w:val="single" w:color="auto" w:sz="2" w:space="0"/>
              <w:right w:val="single" w:color="auto" w:sz="2" w:space="0"/>
            </w:tcBorders>
            <w:vAlign w:val="center"/>
          </w:tcPr>
          <w:p w14:paraId="239621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6EC3B8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1.减少人工干预，实现资源的优化配置，提高接待效率；</w:t>
            </w:r>
          </w:p>
          <w:p w14:paraId="5DA5E5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2.确保行政接待信息的安全性和保密性；</w:t>
            </w:r>
          </w:p>
          <w:p w14:paraId="3A2513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3.整理和分析接待数据，发现潜在问题，提出改进建议，为管理层的决策提供有力支持；</w:t>
            </w:r>
          </w:p>
          <w:p w14:paraId="698514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4.提供友好的用户界面和易用的操作流程，方便用户快速上手和使用。</w:t>
            </w:r>
          </w:p>
        </w:tc>
        <w:tc>
          <w:tcPr>
            <w:tcW w:w="1876" w:type="dxa"/>
            <w:tcBorders>
              <w:top w:val="single" w:color="auto" w:sz="2" w:space="0"/>
              <w:left w:val="single" w:color="auto" w:sz="2" w:space="0"/>
              <w:bottom w:val="single" w:color="auto" w:sz="2" w:space="0"/>
              <w:right w:val="single" w:color="auto" w:sz="2" w:space="0"/>
            </w:tcBorders>
            <w:vAlign w:val="center"/>
          </w:tcPr>
          <w:p w14:paraId="075223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该系统为公司自研产品，可应用在政府、医院、企业等有行政接待需求的场景中。补充公司智慧城市产品，提高公司产品竞争力。</w:t>
            </w:r>
          </w:p>
        </w:tc>
      </w:tr>
      <w:tr w14:paraId="263AAC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9F06D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智能执法办案管理系统</w:t>
            </w:r>
          </w:p>
        </w:tc>
        <w:tc>
          <w:tcPr>
            <w:tcW w:w="1928" w:type="dxa"/>
            <w:tcBorders>
              <w:top w:val="single" w:color="auto" w:sz="2" w:space="0"/>
              <w:left w:val="single" w:color="auto" w:sz="2" w:space="0"/>
              <w:bottom w:val="single" w:color="auto" w:sz="2" w:space="0"/>
              <w:right w:val="single" w:color="auto" w:sz="2" w:space="0"/>
            </w:tcBorders>
            <w:vAlign w:val="center"/>
          </w:tcPr>
          <w:p w14:paraId="27BD28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减少人工操作，加速执法办案流程，缩短案件处理时间，提高执法效率和办案质量。</w:t>
            </w:r>
          </w:p>
        </w:tc>
        <w:tc>
          <w:tcPr>
            <w:tcW w:w="1928" w:type="dxa"/>
            <w:tcBorders>
              <w:top w:val="single" w:color="auto" w:sz="2" w:space="0"/>
              <w:left w:val="single" w:color="auto" w:sz="2" w:space="0"/>
              <w:bottom w:val="single" w:color="auto" w:sz="2" w:space="0"/>
              <w:right w:val="single" w:color="auto" w:sz="2" w:space="0"/>
            </w:tcBorders>
            <w:vAlign w:val="center"/>
          </w:tcPr>
          <w:p w14:paraId="1BBDBE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7AEDFD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1.提升办案效率，降低成本；</w:t>
            </w:r>
          </w:p>
          <w:p w14:paraId="7E2A37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2.实现案件信息的跨部门共享和协同作战，提高执法效率和准确性；</w:t>
            </w:r>
          </w:p>
          <w:p w14:paraId="5FDA802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3.增强数据安全与保密，防止数据泄露和非法访问，保护公民的合法权益；</w:t>
            </w:r>
          </w:p>
          <w:p w14:paraId="3236FB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4.建立全面、规范、科学的案件管理体系。</w:t>
            </w:r>
          </w:p>
        </w:tc>
        <w:tc>
          <w:tcPr>
            <w:tcW w:w="1876" w:type="dxa"/>
            <w:tcBorders>
              <w:top w:val="single" w:color="auto" w:sz="2" w:space="0"/>
              <w:left w:val="single" w:color="auto" w:sz="2" w:space="0"/>
              <w:bottom w:val="single" w:color="auto" w:sz="2" w:space="0"/>
              <w:right w:val="single" w:color="auto" w:sz="2" w:space="0"/>
            </w:tcBorders>
            <w:vAlign w:val="center"/>
          </w:tcPr>
          <w:p w14:paraId="7E8365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该产品是公司在政务领域面向执法办案场景的应用创新，将提高公司在智慧政务领域的竞争力。</w:t>
            </w:r>
          </w:p>
        </w:tc>
      </w:tr>
      <w:tr w14:paraId="5EE770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35D21F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智慧交通综合应用系统</w:t>
            </w:r>
          </w:p>
        </w:tc>
        <w:tc>
          <w:tcPr>
            <w:tcW w:w="1928" w:type="dxa"/>
            <w:tcBorders>
              <w:top w:val="single" w:color="auto" w:sz="2" w:space="0"/>
              <w:left w:val="single" w:color="auto" w:sz="2" w:space="0"/>
              <w:bottom w:val="single" w:color="auto" w:sz="2" w:space="0"/>
              <w:right w:val="single" w:color="auto" w:sz="2" w:space="0"/>
            </w:tcBorders>
            <w:vAlign w:val="center"/>
          </w:tcPr>
          <w:p w14:paraId="52C89A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通过智能化监控、智能化预警、智能化应急响应等手段，提高交通安全水平，减少交通事故的发生</w:t>
            </w:r>
          </w:p>
        </w:tc>
        <w:tc>
          <w:tcPr>
            <w:tcW w:w="1928" w:type="dxa"/>
            <w:tcBorders>
              <w:top w:val="single" w:color="auto" w:sz="2" w:space="0"/>
              <w:left w:val="single" w:color="auto" w:sz="2" w:space="0"/>
              <w:bottom w:val="single" w:color="auto" w:sz="2" w:space="0"/>
              <w:right w:val="single" w:color="auto" w:sz="2" w:space="0"/>
            </w:tcBorders>
            <w:vAlign w:val="center"/>
          </w:tcPr>
          <w:p w14:paraId="13D5E2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2F8352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1.提高交通运行效率，使交通更加顺畅，减少拥堵现象；</w:t>
            </w:r>
          </w:p>
          <w:p w14:paraId="106601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2.降低交通事故率，加强交通管理效率，提高交通管理的效率和决策的科学性。</w:t>
            </w:r>
          </w:p>
        </w:tc>
        <w:tc>
          <w:tcPr>
            <w:tcW w:w="1876" w:type="dxa"/>
            <w:tcBorders>
              <w:top w:val="single" w:color="auto" w:sz="2" w:space="0"/>
              <w:left w:val="single" w:color="auto" w:sz="2" w:space="0"/>
              <w:bottom w:val="single" w:color="auto" w:sz="2" w:space="0"/>
              <w:right w:val="single" w:color="auto" w:sz="2" w:space="0"/>
            </w:tcBorders>
            <w:vAlign w:val="center"/>
          </w:tcPr>
          <w:p w14:paraId="6871E4D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该系统可实现交通状态实时监测和预警、安全隐患预测和及时处理，有助于提高公司智慧城市产品的竞争力。</w:t>
            </w:r>
          </w:p>
        </w:tc>
      </w:tr>
      <w:tr w14:paraId="5BE446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5A7120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新能源综合应用实训平台</w:t>
            </w:r>
          </w:p>
        </w:tc>
        <w:tc>
          <w:tcPr>
            <w:tcW w:w="1928" w:type="dxa"/>
            <w:tcBorders>
              <w:top w:val="single" w:color="auto" w:sz="2" w:space="0"/>
              <w:left w:val="single" w:color="auto" w:sz="2" w:space="0"/>
              <w:bottom w:val="single" w:color="auto" w:sz="2" w:space="0"/>
              <w:right w:val="single" w:color="auto" w:sz="2" w:space="0"/>
            </w:tcBorders>
            <w:vAlign w:val="center"/>
          </w:tcPr>
          <w:p w14:paraId="6172D4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改善教学环境，有助于新能源专业人才培养，为新能源产业提供人才支撑。</w:t>
            </w:r>
          </w:p>
        </w:tc>
        <w:tc>
          <w:tcPr>
            <w:tcW w:w="1928" w:type="dxa"/>
            <w:tcBorders>
              <w:top w:val="single" w:color="auto" w:sz="2" w:space="0"/>
              <w:left w:val="single" w:color="auto" w:sz="2" w:space="0"/>
              <w:bottom w:val="single" w:color="auto" w:sz="2" w:space="0"/>
              <w:right w:val="single" w:color="auto" w:sz="2" w:space="0"/>
            </w:tcBorders>
            <w:vAlign w:val="center"/>
          </w:tcPr>
          <w:p w14:paraId="22C1A1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48CFA66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1.通过模拟仿真技术，方便师生教学与实践；</w:t>
            </w:r>
          </w:p>
          <w:p w14:paraId="77DFBB1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2.采集与分析数据进行数据自分析，实现对设备的运行状态进行评估和优化。</w:t>
            </w:r>
          </w:p>
        </w:tc>
        <w:tc>
          <w:tcPr>
            <w:tcW w:w="1876" w:type="dxa"/>
            <w:tcBorders>
              <w:top w:val="single" w:color="auto" w:sz="2" w:space="0"/>
              <w:left w:val="single" w:color="auto" w:sz="2" w:space="0"/>
              <w:bottom w:val="single" w:color="auto" w:sz="2" w:space="0"/>
              <w:right w:val="single" w:color="auto" w:sz="2" w:space="0"/>
            </w:tcBorders>
            <w:vAlign w:val="center"/>
          </w:tcPr>
          <w:p w14:paraId="4F93789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该系统系公司智慧校园领域面向新能源技能专业的产品创新，有助于补充完善公司智慧城市产品矩阵，提高公司竞争力。</w:t>
            </w:r>
          </w:p>
        </w:tc>
      </w:tr>
      <w:tr w14:paraId="3D2AF5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6633FA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军民融合全科网格数字化平台</w:t>
            </w:r>
          </w:p>
        </w:tc>
        <w:tc>
          <w:tcPr>
            <w:tcW w:w="1928" w:type="dxa"/>
            <w:tcBorders>
              <w:top w:val="single" w:color="auto" w:sz="2" w:space="0"/>
              <w:left w:val="single" w:color="auto" w:sz="2" w:space="0"/>
              <w:bottom w:val="single" w:color="auto" w:sz="2" w:space="0"/>
              <w:right w:val="single" w:color="auto" w:sz="2" w:space="0"/>
            </w:tcBorders>
            <w:vAlign w:val="center"/>
          </w:tcPr>
          <w:p w14:paraId="70D407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实现社会治理、军民融合共治等方面的要求，推进和实现国家治理体系和治理能力现代化</w:t>
            </w:r>
          </w:p>
        </w:tc>
        <w:tc>
          <w:tcPr>
            <w:tcW w:w="1928" w:type="dxa"/>
            <w:tcBorders>
              <w:top w:val="single" w:color="auto" w:sz="2" w:space="0"/>
              <w:left w:val="single" w:color="auto" w:sz="2" w:space="0"/>
              <w:bottom w:val="single" w:color="auto" w:sz="2" w:space="0"/>
              <w:right w:val="single" w:color="auto" w:sz="2" w:space="0"/>
            </w:tcBorders>
            <w:vAlign w:val="center"/>
          </w:tcPr>
          <w:p w14:paraId="3D20C5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75F345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1.提升管理效能和服务能力；</w:t>
            </w:r>
          </w:p>
          <w:p w14:paraId="278230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2.及时发现和处置问题，维护社会公共安全提供可靠保障；</w:t>
            </w:r>
          </w:p>
          <w:p w14:paraId="7643A3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3.有效整合数据资源，共建数据共享体系。</w:t>
            </w:r>
          </w:p>
        </w:tc>
        <w:tc>
          <w:tcPr>
            <w:tcW w:w="1876" w:type="dxa"/>
            <w:tcBorders>
              <w:top w:val="single" w:color="auto" w:sz="2" w:space="0"/>
              <w:left w:val="single" w:color="auto" w:sz="2" w:space="0"/>
              <w:bottom w:val="single" w:color="auto" w:sz="2" w:space="0"/>
              <w:right w:val="single" w:color="auto" w:sz="2" w:space="0"/>
            </w:tcBorders>
            <w:vAlign w:val="center"/>
          </w:tcPr>
          <w:p w14:paraId="3FA0FC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该系统系公司军民融合领域的创新产品，有助于补充完善公司智慧城市产品矩阵，提高公司竞争力。</w:t>
            </w:r>
          </w:p>
        </w:tc>
      </w:tr>
      <w:tr w14:paraId="2B2C0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CE7A0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社区基层社会治理平台</w:t>
            </w:r>
          </w:p>
        </w:tc>
        <w:tc>
          <w:tcPr>
            <w:tcW w:w="1928" w:type="dxa"/>
            <w:tcBorders>
              <w:top w:val="single" w:color="auto" w:sz="2" w:space="0"/>
              <w:left w:val="single" w:color="auto" w:sz="2" w:space="0"/>
              <w:bottom w:val="single" w:color="auto" w:sz="2" w:space="0"/>
              <w:right w:val="single" w:color="auto" w:sz="2" w:space="0"/>
            </w:tcBorders>
            <w:vAlign w:val="center"/>
          </w:tcPr>
          <w:p w14:paraId="0509F6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为社区居民提供更全面、更便捷的服务，推动社区治理向现代化迈进。</w:t>
            </w:r>
          </w:p>
        </w:tc>
        <w:tc>
          <w:tcPr>
            <w:tcW w:w="1928" w:type="dxa"/>
            <w:tcBorders>
              <w:top w:val="single" w:color="auto" w:sz="2" w:space="0"/>
              <w:left w:val="single" w:color="auto" w:sz="2" w:space="0"/>
              <w:bottom w:val="single" w:color="auto" w:sz="2" w:space="0"/>
              <w:right w:val="single" w:color="auto" w:sz="2" w:space="0"/>
            </w:tcBorders>
            <w:vAlign w:val="center"/>
          </w:tcPr>
          <w:p w14:paraId="03B0C6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261D6E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1.采集、存储、分析和共享社区数据，为社区治理提供数据支持；</w:t>
            </w:r>
          </w:p>
          <w:p w14:paraId="29813B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2.建立事件管理和响应机制，及时发现和处理社区事件；</w:t>
            </w:r>
          </w:p>
          <w:p w14:paraId="144559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3.利用地理信息系统（GIS）技术，制作全面的社区治理视图；</w:t>
            </w:r>
          </w:p>
          <w:p w14:paraId="66C0CBE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4.利用人工智能技术和数据挖掘技术，对社区数据进行深入分析和研判，为指挥决策提供依据和支持。</w:t>
            </w:r>
          </w:p>
        </w:tc>
        <w:tc>
          <w:tcPr>
            <w:tcW w:w="1876" w:type="dxa"/>
            <w:tcBorders>
              <w:top w:val="single" w:color="auto" w:sz="2" w:space="0"/>
              <w:left w:val="single" w:color="auto" w:sz="2" w:space="0"/>
              <w:bottom w:val="single" w:color="auto" w:sz="2" w:space="0"/>
              <w:right w:val="single" w:color="auto" w:sz="2" w:space="0"/>
            </w:tcBorders>
            <w:vAlign w:val="center"/>
          </w:tcPr>
          <w:p w14:paraId="71F064F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该系统在公司智慧社区类产品基础上优化升级，有助于提升产品竞争力，进而提高公司竞争力。</w:t>
            </w:r>
          </w:p>
        </w:tc>
      </w:tr>
      <w:tr w14:paraId="2EB4D6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090D7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可视化数据建模平台</w:t>
            </w:r>
          </w:p>
        </w:tc>
        <w:tc>
          <w:tcPr>
            <w:tcW w:w="1928" w:type="dxa"/>
            <w:tcBorders>
              <w:top w:val="single" w:color="auto" w:sz="2" w:space="0"/>
              <w:left w:val="single" w:color="auto" w:sz="2" w:space="0"/>
              <w:bottom w:val="single" w:color="auto" w:sz="2" w:space="0"/>
              <w:right w:val="single" w:color="auto" w:sz="2" w:space="0"/>
            </w:tcBorders>
            <w:vAlign w:val="center"/>
          </w:tcPr>
          <w:p w14:paraId="6E891D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帮助企业客户快速构建AI应用，提升建模效率，降低开发门槛。</w:t>
            </w:r>
          </w:p>
        </w:tc>
        <w:tc>
          <w:tcPr>
            <w:tcW w:w="1928" w:type="dxa"/>
            <w:tcBorders>
              <w:top w:val="single" w:color="auto" w:sz="2" w:space="0"/>
              <w:left w:val="single" w:color="auto" w:sz="2" w:space="0"/>
              <w:bottom w:val="single" w:color="auto" w:sz="2" w:space="0"/>
              <w:right w:val="single" w:color="auto" w:sz="2" w:space="0"/>
            </w:tcBorders>
            <w:vAlign w:val="center"/>
          </w:tcPr>
          <w:p w14:paraId="1CFD8A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499DD8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1.简化数据建模过程，降低技术门槛，提高建模效率；</w:t>
            </w:r>
          </w:p>
          <w:p w14:paraId="122934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2.可视化进行数据筛选、过滤、比对等操作，提高数据的利用率。</w:t>
            </w:r>
          </w:p>
        </w:tc>
        <w:tc>
          <w:tcPr>
            <w:tcW w:w="1876" w:type="dxa"/>
            <w:tcBorders>
              <w:top w:val="single" w:color="auto" w:sz="2" w:space="0"/>
              <w:left w:val="single" w:color="auto" w:sz="2" w:space="0"/>
              <w:bottom w:val="single" w:color="auto" w:sz="2" w:space="0"/>
              <w:right w:val="single" w:color="auto" w:sz="2" w:space="0"/>
            </w:tcBorders>
            <w:vAlign w:val="center"/>
          </w:tcPr>
          <w:p w14:paraId="340048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该研究为企业用户提供直观的可视化界面，帮助客户快速理解复杂数据，极大提升数据分析效率，做出更加精准的决策，有助于补充完善公司智慧城市该细分产品线的竞争力。</w:t>
            </w:r>
          </w:p>
        </w:tc>
      </w:tr>
      <w:tr w14:paraId="509B4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25362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数字政府云平台</w:t>
            </w:r>
          </w:p>
        </w:tc>
        <w:tc>
          <w:tcPr>
            <w:tcW w:w="1928" w:type="dxa"/>
            <w:tcBorders>
              <w:top w:val="single" w:color="auto" w:sz="2" w:space="0"/>
              <w:left w:val="single" w:color="auto" w:sz="2" w:space="0"/>
              <w:bottom w:val="single" w:color="auto" w:sz="2" w:space="0"/>
              <w:right w:val="single" w:color="auto" w:sz="2" w:space="0"/>
            </w:tcBorders>
            <w:vAlign w:val="center"/>
          </w:tcPr>
          <w:p w14:paraId="12E779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全面提高政府部门依法行政和公共服务的能力。</w:t>
            </w:r>
          </w:p>
        </w:tc>
        <w:tc>
          <w:tcPr>
            <w:tcW w:w="1928" w:type="dxa"/>
            <w:tcBorders>
              <w:top w:val="single" w:color="auto" w:sz="2" w:space="0"/>
              <w:left w:val="single" w:color="auto" w:sz="2" w:space="0"/>
              <w:bottom w:val="single" w:color="auto" w:sz="2" w:space="0"/>
              <w:right w:val="single" w:color="auto" w:sz="2" w:space="0"/>
            </w:tcBorders>
            <w:vAlign w:val="center"/>
          </w:tcPr>
          <w:p w14:paraId="6C1D72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77F2BFD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通过信息技术对内部信息资源进行集中式管理，实现高度整合和关联共享，既为政府工作人员提供信息化办公环境，也为市民、企业提供全流程电子化的办事服务。</w:t>
            </w:r>
          </w:p>
        </w:tc>
        <w:tc>
          <w:tcPr>
            <w:tcW w:w="1876" w:type="dxa"/>
            <w:tcBorders>
              <w:top w:val="single" w:color="auto" w:sz="2" w:space="0"/>
              <w:left w:val="single" w:color="auto" w:sz="2" w:space="0"/>
              <w:bottom w:val="single" w:color="auto" w:sz="2" w:space="0"/>
              <w:right w:val="single" w:color="auto" w:sz="2" w:space="0"/>
            </w:tcBorders>
            <w:vAlign w:val="center"/>
          </w:tcPr>
          <w:p w14:paraId="0027C0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政务云市场规模不断扩大，为公司提供了广阔的市场空间，并通过为政府机构提供高效、安全、可靠的云服务，树立在政务云领域的品牌形象。</w:t>
            </w:r>
          </w:p>
        </w:tc>
      </w:tr>
      <w:tr w14:paraId="588328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328CDA6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智能巡查系统</w:t>
            </w:r>
          </w:p>
        </w:tc>
        <w:tc>
          <w:tcPr>
            <w:tcW w:w="1928" w:type="dxa"/>
            <w:tcBorders>
              <w:top w:val="single" w:color="auto" w:sz="2" w:space="0"/>
              <w:left w:val="single" w:color="auto" w:sz="2" w:space="0"/>
              <w:bottom w:val="single" w:color="auto" w:sz="2" w:space="0"/>
              <w:right w:val="single" w:color="auto" w:sz="2" w:space="0"/>
            </w:tcBorders>
            <w:vAlign w:val="center"/>
          </w:tcPr>
          <w:p w14:paraId="2D81C0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提升巡查工作的智能化、自动化和精准化，实现巡查工作的实时性和准确性。</w:t>
            </w:r>
          </w:p>
        </w:tc>
        <w:tc>
          <w:tcPr>
            <w:tcW w:w="1928" w:type="dxa"/>
            <w:tcBorders>
              <w:top w:val="single" w:color="auto" w:sz="2" w:space="0"/>
              <w:left w:val="single" w:color="auto" w:sz="2" w:space="0"/>
              <w:bottom w:val="single" w:color="auto" w:sz="2" w:space="0"/>
              <w:right w:val="single" w:color="auto" w:sz="2" w:space="0"/>
            </w:tcBorders>
            <w:vAlign w:val="center"/>
          </w:tcPr>
          <w:p w14:paraId="769D05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5BBF71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1.实现对巡查区域的实时监控和信息收集，提高异常情况的识别率和处理效率；</w:t>
            </w:r>
          </w:p>
          <w:p w14:paraId="02374F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2.通过自动化和智能化的技术手段，系统将减少人工巡查的工作量和时间，提高巡查效率，确保巡查任务能够更快速、更全面地完成；</w:t>
            </w:r>
          </w:p>
          <w:p w14:paraId="439D2F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3.巡查数据管理平台将实现对巡查数据的统一管理和分析，优化巡查工作流程，降低人工巡查的成本和风险，提高巡查工作的效率和准确性。</w:t>
            </w:r>
          </w:p>
        </w:tc>
        <w:tc>
          <w:tcPr>
            <w:tcW w:w="1876" w:type="dxa"/>
            <w:tcBorders>
              <w:top w:val="single" w:color="auto" w:sz="2" w:space="0"/>
              <w:left w:val="single" w:color="auto" w:sz="2" w:space="0"/>
              <w:bottom w:val="single" w:color="auto" w:sz="2" w:space="0"/>
              <w:right w:val="single" w:color="auto" w:sz="2" w:space="0"/>
            </w:tcBorders>
            <w:vAlign w:val="center"/>
          </w:tcPr>
          <w:p w14:paraId="55C084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该系统是公司智慧政务领域产品的补充完善，有助于增强公司服务能力，提升产品竞争力。</w:t>
            </w:r>
          </w:p>
        </w:tc>
      </w:tr>
      <w:tr w14:paraId="6A027F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6E175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在线教育资源管理平台</w:t>
            </w:r>
          </w:p>
        </w:tc>
        <w:tc>
          <w:tcPr>
            <w:tcW w:w="1928" w:type="dxa"/>
            <w:tcBorders>
              <w:top w:val="single" w:color="auto" w:sz="2" w:space="0"/>
              <w:left w:val="single" w:color="auto" w:sz="2" w:space="0"/>
              <w:bottom w:val="single" w:color="auto" w:sz="2" w:space="0"/>
              <w:right w:val="single" w:color="auto" w:sz="2" w:space="0"/>
            </w:tcBorders>
            <w:vAlign w:val="center"/>
          </w:tcPr>
          <w:p w14:paraId="332D80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在线教育资源管理平台可以整合各类优质教育资源，为用户提供一站式的教育服务。</w:t>
            </w:r>
          </w:p>
        </w:tc>
        <w:tc>
          <w:tcPr>
            <w:tcW w:w="1928" w:type="dxa"/>
            <w:tcBorders>
              <w:top w:val="single" w:color="auto" w:sz="2" w:space="0"/>
              <w:left w:val="single" w:color="auto" w:sz="2" w:space="0"/>
              <w:bottom w:val="single" w:color="auto" w:sz="2" w:space="0"/>
              <w:right w:val="single" w:color="auto" w:sz="2" w:space="0"/>
            </w:tcBorders>
            <w:vAlign w:val="center"/>
          </w:tcPr>
          <w:p w14:paraId="6308E9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7CD434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本项目旨在开发一个功能全面的在线教育资源管理平台，通过整合各类教育资源，提供课程管理、比赛管理、众筹管理、积分管理和系统管理等核心功能，为用户提供一站式的教育服务体验。</w:t>
            </w:r>
          </w:p>
        </w:tc>
        <w:tc>
          <w:tcPr>
            <w:tcW w:w="1876" w:type="dxa"/>
            <w:tcBorders>
              <w:top w:val="single" w:color="auto" w:sz="2" w:space="0"/>
              <w:left w:val="single" w:color="auto" w:sz="2" w:space="0"/>
              <w:bottom w:val="single" w:color="auto" w:sz="2" w:space="0"/>
              <w:right w:val="single" w:color="auto" w:sz="2" w:space="0"/>
            </w:tcBorders>
            <w:vAlign w:val="center"/>
          </w:tcPr>
          <w:p w14:paraId="5990AF2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该系统是公司在智慧教育领域的产品创新应用，有助于补充完善公司智慧教育领域的竞争力。</w:t>
            </w:r>
          </w:p>
        </w:tc>
      </w:tr>
      <w:tr w14:paraId="2100CC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38321C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便民医疗综合应用平台</w:t>
            </w:r>
          </w:p>
        </w:tc>
        <w:tc>
          <w:tcPr>
            <w:tcW w:w="1928" w:type="dxa"/>
            <w:tcBorders>
              <w:top w:val="single" w:color="auto" w:sz="2" w:space="0"/>
              <w:left w:val="single" w:color="auto" w:sz="2" w:space="0"/>
              <w:bottom w:val="single" w:color="auto" w:sz="2" w:space="0"/>
              <w:right w:val="single" w:color="auto" w:sz="2" w:space="0"/>
            </w:tcBorders>
            <w:vAlign w:val="center"/>
          </w:tcPr>
          <w:p w14:paraId="1EC4BC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该项目的实施将有助于推动医疗卫生事业的发展，提升人民群众的健康水平和生活质量。</w:t>
            </w:r>
          </w:p>
        </w:tc>
        <w:tc>
          <w:tcPr>
            <w:tcW w:w="1928" w:type="dxa"/>
            <w:tcBorders>
              <w:top w:val="single" w:color="auto" w:sz="2" w:space="0"/>
              <w:left w:val="single" w:color="auto" w:sz="2" w:space="0"/>
              <w:bottom w:val="single" w:color="auto" w:sz="2" w:space="0"/>
              <w:right w:val="single" w:color="auto" w:sz="2" w:space="0"/>
            </w:tcBorders>
            <w:vAlign w:val="center"/>
          </w:tcPr>
          <w:p w14:paraId="79B1BD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189CE1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1.通过平台实现医疗信息的共享和互通，联通信息孤岛，提高医疗信息的利用率；</w:t>
            </w:r>
          </w:p>
          <w:p w14:paraId="5271CC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2.平台整合各类医疗资源，实现资源的共享和优化配置，缓解医疗资源紧张的问题，提高医疗服务的覆盖面和质量。</w:t>
            </w:r>
          </w:p>
        </w:tc>
        <w:tc>
          <w:tcPr>
            <w:tcW w:w="1876" w:type="dxa"/>
            <w:tcBorders>
              <w:top w:val="single" w:color="auto" w:sz="2" w:space="0"/>
              <w:left w:val="single" w:color="auto" w:sz="2" w:space="0"/>
              <w:bottom w:val="single" w:color="auto" w:sz="2" w:space="0"/>
              <w:right w:val="single" w:color="auto" w:sz="2" w:space="0"/>
            </w:tcBorders>
            <w:vAlign w:val="center"/>
          </w:tcPr>
          <w:p w14:paraId="75899F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该系统是公司在智慧教育医疗的产品创新应用，有助于补充完善公司该领域的竞争力。</w:t>
            </w:r>
          </w:p>
        </w:tc>
      </w:tr>
      <w:tr w14:paraId="295171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C20CA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校园数字化应用管理平台</w:t>
            </w:r>
          </w:p>
        </w:tc>
        <w:tc>
          <w:tcPr>
            <w:tcW w:w="1928" w:type="dxa"/>
            <w:tcBorders>
              <w:top w:val="single" w:color="auto" w:sz="2" w:space="0"/>
              <w:left w:val="single" w:color="auto" w:sz="2" w:space="0"/>
              <w:bottom w:val="single" w:color="auto" w:sz="2" w:space="0"/>
              <w:right w:val="single" w:color="auto" w:sz="2" w:space="0"/>
            </w:tcBorders>
            <w:vAlign w:val="center"/>
          </w:tcPr>
          <w:p w14:paraId="1D10000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提高校方管理效率和服务水平，实现教学资源的高效管理和利用，同时可为学生提供更加便捷、高效的服务。</w:t>
            </w:r>
          </w:p>
        </w:tc>
        <w:tc>
          <w:tcPr>
            <w:tcW w:w="1928" w:type="dxa"/>
            <w:tcBorders>
              <w:top w:val="single" w:color="auto" w:sz="2" w:space="0"/>
              <w:left w:val="single" w:color="auto" w:sz="2" w:space="0"/>
              <w:bottom w:val="single" w:color="auto" w:sz="2" w:space="0"/>
              <w:right w:val="single" w:color="auto" w:sz="2" w:space="0"/>
            </w:tcBorders>
            <w:vAlign w:val="center"/>
          </w:tcPr>
          <w:p w14:paraId="5D0005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231FAA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1.有效提高学校的管理效率和工作效率，同时减少人力和物力的投入；</w:t>
            </w:r>
          </w:p>
          <w:p w14:paraId="601FA5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2.建立统一的信息标准，提高校园信息的利用效率；</w:t>
            </w:r>
          </w:p>
          <w:p w14:paraId="1AC0C8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3.提升教学质量，提高自主学习能力和综合素质；</w:t>
            </w:r>
          </w:p>
          <w:p w14:paraId="068F17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4.完善信息安全体系，保数字化校园应用系统的正常运行和信息安全。</w:t>
            </w:r>
          </w:p>
        </w:tc>
        <w:tc>
          <w:tcPr>
            <w:tcW w:w="1876" w:type="dxa"/>
            <w:tcBorders>
              <w:top w:val="single" w:color="auto" w:sz="2" w:space="0"/>
              <w:left w:val="single" w:color="auto" w:sz="2" w:space="0"/>
              <w:bottom w:val="single" w:color="auto" w:sz="2" w:space="0"/>
              <w:right w:val="single" w:color="auto" w:sz="2" w:space="0"/>
            </w:tcBorders>
            <w:vAlign w:val="center"/>
          </w:tcPr>
          <w:p w14:paraId="3B2F91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该产品是公司在智慧教育领域的产品创新应用，可满足学校在行政、教学、学生生活等多场景的数字化需求。</w:t>
            </w:r>
          </w:p>
        </w:tc>
      </w:tr>
      <w:tr w14:paraId="50E1E0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057C2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智能信息化设备维护系统</w:t>
            </w:r>
          </w:p>
        </w:tc>
        <w:tc>
          <w:tcPr>
            <w:tcW w:w="1928" w:type="dxa"/>
            <w:tcBorders>
              <w:top w:val="single" w:color="auto" w:sz="2" w:space="0"/>
              <w:left w:val="single" w:color="auto" w:sz="2" w:space="0"/>
              <w:bottom w:val="single" w:color="auto" w:sz="2" w:space="0"/>
              <w:right w:val="single" w:color="auto" w:sz="2" w:space="0"/>
            </w:tcBorders>
            <w:vAlign w:val="center"/>
          </w:tcPr>
          <w:p w14:paraId="475A30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提高设备维护的准确性、质量和效率，优化设备维护流程。</w:t>
            </w:r>
          </w:p>
        </w:tc>
        <w:tc>
          <w:tcPr>
            <w:tcW w:w="1928" w:type="dxa"/>
            <w:tcBorders>
              <w:top w:val="single" w:color="auto" w:sz="2" w:space="0"/>
              <w:left w:val="single" w:color="auto" w:sz="2" w:space="0"/>
              <w:bottom w:val="single" w:color="auto" w:sz="2" w:space="0"/>
              <w:right w:val="single" w:color="auto" w:sz="2" w:space="0"/>
            </w:tcBorders>
            <w:vAlign w:val="center"/>
          </w:tcPr>
          <w:p w14:paraId="25D550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279901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1.硬件设备的状态监测，确保设备处于正常运行状态；</w:t>
            </w:r>
          </w:p>
          <w:p w14:paraId="6E9A8A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2.故障诊断与预警；</w:t>
            </w:r>
          </w:p>
          <w:p w14:paraId="1CF297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3.提高系统的稳定性和可靠性，减少业务流程的复杂性，形成全流程、集成化的管理。</w:t>
            </w:r>
          </w:p>
        </w:tc>
        <w:tc>
          <w:tcPr>
            <w:tcW w:w="1876" w:type="dxa"/>
            <w:tcBorders>
              <w:top w:val="single" w:color="auto" w:sz="2" w:space="0"/>
              <w:left w:val="single" w:color="auto" w:sz="2" w:space="0"/>
              <w:bottom w:val="single" w:color="auto" w:sz="2" w:space="0"/>
              <w:right w:val="single" w:color="auto" w:sz="2" w:space="0"/>
            </w:tcBorders>
            <w:vAlign w:val="center"/>
          </w:tcPr>
          <w:p w14:paraId="744E72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该产品是公司在智慧企业领域产品的创新应用，增加公司业务的多样性。</w:t>
            </w:r>
          </w:p>
        </w:tc>
      </w:tr>
      <w:tr w14:paraId="3B1828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88F9E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政务服务综合管理平台</w:t>
            </w:r>
          </w:p>
        </w:tc>
        <w:tc>
          <w:tcPr>
            <w:tcW w:w="1928" w:type="dxa"/>
            <w:tcBorders>
              <w:top w:val="single" w:color="auto" w:sz="2" w:space="0"/>
              <w:left w:val="single" w:color="auto" w:sz="2" w:space="0"/>
              <w:bottom w:val="single" w:color="auto" w:sz="2" w:space="0"/>
              <w:right w:val="single" w:color="auto" w:sz="2" w:space="0"/>
            </w:tcBorders>
            <w:vAlign w:val="center"/>
          </w:tcPr>
          <w:p w14:paraId="35EB64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实现政务服务的在线办理、在线咨询、在线预约等功能，为公众提供更加便捷、高效的服务，提高政府服务的质量和效率，为企业提供更加便捷的办事渠道和更加优质的服务。</w:t>
            </w:r>
          </w:p>
        </w:tc>
        <w:tc>
          <w:tcPr>
            <w:tcW w:w="1928" w:type="dxa"/>
            <w:tcBorders>
              <w:top w:val="single" w:color="auto" w:sz="2" w:space="0"/>
              <w:left w:val="single" w:color="auto" w:sz="2" w:space="0"/>
              <w:bottom w:val="single" w:color="auto" w:sz="2" w:space="0"/>
              <w:right w:val="single" w:color="auto" w:sz="2" w:space="0"/>
            </w:tcBorders>
            <w:vAlign w:val="center"/>
          </w:tcPr>
          <w:p w14:paraId="23F0BC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763B88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1.通过自动化办公和在线办理，实现政务服务的流程优化和信息化，提升行政服务效率，减少人力成本；</w:t>
            </w:r>
          </w:p>
          <w:p w14:paraId="747666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2.公众办事减少繁琐的手续，进而提高办事满意度，提升政府形象和公信力；</w:t>
            </w:r>
          </w:p>
          <w:p w14:paraId="0A9CCF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3.实现数据共享和信息互通，避免了信息孤岛和信息壁垒的问题，实现政府数据的高效利用。</w:t>
            </w:r>
          </w:p>
        </w:tc>
        <w:tc>
          <w:tcPr>
            <w:tcW w:w="1876" w:type="dxa"/>
            <w:tcBorders>
              <w:top w:val="single" w:color="auto" w:sz="2" w:space="0"/>
              <w:left w:val="single" w:color="auto" w:sz="2" w:space="0"/>
              <w:bottom w:val="single" w:color="auto" w:sz="2" w:space="0"/>
              <w:right w:val="single" w:color="auto" w:sz="2" w:space="0"/>
            </w:tcBorders>
            <w:vAlign w:val="center"/>
          </w:tcPr>
          <w:p w14:paraId="4B2836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该系统是公司传统业务产品的创新应用，有助于补充完善公司的核心竞争力。</w:t>
            </w:r>
          </w:p>
        </w:tc>
      </w:tr>
      <w:tr w14:paraId="3716CE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3AEFF26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命案防范平台</w:t>
            </w:r>
          </w:p>
        </w:tc>
        <w:tc>
          <w:tcPr>
            <w:tcW w:w="1928" w:type="dxa"/>
            <w:tcBorders>
              <w:top w:val="single" w:color="auto" w:sz="2" w:space="0"/>
              <w:left w:val="single" w:color="auto" w:sz="2" w:space="0"/>
              <w:bottom w:val="single" w:color="auto" w:sz="2" w:space="0"/>
              <w:right w:val="single" w:color="auto" w:sz="2" w:space="0"/>
            </w:tcBorders>
            <w:vAlign w:val="center"/>
          </w:tcPr>
          <w:p w14:paraId="124888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整合各类信息资源，为命案的预防、救助、处置和处罚提供有力支持。</w:t>
            </w:r>
          </w:p>
        </w:tc>
        <w:tc>
          <w:tcPr>
            <w:tcW w:w="1928" w:type="dxa"/>
            <w:tcBorders>
              <w:top w:val="single" w:color="auto" w:sz="2" w:space="0"/>
              <w:left w:val="single" w:color="auto" w:sz="2" w:space="0"/>
              <w:bottom w:val="single" w:color="auto" w:sz="2" w:space="0"/>
              <w:right w:val="single" w:color="auto" w:sz="2" w:space="0"/>
            </w:tcBorders>
            <w:vAlign w:val="center"/>
          </w:tcPr>
          <w:p w14:paraId="3C16F3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5DBE289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1.建立健全命案防范的相关制度和机制，形成命案防范的长效机制；</w:t>
            </w:r>
          </w:p>
          <w:p w14:paraId="27FF9B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2.加强对平台建设和运营情况的监督考核力度。</w:t>
            </w:r>
          </w:p>
        </w:tc>
        <w:tc>
          <w:tcPr>
            <w:tcW w:w="1876" w:type="dxa"/>
            <w:tcBorders>
              <w:top w:val="single" w:color="auto" w:sz="2" w:space="0"/>
              <w:left w:val="single" w:color="auto" w:sz="2" w:space="0"/>
              <w:bottom w:val="single" w:color="auto" w:sz="2" w:space="0"/>
              <w:right w:val="single" w:color="auto" w:sz="2" w:space="0"/>
            </w:tcBorders>
            <w:vAlign w:val="center"/>
          </w:tcPr>
          <w:p w14:paraId="2CF5B6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命案防范平台是公司运用大数据技术结合社会治安场景在数字政务领域的产品补充，有助于提升公司整体竞争力。</w:t>
            </w:r>
          </w:p>
        </w:tc>
      </w:tr>
      <w:tr w14:paraId="012B21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467579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农民工欠薪管理系统</w:t>
            </w:r>
          </w:p>
        </w:tc>
        <w:tc>
          <w:tcPr>
            <w:tcW w:w="1928" w:type="dxa"/>
            <w:tcBorders>
              <w:top w:val="single" w:color="auto" w:sz="2" w:space="0"/>
              <w:left w:val="single" w:color="auto" w:sz="2" w:space="0"/>
              <w:bottom w:val="single" w:color="auto" w:sz="2" w:space="0"/>
              <w:right w:val="single" w:color="auto" w:sz="2" w:space="0"/>
            </w:tcBorders>
            <w:vAlign w:val="center"/>
          </w:tcPr>
          <w:p w14:paraId="582880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实现跨部门、跨领域的信息共享和协同作战，降低社会矛盾和冲突的风险，维护农民工的合法权益。</w:t>
            </w:r>
          </w:p>
        </w:tc>
        <w:tc>
          <w:tcPr>
            <w:tcW w:w="1928" w:type="dxa"/>
            <w:tcBorders>
              <w:top w:val="single" w:color="auto" w:sz="2" w:space="0"/>
              <w:left w:val="single" w:color="auto" w:sz="2" w:space="0"/>
              <w:bottom w:val="single" w:color="auto" w:sz="2" w:space="0"/>
              <w:right w:val="single" w:color="auto" w:sz="2" w:space="0"/>
            </w:tcBorders>
            <w:vAlign w:val="center"/>
          </w:tcPr>
          <w:p w14:paraId="208296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20C092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1.实现多部门数据共享与协同，打破信息孤岛，提高监管的效率和准确性；</w:t>
            </w:r>
          </w:p>
          <w:p w14:paraId="0EB45D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2.规范用工单位的用工行为，减少因欠薪引发的劳动纠纷和群体性事件；</w:t>
            </w:r>
          </w:p>
          <w:p w14:paraId="10A8D2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3.实现投诉举报、案件受理、调查取证、处理反馈等流程的自动化处理。</w:t>
            </w:r>
          </w:p>
        </w:tc>
        <w:tc>
          <w:tcPr>
            <w:tcW w:w="1876" w:type="dxa"/>
            <w:tcBorders>
              <w:top w:val="single" w:color="auto" w:sz="2" w:space="0"/>
              <w:left w:val="single" w:color="auto" w:sz="2" w:space="0"/>
              <w:bottom w:val="single" w:color="auto" w:sz="2" w:space="0"/>
              <w:right w:val="single" w:color="auto" w:sz="2" w:space="0"/>
            </w:tcBorders>
            <w:vAlign w:val="center"/>
          </w:tcPr>
          <w:p w14:paraId="25A074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该系统是公司传统业务产品的创新应用，有助于补充完善公司的核心竞争力。</w:t>
            </w:r>
          </w:p>
        </w:tc>
      </w:tr>
      <w:tr w14:paraId="1E69B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2A76A01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铁路护路护线系统</w:t>
            </w:r>
          </w:p>
        </w:tc>
        <w:tc>
          <w:tcPr>
            <w:tcW w:w="1928" w:type="dxa"/>
            <w:tcBorders>
              <w:top w:val="single" w:color="auto" w:sz="2" w:space="0"/>
              <w:left w:val="single" w:color="auto" w:sz="2" w:space="0"/>
              <w:bottom w:val="single" w:color="auto" w:sz="2" w:space="0"/>
              <w:right w:val="single" w:color="auto" w:sz="2" w:space="0"/>
            </w:tcBorders>
            <w:vAlign w:val="center"/>
          </w:tcPr>
          <w:p w14:paraId="656C6D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完善护路设施，规范护路管理，及时发现和处理安全隐患，从而提高铁路线路的安全性和可靠性。</w:t>
            </w:r>
          </w:p>
        </w:tc>
        <w:tc>
          <w:tcPr>
            <w:tcW w:w="1928" w:type="dxa"/>
            <w:tcBorders>
              <w:top w:val="single" w:color="auto" w:sz="2" w:space="0"/>
              <w:left w:val="single" w:color="auto" w:sz="2" w:space="0"/>
              <w:bottom w:val="single" w:color="auto" w:sz="2" w:space="0"/>
              <w:right w:val="single" w:color="auto" w:sz="2" w:space="0"/>
            </w:tcBorders>
            <w:vAlign w:val="center"/>
          </w:tcPr>
          <w:p w14:paraId="1376F4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533364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1.通过大数据分析技术，识别异常模式，预测潜在风险，为决策提供科学依据；</w:t>
            </w:r>
          </w:p>
          <w:p w14:paraId="014066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2.利用可视化技术将分析结果，使决策者能够直观地了解铁路线路的安全状况、潜在风险及发展趋势。有助于快速做出决策并采取相应的措施。</w:t>
            </w:r>
          </w:p>
        </w:tc>
        <w:tc>
          <w:tcPr>
            <w:tcW w:w="1876" w:type="dxa"/>
            <w:tcBorders>
              <w:top w:val="single" w:color="auto" w:sz="2" w:space="0"/>
              <w:left w:val="single" w:color="auto" w:sz="2" w:space="0"/>
              <w:bottom w:val="single" w:color="auto" w:sz="2" w:space="0"/>
              <w:right w:val="single" w:color="auto" w:sz="2" w:space="0"/>
            </w:tcBorders>
            <w:vAlign w:val="center"/>
          </w:tcPr>
          <w:p w14:paraId="4ECA29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该系统是公司在轨道交通新领域的产品补充，有效提升铁路运维管理效益，进而提升公司竞争力。</w:t>
            </w:r>
          </w:p>
        </w:tc>
      </w:tr>
      <w:tr w14:paraId="7377CA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BA1E7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委员履职服务管理系统</w:t>
            </w:r>
          </w:p>
        </w:tc>
        <w:tc>
          <w:tcPr>
            <w:tcW w:w="1928" w:type="dxa"/>
            <w:tcBorders>
              <w:top w:val="single" w:color="auto" w:sz="2" w:space="0"/>
              <w:left w:val="single" w:color="auto" w:sz="2" w:space="0"/>
              <w:bottom w:val="single" w:color="auto" w:sz="2" w:space="0"/>
              <w:right w:val="single" w:color="auto" w:sz="2" w:space="0"/>
            </w:tcBorders>
            <w:vAlign w:val="center"/>
          </w:tcPr>
          <w:p w14:paraId="77E26F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对委员履职过程的管理和监控，实现资源的合理分配和利用，提供全面、便捷、高效的履职服务支持，提高服务质量和满意度。</w:t>
            </w:r>
          </w:p>
        </w:tc>
        <w:tc>
          <w:tcPr>
            <w:tcW w:w="1928" w:type="dxa"/>
            <w:tcBorders>
              <w:top w:val="single" w:color="auto" w:sz="2" w:space="0"/>
              <w:left w:val="single" w:color="auto" w:sz="2" w:space="0"/>
              <w:bottom w:val="single" w:color="auto" w:sz="2" w:space="0"/>
              <w:right w:val="single" w:color="auto" w:sz="2" w:space="0"/>
            </w:tcBorders>
            <w:vAlign w:val="center"/>
          </w:tcPr>
          <w:p w14:paraId="7D949A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072A9A0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1.实现委员履职信息的快速获取与整理，减少人工操作，提高工作效率、服务质量和满意度；</w:t>
            </w:r>
          </w:p>
          <w:p w14:paraId="508C8A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2.实现对委员履职过程的全面、实时、动态的监督，提高监督的效率和效果，确保委员依法履职、勤勉尽责。</w:t>
            </w:r>
          </w:p>
        </w:tc>
        <w:tc>
          <w:tcPr>
            <w:tcW w:w="1876" w:type="dxa"/>
            <w:tcBorders>
              <w:top w:val="single" w:color="auto" w:sz="2" w:space="0"/>
              <w:left w:val="single" w:color="auto" w:sz="2" w:space="0"/>
              <w:bottom w:val="single" w:color="auto" w:sz="2" w:space="0"/>
              <w:right w:val="single" w:color="auto" w:sz="2" w:space="0"/>
            </w:tcBorders>
            <w:vAlign w:val="center"/>
          </w:tcPr>
          <w:p w14:paraId="5DED98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该产品是公司在政务领域面向委员履职方向的应用创新，将提高公司在智慧政务领域的竞争力。</w:t>
            </w:r>
          </w:p>
        </w:tc>
      </w:tr>
      <w:tr w14:paraId="05A60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4CB9CA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防返贫监测管理系统</w:t>
            </w:r>
          </w:p>
        </w:tc>
        <w:tc>
          <w:tcPr>
            <w:tcW w:w="1928" w:type="dxa"/>
            <w:tcBorders>
              <w:top w:val="single" w:color="auto" w:sz="2" w:space="0"/>
              <w:left w:val="single" w:color="auto" w:sz="2" w:space="0"/>
              <w:bottom w:val="single" w:color="auto" w:sz="2" w:space="0"/>
              <w:right w:val="single" w:color="auto" w:sz="2" w:space="0"/>
            </w:tcBorders>
            <w:vAlign w:val="center"/>
          </w:tcPr>
          <w:p w14:paraId="14274F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提高政府扶贫工作的透明度，增强人民群众对扶贫工作的信任和支持，进一步提升政府的公信力和形象。</w:t>
            </w:r>
          </w:p>
        </w:tc>
        <w:tc>
          <w:tcPr>
            <w:tcW w:w="1928" w:type="dxa"/>
            <w:tcBorders>
              <w:top w:val="single" w:color="auto" w:sz="2" w:space="0"/>
              <w:left w:val="single" w:color="auto" w:sz="2" w:space="0"/>
              <w:bottom w:val="single" w:color="auto" w:sz="2" w:space="0"/>
              <w:right w:val="single" w:color="auto" w:sz="2" w:space="0"/>
            </w:tcBorders>
            <w:vAlign w:val="center"/>
          </w:tcPr>
          <w:p w14:paraId="2B6CC9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0814B5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1.实现对已脱贫人口的动态监测、风险评估和预警，提高扶贫工作的精准度和透明度；</w:t>
            </w:r>
          </w:p>
          <w:p w14:paraId="1F9DC7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2.为政府制定扶贫政策提供科学依据，提高扶贫工作的精准度和透明度。</w:t>
            </w:r>
          </w:p>
        </w:tc>
        <w:tc>
          <w:tcPr>
            <w:tcW w:w="1876" w:type="dxa"/>
            <w:tcBorders>
              <w:top w:val="single" w:color="auto" w:sz="2" w:space="0"/>
              <w:left w:val="single" w:color="auto" w:sz="2" w:space="0"/>
              <w:bottom w:val="single" w:color="auto" w:sz="2" w:space="0"/>
              <w:right w:val="single" w:color="auto" w:sz="2" w:space="0"/>
            </w:tcBorders>
            <w:vAlign w:val="center"/>
          </w:tcPr>
          <w:p w14:paraId="32AB1FE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该系统是公司在政务领域扶贫工作场景的产品补充，可以完善公司在智慧政务领域的产品应用矩阵，</w:t>
            </w:r>
          </w:p>
        </w:tc>
      </w:tr>
      <w:tr w14:paraId="297ABC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4257B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图像超分辨识别应用系统</w:t>
            </w:r>
          </w:p>
        </w:tc>
        <w:tc>
          <w:tcPr>
            <w:tcW w:w="1928" w:type="dxa"/>
            <w:tcBorders>
              <w:top w:val="single" w:color="auto" w:sz="2" w:space="0"/>
              <w:left w:val="single" w:color="auto" w:sz="2" w:space="0"/>
              <w:bottom w:val="single" w:color="auto" w:sz="2" w:space="0"/>
              <w:right w:val="single" w:color="auto" w:sz="2" w:space="0"/>
            </w:tcBorders>
            <w:vAlign w:val="center"/>
          </w:tcPr>
          <w:p w14:paraId="2027CF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实现图像的超分辨率重建。图像超分辨识别应用系统成功开发和应用，将为各个领域提供更清晰、更准确的图像数据支持。</w:t>
            </w:r>
          </w:p>
        </w:tc>
        <w:tc>
          <w:tcPr>
            <w:tcW w:w="1928" w:type="dxa"/>
            <w:tcBorders>
              <w:top w:val="single" w:color="auto" w:sz="2" w:space="0"/>
              <w:left w:val="single" w:color="auto" w:sz="2" w:space="0"/>
              <w:bottom w:val="single" w:color="auto" w:sz="2" w:space="0"/>
              <w:right w:val="single" w:color="auto" w:sz="2" w:space="0"/>
            </w:tcBorders>
            <w:vAlign w:val="center"/>
          </w:tcPr>
          <w:p w14:paraId="4F08FE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30B171F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1.图像预处理：对输入的低分辨率图像进行预处理，提高图像的质量和清晰度；</w:t>
            </w:r>
          </w:p>
          <w:p w14:paraId="5BF942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2.目标检测与识别：在重建和优化的高分辨率图像上进行目标检测和识别任务，如人脸检测、车牌识别等。</w:t>
            </w:r>
          </w:p>
        </w:tc>
        <w:tc>
          <w:tcPr>
            <w:tcW w:w="1876" w:type="dxa"/>
            <w:tcBorders>
              <w:top w:val="single" w:color="auto" w:sz="2" w:space="0"/>
              <w:left w:val="single" w:color="auto" w:sz="2" w:space="0"/>
              <w:bottom w:val="single" w:color="auto" w:sz="2" w:space="0"/>
              <w:right w:val="single" w:color="auto" w:sz="2" w:space="0"/>
            </w:tcBorders>
            <w:vAlign w:val="center"/>
          </w:tcPr>
          <w:p w14:paraId="1CD777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该系统可应用于政务、教育、医疗、交通等多个领域，可对公司现有相关产品赋能升级。</w:t>
            </w:r>
          </w:p>
        </w:tc>
      </w:tr>
      <w:tr w14:paraId="5C1C4F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D620D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交通安保可视化应用平台</w:t>
            </w:r>
          </w:p>
        </w:tc>
        <w:tc>
          <w:tcPr>
            <w:tcW w:w="1928" w:type="dxa"/>
            <w:tcBorders>
              <w:top w:val="single" w:color="auto" w:sz="2" w:space="0"/>
              <w:left w:val="single" w:color="auto" w:sz="2" w:space="0"/>
              <w:bottom w:val="single" w:color="auto" w:sz="2" w:space="0"/>
              <w:right w:val="single" w:color="auto" w:sz="2" w:space="0"/>
            </w:tcBorders>
            <w:vAlign w:val="center"/>
          </w:tcPr>
          <w:p w14:paraId="49DD1C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提高交通安保效率、降低交通事故发生率、增强应急响应速度，实现数据驱动决策。</w:t>
            </w:r>
          </w:p>
        </w:tc>
        <w:tc>
          <w:tcPr>
            <w:tcW w:w="1928" w:type="dxa"/>
            <w:tcBorders>
              <w:top w:val="single" w:color="auto" w:sz="2" w:space="0"/>
              <w:left w:val="single" w:color="auto" w:sz="2" w:space="0"/>
              <w:bottom w:val="single" w:color="auto" w:sz="2" w:space="0"/>
              <w:right w:val="single" w:color="auto" w:sz="2" w:space="0"/>
            </w:tcBorders>
            <w:vAlign w:val="center"/>
          </w:tcPr>
          <w:p w14:paraId="699E72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研发完成</w:t>
            </w:r>
          </w:p>
        </w:tc>
        <w:tc>
          <w:tcPr>
            <w:tcW w:w="1980" w:type="dxa"/>
            <w:tcBorders>
              <w:top w:val="single" w:color="auto" w:sz="2" w:space="0"/>
              <w:left w:val="single" w:color="auto" w:sz="2" w:space="0"/>
              <w:bottom w:val="single" w:color="auto" w:sz="2" w:space="0"/>
              <w:right w:val="single" w:color="auto" w:sz="2" w:space="0"/>
            </w:tcBorders>
            <w:vAlign w:val="center"/>
          </w:tcPr>
          <w:p w14:paraId="5B65FC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1.实现交通态势的实时监测和预警，提高响应速度和处理效率；</w:t>
            </w:r>
          </w:p>
          <w:p w14:paraId="7C2814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2.将海量交通数据直观呈现，帮助用户快速了解交通情况和安全状况；</w:t>
            </w:r>
          </w:p>
          <w:p w14:paraId="3DCDF8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3.实现对交通设施、道路状况等的智能巡检和监测。</w:t>
            </w:r>
          </w:p>
        </w:tc>
        <w:tc>
          <w:tcPr>
            <w:tcW w:w="1876" w:type="dxa"/>
            <w:tcBorders>
              <w:top w:val="single" w:color="auto" w:sz="2" w:space="0"/>
              <w:left w:val="single" w:color="auto" w:sz="2" w:space="0"/>
              <w:bottom w:val="single" w:color="auto" w:sz="2" w:space="0"/>
              <w:right w:val="single" w:color="auto" w:sz="2" w:space="0"/>
            </w:tcBorders>
            <w:vAlign w:val="center"/>
          </w:tcPr>
          <w:p w14:paraId="377891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交通安保可视化应用平台通过集成各种交通管理和安全保障资源，实现对交通安保工作的全面、实时监控和管理，是公司在智慧政务领域城市交通管理场景的产品补充，具有重要的意义。</w:t>
            </w:r>
          </w:p>
        </w:tc>
      </w:tr>
      <w:tr w14:paraId="419F71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60A54B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智能弱电信息系统</w:t>
            </w:r>
          </w:p>
        </w:tc>
        <w:tc>
          <w:tcPr>
            <w:tcW w:w="1928" w:type="dxa"/>
            <w:tcBorders>
              <w:top w:val="single" w:color="auto" w:sz="2" w:space="0"/>
              <w:left w:val="single" w:color="auto" w:sz="2" w:space="0"/>
              <w:bottom w:val="single" w:color="auto" w:sz="2" w:space="0"/>
              <w:right w:val="single" w:color="auto" w:sz="2" w:space="0"/>
            </w:tcBorders>
            <w:vAlign w:val="center"/>
          </w:tcPr>
          <w:p w14:paraId="7C4923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提升建筑或区域的智能化水平，实现高效管理和便捷服务，提高资源利用效率。</w:t>
            </w:r>
          </w:p>
        </w:tc>
        <w:tc>
          <w:tcPr>
            <w:tcW w:w="1928" w:type="dxa"/>
            <w:tcBorders>
              <w:top w:val="single" w:color="auto" w:sz="2" w:space="0"/>
              <w:left w:val="single" w:color="auto" w:sz="2" w:space="0"/>
              <w:bottom w:val="single" w:color="auto" w:sz="2" w:space="0"/>
              <w:right w:val="single" w:color="auto" w:sz="2" w:space="0"/>
            </w:tcBorders>
            <w:vAlign w:val="center"/>
          </w:tcPr>
          <w:p w14:paraId="1BB7C1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77EBC7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1.确保信息能够在各个系统之间高效传递和共享，实现系统的协同工作和集中管理；</w:t>
            </w:r>
          </w:p>
          <w:p w14:paraId="224A0E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2.实现对设备的自动控制和优化运行，提高系统的响应速度和运行效率；</w:t>
            </w:r>
          </w:p>
          <w:p w14:paraId="5DE5D4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3.实时感知环境变化并作出相应调整；</w:t>
            </w:r>
          </w:p>
          <w:p w14:paraId="2B577E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4.系统的安全防护机制，防止信息泄露和非法访问。</w:t>
            </w:r>
          </w:p>
        </w:tc>
        <w:tc>
          <w:tcPr>
            <w:tcW w:w="1876" w:type="dxa"/>
            <w:tcBorders>
              <w:top w:val="single" w:color="auto" w:sz="2" w:space="0"/>
              <w:left w:val="single" w:color="auto" w:sz="2" w:space="0"/>
              <w:bottom w:val="single" w:color="auto" w:sz="2" w:space="0"/>
              <w:right w:val="single" w:color="auto" w:sz="2" w:space="0"/>
            </w:tcBorders>
            <w:vAlign w:val="center"/>
          </w:tcPr>
          <w:p w14:paraId="7BE532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该系统是公司在轨道交通新领域的产品补充，有效提升铁路运维管理效益，进而提升公司竞争力。</w:t>
            </w:r>
          </w:p>
        </w:tc>
      </w:tr>
      <w:tr w14:paraId="408C9D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387859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高压设备检测巡检系统</w:t>
            </w:r>
          </w:p>
        </w:tc>
        <w:tc>
          <w:tcPr>
            <w:tcW w:w="1928" w:type="dxa"/>
            <w:tcBorders>
              <w:top w:val="single" w:color="auto" w:sz="2" w:space="0"/>
              <w:left w:val="single" w:color="auto" w:sz="2" w:space="0"/>
              <w:bottom w:val="single" w:color="auto" w:sz="2" w:space="0"/>
              <w:right w:val="single" w:color="auto" w:sz="2" w:space="0"/>
            </w:tcBorders>
            <w:vAlign w:val="center"/>
          </w:tcPr>
          <w:p w14:paraId="0C708A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更先进的检测，识别设备存在的隐患。</w:t>
            </w:r>
          </w:p>
        </w:tc>
        <w:tc>
          <w:tcPr>
            <w:tcW w:w="1928" w:type="dxa"/>
            <w:tcBorders>
              <w:top w:val="single" w:color="auto" w:sz="2" w:space="0"/>
              <w:left w:val="single" w:color="auto" w:sz="2" w:space="0"/>
              <w:bottom w:val="single" w:color="auto" w:sz="2" w:space="0"/>
              <w:right w:val="single" w:color="auto" w:sz="2" w:space="0"/>
            </w:tcBorders>
            <w:vAlign w:val="center"/>
          </w:tcPr>
          <w:p w14:paraId="6BB2B8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16F00D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1.实现检测结果数字化，可量化分析检测数据，识别技术快速定位缺陷位置；</w:t>
            </w:r>
          </w:p>
          <w:p w14:paraId="6C80E6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2.实现自动归档处理和检测中心的后期深度分析和缺陷库管理。</w:t>
            </w:r>
          </w:p>
        </w:tc>
        <w:tc>
          <w:tcPr>
            <w:tcW w:w="1876" w:type="dxa"/>
            <w:tcBorders>
              <w:top w:val="single" w:color="auto" w:sz="2" w:space="0"/>
              <w:left w:val="single" w:color="auto" w:sz="2" w:space="0"/>
              <w:bottom w:val="single" w:color="auto" w:sz="2" w:space="0"/>
              <w:right w:val="single" w:color="auto" w:sz="2" w:space="0"/>
            </w:tcBorders>
            <w:vAlign w:val="center"/>
          </w:tcPr>
          <w:p w14:paraId="6CBD80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该系统是公司在轨道交通新领域的产品补充，有效提升铁路运维管理效益，进而提升公司竞争力。</w:t>
            </w:r>
          </w:p>
        </w:tc>
      </w:tr>
      <w:tr w14:paraId="3235F9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47D5D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纺织服装综合产业服务云平台</w:t>
            </w:r>
          </w:p>
        </w:tc>
        <w:tc>
          <w:tcPr>
            <w:tcW w:w="1928" w:type="dxa"/>
            <w:tcBorders>
              <w:top w:val="single" w:color="auto" w:sz="2" w:space="0"/>
              <w:left w:val="single" w:color="auto" w:sz="2" w:space="0"/>
              <w:bottom w:val="single" w:color="auto" w:sz="2" w:space="0"/>
              <w:right w:val="single" w:color="auto" w:sz="2" w:space="0"/>
            </w:tcBorders>
            <w:vAlign w:val="center"/>
          </w:tcPr>
          <w:p w14:paraId="380513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缩短产品从设计到上市的时间，提高库存周转率，降低运营成本。企业通过建立数字化平台，实现信息共享和实时监控，提高生产效率和产品质量。</w:t>
            </w:r>
          </w:p>
        </w:tc>
        <w:tc>
          <w:tcPr>
            <w:tcW w:w="1928" w:type="dxa"/>
            <w:tcBorders>
              <w:top w:val="single" w:color="auto" w:sz="2" w:space="0"/>
              <w:left w:val="single" w:color="auto" w:sz="2" w:space="0"/>
              <w:bottom w:val="single" w:color="auto" w:sz="2" w:space="0"/>
              <w:right w:val="single" w:color="auto" w:sz="2" w:space="0"/>
            </w:tcBorders>
            <w:vAlign w:val="center"/>
          </w:tcPr>
          <w:p w14:paraId="0590634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17C014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1.为企业提供决策支持，包括消费者行为、市场趋势、竞争对手动态等；</w:t>
            </w:r>
          </w:p>
          <w:p w14:paraId="7F4DA7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2.集中采购和供应链协同管理，降低原材料采购成本；</w:t>
            </w:r>
          </w:p>
          <w:p w14:paraId="4913C8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3.提供个性化服务和产品推荐，提高产品质量和高客户满意度。</w:t>
            </w:r>
          </w:p>
        </w:tc>
        <w:tc>
          <w:tcPr>
            <w:tcW w:w="1876" w:type="dxa"/>
            <w:tcBorders>
              <w:top w:val="single" w:color="auto" w:sz="2" w:space="0"/>
              <w:left w:val="single" w:color="auto" w:sz="2" w:space="0"/>
              <w:bottom w:val="single" w:color="auto" w:sz="2" w:space="0"/>
              <w:right w:val="single" w:color="auto" w:sz="2" w:space="0"/>
            </w:tcBorders>
            <w:vAlign w:val="center"/>
          </w:tcPr>
          <w:p w14:paraId="6A5F3F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该平台是公司面向纺织服装产业，是公司在企业数字化领域的开拓创新，有助于提高公司核心竞争力。</w:t>
            </w:r>
          </w:p>
        </w:tc>
      </w:tr>
      <w:tr w14:paraId="548027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8F69C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智能辅助监控系统</w:t>
            </w:r>
          </w:p>
        </w:tc>
        <w:tc>
          <w:tcPr>
            <w:tcW w:w="1928" w:type="dxa"/>
            <w:tcBorders>
              <w:top w:val="single" w:color="auto" w:sz="2" w:space="0"/>
              <w:left w:val="single" w:color="auto" w:sz="2" w:space="0"/>
              <w:bottom w:val="single" w:color="auto" w:sz="2" w:space="0"/>
              <w:right w:val="single" w:color="auto" w:sz="2" w:space="0"/>
            </w:tcBorders>
            <w:vAlign w:val="center"/>
          </w:tcPr>
          <w:p w14:paraId="3E24DA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减少时间成本及人员成本。</w:t>
            </w:r>
          </w:p>
        </w:tc>
        <w:tc>
          <w:tcPr>
            <w:tcW w:w="1928" w:type="dxa"/>
            <w:tcBorders>
              <w:top w:val="single" w:color="auto" w:sz="2" w:space="0"/>
              <w:left w:val="single" w:color="auto" w:sz="2" w:space="0"/>
              <w:bottom w:val="single" w:color="auto" w:sz="2" w:space="0"/>
              <w:right w:val="single" w:color="auto" w:sz="2" w:space="0"/>
            </w:tcBorders>
            <w:vAlign w:val="center"/>
          </w:tcPr>
          <w:p w14:paraId="2E25AA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76319F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实现对全所视频监视、环境信息监测、安全防范、火灾报警、动力照明控制、设备巡检等功能的高度集成和一体化监控。</w:t>
            </w:r>
          </w:p>
        </w:tc>
        <w:tc>
          <w:tcPr>
            <w:tcW w:w="1876" w:type="dxa"/>
            <w:tcBorders>
              <w:top w:val="single" w:color="auto" w:sz="2" w:space="0"/>
              <w:left w:val="single" w:color="auto" w:sz="2" w:space="0"/>
              <w:bottom w:val="single" w:color="auto" w:sz="2" w:space="0"/>
              <w:right w:val="single" w:color="auto" w:sz="2" w:space="0"/>
            </w:tcBorders>
            <w:vAlign w:val="center"/>
          </w:tcPr>
          <w:p w14:paraId="521627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该项目是公司根据客户需求开展的定制化研发，有效解决铁路监控系统自动化、智能化运维的难点，有助于提高公司在轨道交通领域的竞争力。</w:t>
            </w:r>
          </w:p>
        </w:tc>
      </w:tr>
      <w:tr w14:paraId="2836CE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B3411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乡村生态环境建设与治理管理平台</w:t>
            </w:r>
          </w:p>
        </w:tc>
        <w:tc>
          <w:tcPr>
            <w:tcW w:w="1928" w:type="dxa"/>
            <w:tcBorders>
              <w:top w:val="single" w:color="auto" w:sz="2" w:space="0"/>
              <w:left w:val="single" w:color="auto" w:sz="2" w:space="0"/>
              <w:bottom w:val="single" w:color="auto" w:sz="2" w:space="0"/>
              <w:right w:val="single" w:color="auto" w:sz="2" w:space="0"/>
            </w:tcBorders>
            <w:vAlign w:val="center"/>
          </w:tcPr>
          <w:p w14:paraId="6F3FC7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实现对乡村生态环境的实时监测、数据分析和科学决策，提高治理效率和效果。</w:t>
            </w:r>
          </w:p>
        </w:tc>
        <w:tc>
          <w:tcPr>
            <w:tcW w:w="1928" w:type="dxa"/>
            <w:tcBorders>
              <w:top w:val="single" w:color="auto" w:sz="2" w:space="0"/>
              <w:left w:val="single" w:color="auto" w:sz="2" w:space="0"/>
              <w:bottom w:val="single" w:color="auto" w:sz="2" w:space="0"/>
              <w:right w:val="single" w:color="auto" w:sz="2" w:space="0"/>
            </w:tcBorders>
            <w:vAlign w:val="center"/>
          </w:tcPr>
          <w:p w14:paraId="14EB6A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113330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1.减少污染排放，改善乡村空气质量、水质和土壤状况，提升整体生态环境质量；</w:t>
            </w:r>
          </w:p>
          <w:p w14:paraId="0EACAA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2.防止生态环境破坏，确保乡村生态环境的安全与稳定。</w:t>
            </w:r>
          </w:p>
        </w:tc>
        <w:tc>
          <w:tcPr>
            <w:tcW w:w="1876" w:type="dxa"/>
            <w:tcBorders>
              <w:top w:val="single" w:color="auto" w:sz="2" w:space="0"/>
              <w:left w:val="single" w:color="auto" w:sz="2" w:space="0"/>
              <w:bottom w:val="single" w:color="auto" w:sz="2" w:space="0"/>
              <w:right w:val="single" w:color="auto" w:sz="2" w:space="0"/>
            </w:tcBorders>
            <w:vAlign w:val="center"/>
          </w:tcPr>
          <w:p w14:paraId="732C49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该研究服务于公司乡村振兴解决方案的创</w:t>
            </w:r>
          </w:p>
          <w:p w14:paraId="5C41A1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新战略，通过大数据、人工智能技术相融合，提高乡村基层 治理及生态监管水平，从而为公司深耕乡村振兴领域助力。</w:t>
            </w:r>
          </w:p>
        </w:tc>
      </w:tr>
      <w:tr w14:paraId="2143D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E2ABE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基于卫星应急通信的医疗体系后勤保障综合信息化平台项目</w:t>
            </w:r>
          </w:p>
        </w:tc>
        <w:tc>
          <w:tcPr>
            <w:tcW w:w="1928" w:type="dxa"/>
            <w:tcBorders>
              <w:top w:val="single" w:color="auto" w:sz="2" w:space="0"/>
              <w:left w:val="single" w:color="auto" w:sz="2" w:space="0"/>
              <w:bottom w:val="single" w:color="auto" w:sz="2" w:space="0"/>
              <w:right w:val="single" w:color="auto" w:sz="2" w:space="0"/>
            </w:tcBorders>
            <w:vAlign w:val="center"/>
          </w:tcPr>
          <w:p w14:paraId="014C8A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确保战时的后勤保障准确无误，促进军民融合、协同发展。</w:t>
            </w:r>
          </w:p>
        </w:tc>
        <w:tc>
          <w:tcPr>
            <w:tcW w:w="1928" w:type="dxa"/>
            <w:tcBorders>
              <w:top w:val="single" w:color="auto" w:sz="2" w:space="0"/>
              <w:left w:val="single" w:color="auto" w:sz="2" w:space="0"/>
              <w:bottom w:val="single" w:color="auto" w:sz="2" w:space="0"/>
              <w:right w:val="single" w:color="auto" w:sz="2" w:space="0"/>
            </w:tcBorders>
            <w:vAlign w:val="center"/>
          </w:tcPr>
          <w:p w14:paraId="77ADD9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577241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1.实现医疗信息资源数据及系统资源共享及专题服务；</w:t>
            </w:r>
          </w:p>
          <w:p w14:paraId="675B0C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2.信息模型快速展现，实现对战地前后方的全方位通信保障；</w:t>
            </w:r>
          </w:p>
          <w:p w14:paraId="0B3707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3.编织疾病防控网格，强化现场调查处置能力，提升平战双场景立体化卫生应急综合救援能力。</w:t>
            </w:r>
          </w:p>
        </w:tc>
        <w:tc>
          <w:tcPr>
            <w:tcW w:w="1876" w:type="dxa"/>
            <w:tcBorders>
              <w:top w:val="single" w:color="auto" w:sz="2" w:space="0"/>
              <w:left w:val="single" w:color="auto" w:sz="2" w:space="0"/>
              <w:bottom w:val="single" w:color="auto" w:sz="2" w:space="0"/>
              <w:right w:val="single" w:color="auto" w:sz="2" w:space="0"/>
            </w:tcBorders>
            <w:vAlign w:val="center"/>
          </w:tcPr>
          <w:p w14:paraId="36B68E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该系统系公司军民融合领域的创新产品，有助于补充完善公司智慧城市产品矩阵，提高公司竞争力</w:t>
            </w:r>
          </w:p>
        </w:tc>
      </w:tr>
      <w:tr w14:paraId="4BFD31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7CF53D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社会工作平台</w:t>
            </w:r>
          </w:p>
        </w:tc>
        <w:tc>
          <w:tcPr>
            <w:tcW w:w="1928" w:type="dxa"/>
            <w:tcBorders>
              <w:top w:val="single" w:color="auto" w:sz="2" w:space="0"/>
              <w:left w:val="single" w:color="auto" w:sz="2" w:space="0"/>
              <w:bottom w:val="single" w:color="auto" w:sz="2" w:space="0"/>
              <w:right w:val="single" w:color="auto" w:sz="2" w:space="0"/>
            </w:tcBorders>
            <w:vAlign w:val="center"/>
          </w:tcPr>
          <w:p w14:paraId="265E1C0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构建一个全面、高效、协同的综合服务体系，以科技赋能社会工作，促进社会和谐发展。</w:t>
            </w:r>
          </w:p>
        </w:tc>
        <w:tc>
          <w:tcPr>
            <w:tcW w:w="1928" w:type="dxa"/>
            <w:tcBorders>
              <w:top w:val="single" w:color="auto" w:sz="2" w:space="0"/>
              <w:left w:val="single" w:color="auto" w:sz="2" w:space="0"/>
              <w:bottom w:val="single" w:color="auto" w:sz="2" w:space="0"/>
              <w:right w:val="single" w:color="auto" w:sz="2" w:space="0"/>
            </w:tcBorders>
            <w:vAlign w:val="center"/>
          </w:tcPr>
          <w:p w14:paraId="7208E1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21D45A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1.技术架构优化，确保平台在高并发、大数据量等复杂环境下仍能稳定运行；</w:t>
            </w:r>
          </w:p>
          <w:p w14:paraId="518A27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2.建立完善的安全防护体系，保障用户信息和平台数据的安全；</w:t>
            </w:r>
          </w:p>
          <w:p w14:paraId="5CF22F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3.实现服务流程的自动化处理，提高工作效率和准确性。</w:t>
            </w:r>
          </w:p>
        </w:tc>
        <w:tc>
          <w:tcPr>
            <w:tcW w:w="1876" w:type="dxa"/>
            <w:tcBorders>
              <w:top w:val="single" w:color="auto" w:sz="2" w:space="0"/>
              <w:left w:val="single" w:color="auto" w:sz="2" w:space="0"/>
              <w:bottom w:val="single" w:color="auto" w:sz="2" w:space="0"/>
              <w:right w:val="single" w:color="auto" w:sz="2" w:space="0"/>
            </w:tcBorders>
            <w:vAlign w:val="center"/>
          </w:tcPr>
          <w:p w14:paraId="4EDED9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该系统在公司智慧政务类产品基础上优化升级，有助于提升产品竞争力，进而提高公司竞争力。</w:t>
            </w:r>
          </w:p>
        </w:tc>
      </w:tr>
      <w:tr w14:paraId="1F598C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4A052E0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物联网中台系统</w:t>
            </w:r>
          </w:p>
        </w:tc>
        <w:tc>
          <w:tcPr>
            <w:tcW w:w="1928" w:type="dxa"/>
            <w:tcBorders>
              <w:top w:val="single" w:color="auto" w:sz="2" w:space="0"/>
              <w:left w:val="single" w:color="auto" w:sz="2" w:space="0"/>
              <w:bottom w:val="single" w:color="auto" w:sz="2" w:space="0"/>
              <w:right w:val="single" w:color="auto" w:sz="2" w:space="0"/>
            </w:tcBorders>
            <w:vAlign w:val="center"/>
          </w:tcPr>
          <w:p w14:paraId="70E013D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实现城市基础设施的智能化管理和运营，提高城市治理水平和居民生活质量。</w:t>
            </w:r>
          </w:p>
        </w:tc>
        <w:tc>
          <w:tcPr>
            <w:tcW w:w="1928" w:type="dxa"/>
            <w:tcBorders>
              <w:top w:val="single" w:color="auto" w:sz="2" w:space="0"/>
              <w:left w:val="single" w:color="auto" w:sz="2" w:space="0"/>
              <w:bottom w:val="single" w:color="auto" w:sz="2" w:space="0"/>
              <w:right w:val="single" w:color="auto" w:sz="2" w:space="0"/>
            </w:tcBorders>
            <w:vAlign w:val="center"/>
          </w:tcPr>
          <w:p w14:paraId="753F3F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5830E2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1.对接入的物联网设备数据进行统一采集、存储、处理和分析，确保数据的准确性和一致性；</w:t>
            </w:r>
          </w:p>
          <w:p w14:paraId="76FCF9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2.提供数据安全保障措施，确保数据在传输、存储和处理过程中的安全性和隐私保护；</w:t>
            </w:r>
          </w:p>
          <w:p w14:paraId="59025D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3.通过可视化平台展现设备运行情况、报警分析、接口调用、应用场景分析等信息，帮助用户更好地理解和利用物联网数据。</w:t>
            </w:r>
          </w:p>
        </w:tc>
        <w:tc>
          <w:tcPr>
            <w:tcW w:w="1876" w:type="dxa"/>
            <w:tcBorders>
              <w:top w:val="single" w:color="auto" w:sz="2" w:space="0"/>
              <w:left w:val="single" w:color="auto" w:sz="2" w:space="0"/>
              <w:bottom w:val="single" w:color="auto" w:sz="2" w:space="0"/>
              <w:right w:val="single" w:color="auto" w:sz="2" w:space="0"/>
            </w:tcBorders>
            <w:vAlign w:val="center"/>
          </w:tcPr>
          <w:p w14:paraId="7B2FC6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物联网中台系统促进了不同行业之间的跨界合作，在智慧城市、智慧医疗等领域的应用，可以提升公共服务水平，进而加强公司的综合实力。</w:t>
            </w:r>
          </w:p>
        </w:tc>
      </w:tr>
      <w:tr w14:paraId="4C25F4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D913D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AI数字人</w:t>
            </w:r>
          </w:p>
        </w:tc>
        <w:tc>
          <w:tcPr>
            <w:tcW w:w="1928" w:type="dxa"/>
            <w:tcBorders>
              <w:top w:val="single" w:color="auto" w:sz="2" w:space="0"/>
              <w:left w:val="single" w:color="auto" w:sz="2" w:space="0"/>
              <w:bottom w:val="single" w:color="auto" w:sz="2" w:space="0"/>
              <w:right w:val="single" w:color="auto" w:sz="2" w:space="0"/>
            </w:tcBorders>
            <w:vAlign w:val="center"/>
          </w:tcPr>
          <w:p w14:paraId="26AECB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推动社会的信息化和智能化水平不断提升，可以减少对传统劳动力的依赖，降低人力成本，提高生产效率，从而实现经济的可持续发展。</w:t>
            </w:r>
          </w:p>
        </w:tc>
        <w:tc>
          <w:tcPr>
            <w:tcW w:w="1928" w:type="dxa"/>
            <w:tcBorders>
              <w:top w:val="single" w:color="auto" w:sz="2" w:space="0"/>
              <w:left w:val="single" w:color="auto" w:sz="2" w:space="0"/>
              <w:bottom w:val="single" w:color="auto" w:sz="2" w:space="0"/>
              <w:right w:val="single" w:color="auto" w:sz="2" w:space="0"/>
            </w:tcBorders>
            <w:vAlign w:val="center"/>
          </w:tcPr>
          <w:p w14:paraId="056552B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336411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AI数字人运用计算机图形学、计算机视觉、语音合成等技术，生成逼真的图像、动作和声音，具备用户进行沟通和对话的能力，实现拟人化的对话和沟通。</w:t>
            </w:r>
          </w:p>
        </w:tc>
        <w:tc>
          <w:tcPr>
            <w:tcW w:w="1876" w:type="dxa"/>
            <w:tcBorders>
              <w:top w:val="single" w:color="auto" w:sz="2" w:space="0"/>
              <w:left w:val="single" w:color="auto" w:sz="2" w:space="0"/>
              <w:bottom w:val="single" w:color="auto" w:sz="2" w:space="0"/>
              <w:right w:val="single" w:color="auto" w:sz="2" w:space="0"/>
            </w:tcBorders>
            <w:vAlign w:val="center"/>
          </w:tcPr>
          <w:p w14:paraId="58249F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AI数字人能够广泛应用于娱乐、教育、商业等多个领域，是公司智慧城市全领域产品的创新补充，有助于提升公司产品竞争力。</w:t>
            </w:r>
          </w:p>
        </w:tc>
      </w:tr>
      <w:tr w14:paraId="5620D0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60C77B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水利安全监测系统</w:t>
            </w:r>
          </w:p>
        </w:tc>
        <w:tc>
          <w:tcPr>
            <w:tcW w:w="1928" w:type="dxa"/>
            <w:tcBorders>
              <w:top w:val="single" w:color="auto" w:sz="2" w:space="0"/>
              <w:left w:val="single" w:color="auto" w:sz="2" w:space="0"/>
              <w:bottom w:val="single" w:color="auto" w:sz="2" w:space="0"/>
              <w:right w:val="single" w:color="auto" w:sz="2" w:space="0"/>
            </w:tcBorders>
            <w:vAlign w:val="center"/>
          </w:tcPr>
          <w:p w14:paraId="258ACE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提升水利部门的服务能力，为公众提供更加及时、准确的水情信息，增强社会的防灾减灾能力。</w:t>
            </w:r>
          </w:p>
        </w:tc>
        <w:tc>
          <w:tcPr>
            <w:tcW w:w="1928" w:type="dxa"/>
            <w:tcBorders>
              <w:top w:val="single" w:color="auto" w:sz="2" w:space="0"/>
              <w:left w:val="single" w:color="auto" w:sz="2" w:space="0"/>
              <w:bottom w:val="single" w:color="auto" w:sz="2" w:space="0"/>
              <w:right w:val="single" w:color="auto" w:sz="2" w:space="0"/>
            </w:tcBorders>
            <w:vAlign w:val="center"/>
          </w:tcPr>
          <w:p w14:paraId="70A943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研发阶段</w:t>
            </w:r>
          </w:p>
        </w:tc>
        <w:tc>
          <w:tcPr>
            <w:tcW w:w="1980" w:type="dxa"/>
            <w:tcBorders>
              <w:top w:val="single" w:color="auto" w:sz="2" w:space="0"/>
              <w:left w:val="single" w:color="auto" w:sz="2" w:space="0"/>
              <w:bottom w:val="single" w:color="auto" w:sz="2" w:space="0"/>
              <w:right w:val="single" w:color="auto" w:sz="2" w:space="0"/>
            </w:tcBorders>
            <w:vAlign w:val="center"/>
          </w:tcPr>
          <w:p w14:paraId="577A24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1.制定相应的防范措施，降低工程运行风险；</w:t>
            </w:r>
          </w:p>
          <w:p w14:paraId="3E6E82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2.提供的大量、准确的数据，为水资源管理部门的决策提供科学依据，提高决策的科学性和准确性；</w:t>
            </w:r>
          </w:p>
          <w:p w14:paraId="13808A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3.测数据还可用于科学研究和技术创新，推动水利工程技术的发展和水资源管理的现代化。</w:t>
            </w:r>
          </w:p>
        </w:tc>
        <w:tc>
          <w:tcPr>
            <w:tcW w:w="1876" w:type="dxa"/>
            <w:tcBorders>
              <w:top w:val="single" w:color="auto" w:sz="2" w:space="0"/>
              <w:left w:val="single" w:color="auto" w:sz="2" w:space="0"/>
              <w:bottom w:val="single" w:color="auto" w:sz="2" w:space="0"/>
              <w:right w:val="single" w:color="auto" w:sz="2" w:space="0"/>
            </w:tcBorders>
            <w:vAlign w:val="center"/>
          </w:tcPr>
          <w:p w14:paraId="71437E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该项目是公司在智慧城市政务领域的产品补充，有助于提升公司核心竞争力。</w:t>
            </w:r>
          </w:p>
        </w:tc>
      </w:tr>
    </w:tbl>
    <w:p w14:paraId="594268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公司研发人员情况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94"/>
        <w:gridCol w:w="1984"/>
        <w:gridCol w:w="1985"/>
        <w:gridCol w:w="1876"/>
      </w:tblGrid>
      <w:tr w14:paraId="0F3E6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2DF0B1D9">
            <w:pPr>
              <w:rPr>
                <w:rFonts w:ascii="Times New Roman" w:hAnsi="Times New Roman" w:cs="Times New Roman" w:eastAsiaTheme="majorEastAsia"/>
              </w:rPr>
            </w:pPr>
          </w:p>
        </w:tc>
        <w:tc>
          <w:tcPr>
            <w:tcW w:w="1984" w:type="dxa"/>
            <w:tcBorders>
              <w:top w:val="single" w:color="auto" w:sz="2" w:space="0"/>
              <w:left w:val="single" w:color="auto" w:sz="2" w:space="0"/>
              <w:bottom w:val="single" w:color="auto" w:sz="2" w:space="0"/>
              <w:right w:val="single" w:color="auto" w:sz="2" w:space="0"/>
            </w:tcBorders>
            <w:shd w:val="clear" w:color="auto" w:fill="D3D3D3"/>
            <w:vAlign w:val="center"/>
          </w:tcPr>
          <w:p w14:paraId="6A8238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1985" w:type="dxa"/>
            <w:tcBorders>
              <w:top w:val="single" w:color="auto" w:sz="2" w:space="0"/>
              <w:left w:val="single" w:color="auto" w:sz="2" w:space="0"/>
              <w:bottom w:val="single" w:color="auto" w:sz="2" w:space="0"/>
              <w:right w:val="single" w:color="auto" w:sz="2" w:space="0"/>
            </w:tcBorders>
            <w:shd w:val="clear" w:color="auto" w:fill="D3D3D3"/>
            <w:vAlign w:val="center"/>
          </w:tcPr>
          <w:p w14:paraId="52611B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1876" w:type="dxa"/>
            <w:tcBorders>
              <w:top w:val="single" w:color="auto" w:sz="2" w:space="0"/>
              <w:left w:val="single" w:color="auto" w:sz="2" w:space="0"/>
              <w:bottom w:val="single" w:color="auto" w:sz="2" w:space="0"/>
              <w:right w:val="single" w:color="auto" w:sz="2" w:space="0"/>
            </w:tcBorders>
            <w:shd w:val="clear" w:color="auto" w:fill="D3D3D3"/>
            <w:vAlign w:val="center"/>
          </w:tcPr>
          <w:p w14:paraId="7BE6C5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变动比例</w:t>
            </w:r>
          </w:p>
        </w:tc>
      </w:tr>
      <w:tr w14:paraId="02DD22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4F4843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研发人员数量（人）</w:t>
            </w:r>
          </w:p>
        </w:tc>
        <w:tc>
          <w:tcPr>
            <w:tcW w:w="1984" w:type="dxa"/>
            <w:tcBorders>
              <w:top w:val="single" w:color="auto" w:sz="2" w:space="0"/>
              <w:left w:val="single" w:color="auto" w:sz="2" w:space="0"/>
              <w:bottom w:val="single" w:color="auto" w:sz="2" w:space="0"/>
              <w:right w:val="single" w:color="auto" w:sz="2" w:space="0"/>
            </w:tcBorders>
            <w:vAlign w:val="center"/>
          </w:tcPr>
          <w:p w14:paraId="42379F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w:t>
            </w:r>
          </w:p>
        </w:tc>
        <w:tc>
          <w:tcPr>
            <w:tcW w:w="1985" w:type="dxa"/>
            <w:tcBorders>
              <w:top w:val="single" w:color="auto" w:sz="2" w:space="0"/>
              <w:left w:val="single" w:color="auto" w:sz="2" w:space="0"/>
              <w:bottom w:val="single" w:color="auto" w:sz="2" w:space="0"/>
              <w:right w:val="single" w:color="auto" w:sz="2" w:space="0"/>
            </w:tcBorders>
            <w:vAlign w:val="center"/>
          </w:tcPr>
          <w:p w14:paraId="20537C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w:t>
            </w:r>
          </w:p>
        </w:tc>
        <w:tc>
          <w:tcPr>
            <w:tcW w:w="1876" w:type="dxa"/>
            <w:tcBorders>
              <w:top w:val="single" w:color="auto" w:sz="2" w:space="0"/>
              <w:left w:val="single" w:color="auto" w:sz="2" w:space="0"/>
              <w:bottom w:val="single" w:color="auto" w:sz="2" w:space="0"/>
              <w:right w:val="single" w:color="auto" w:sz="2" w:space="0"/>
            </w:tcBorders>
            <w:vAlign w:val="center"/>
          </w:tcPr>
          <w:p w14:paraId="56A191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47.30%</w:t>
            </w:r>
          </w:p>
        </w:tc>
      </w:tr>
      <w:tr w14:paraId="02C17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7784C2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研发人员数量占比</w:t>
            </w:r>
          </w:p>
        </w:tc>
        <w:tc>
          <w:tcPr>
            <w:tcW w:w="1984" w:type="dxa"/>
            <w:tcBorders>
              <w:top w:val="single" w:color="auto" w:sz="2" w:space="0"/>
              <w:left w:val="single" w:color="auto" w:sz="2" w:space="0"/>
              <w:bottom w:val="single" w:color="auto" w:sz="2" w:space="0"/>
              <w:right w:val="single" w:color="auto" w:sz="2" w:space="0"/>
            </w:tcBorders>
            <w:vAlign w:val="center"/>
          </w:tcPr>
          <w:p w14:paraId="08553D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29.22%</w:t>
            </w:r>
          </w:p>
        </w:tc>
        <w:tc>
          <w:tcPr>
            <w:tcW w:w="1985" w:type="dxa"/>
            <w:tcBorders>
              <w:top w:val="single" w:color="auto" w:sz="2" w:space="0"/>
              <w:left w:val="single" w:color="auto" w:sz="2" w:space="0"/>
              <w:bottom w:val="single" w:color="auto" w:sz="2" w:space="0"/>
              <w:right w:val="single" w:color="auto" w:sz="2" w:space="0"/>
            </w:tcBorders>
            <w:vAlign w:val="center"/>
          </w:tcPr>
          <w:p w14:paraId="0731D7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23.10%</w:t>
            </w:r>
          </w:p>
        </w:tc>
        <w:tc>
          <w:tcPr>
            <w:tcW w:w="1876" w:type="dxa"/>
            <w:tcBorders>
              <w:top w:val="single" w:color="auto" w:sz="2" w:space="0"/>
              <w:left w:val="single" w:color="auto" w:sz="2" w:space="0"/>
              <w:bottom w:val="single" w:color="auto" w:sz="2" w:space="0"/>
              <w:right w:val="single" w:color="auto" w:sz="2" w:space="0"/>
            </w:tcBorders>
            <w:vAlign w:val="center"/>
          </w:tcPr>
          <w:p w14:paraId="05F69B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6.12%</w:t>
            </w:r>
          </w:p>
        </w:tc>
      </w:tr>
      <w:tr w14:paraId="1F1BB7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369C4A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研发人员学历</w:t>
            </w:r>
          </w:p>
        </w:tc>
      </w:tr>
      <w:tr w14:paraId="5A1E7D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75F5631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本科</w:t>
            </w:r>
          </w:p>
        </w:tc>
        <w:tc>
          <w:tcPr>
            <w:tcW w:w="1984" w:type="dxa"/>
            <w:tcBorders>
              <w:top w:val="single" w:color="auto" w:sz="2" w:space="0"/>
              <w:left w:val="single" w:color="auto" w:sz="2" w:space="0"/>
              <w:bottom w:val="single" w:color="auto" w:sz="2" w:space="0"/>
              <w:right w:val="single" w:color="auto" w:sz="2" w:space="0"/>
            </w:tcBorders>
            <w:vAlign w:val="center"/>
          </w:tcPr>
          <w:p w14:paraId="4BBA67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w:t>
            </w:r>
          </w:p>
        </w:tc>
        <w:tc>
          <w:tcPr>
            <w:tcW w:w="1985" w:type="dxa"/>
            <w:tcBorders>
              <w:top w:val="single" w:color="auto" w:sz="2" w:space="0"/>
              <w:left w:val="single" w:color="auto" w:sz="2" w:space="0"/>
              <w:bottom w:val="single" w:color="auto" w:sz="2" w:space="0"/>
              <w:right w:val="single" w:color="auto" w:sz="2" w:space="0"/>
            </w:tcBorders>
            <w:vAlign w:val="center"/>
          </w:tcPr>
          <w:p w14:paraId="2969CE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w:t>
            </w:r>
          </w:p>
        </w:tc>
        <w:tc>
          <w:tcPr>
            <w:tcW w:w="1876" w:type="dxa"/>
            <w:tcBorders>
              <w:top w:val="single" w:color="auto" w:sz="2" w:space="0"/>
              <w:left w:val="single" w:color="auto" w:sz="2" w:space="0"/>
              <w:bottom w:val="single" w:color="auto" w:sz="2" w:space="0"/>
              <w:right w:val="single" w:color="auto" w:sz="2" w:space="0"/>
            </w:tcBorders>
            <w:vAlign w:val="center"/>
          </w:tcPr>
          <w:p w14:paraId="2F8AEA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61.54%</w:t>
            </w:r>
          </w:p>
        </w:tc>
      </w:tr>
      <w:tr w14:paraId="752749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E1F450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硕士</w:t>
            </w:r>
          </w:p>
        </w:tc>
        <w:tc>
          <w:tcPr>
            <w:tcW w:w="1984" w:type="dxa"/>
            <w:tcBorders>
              <w:top w:val="single" w:color="auto" w:sz="2" w:space="0"/>
              <w:left w:val="single" w:color="auto" w:sz="2" w:space="0"/>
              <w:bottom w:val="single" w:color="auto" w:sz="2" w:space="0"/>
              <w:right w:val="single" w:color="auto" w:sz="2" w:space="0"/>
            </w:tcBorders>
            <w:vAlign w:val="center"/>
          </w:tcPr>
          <w:p w14:paraId="63F97D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1985" w:type="dxa"/>
            <w:tcBorders>
              <w:top w:val="single" w:color="auto" w:sz="2" w:space="0"/>
              <w:left w:val="single" w:color="auto" w:sz="2" w:space="0"/>
              <w:bottom w:val="single" w:color="auto" w:sz="2" w:space="0"/>
              <w:right w:val="single" w:color="auto" w:sz="2" w:space="0"/>
            </w:tcBorders>
            <w:vAlign w:val="center"/>
          </w:tcPr>
          <w:p w14:paraId="14D68E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w:t>
            </w:r>
          </w:p>
        </w:tc>
        <w:tc>
          <w:tcPr>
            <w:tcW w:w="1876" w:type="dxa"/>
            <w:tcBorders>
              <w:top w:val="single" w:color="auto" w:sz="2" w:space="0"/>
              <w:left w:val="single" w:color="auto" w:sz="2" w:space="0"/>
              <w:bottom w:val="single" w:color="auto" w:sz="2" w:space="0"/>
              <w:right w:val="single" w:color="auto" w:sz="2" w:space="0"/>
            </w:tcBorders>
            <w:vAlign w:val="center"/>
          </w:tcPr>
          <w:p w14:paraId="5C9B4B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0154C9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4FABB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大专</w:t>
            </w:r>
          </w:p>
        </w:tc>
        <w:tc>
          <w:tcPr>
            <w:tcW w:w="1984" w:type="dxa"/>
            <w:tcBorders>
              <w:top w:val="single" w:color="auto" w:sz="2" w:space="0"/>
              <w:left w:val="single" w:color="auto" w:sz="2" w:space="0"/>
              <w:bottom w:val="single" w:color="auto" w:sz="2" w:space="0"/>
              <w:right w:val="single" w:color="auto" w:sz="2" w:space="0"/>
            </w:tcBorders>
            <w:vAlign w:val="center"/>
          </w:tcPr>
          <w:p w14:paraId="5CE4A5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w:t>
            </w:r>
          </w:p>
        </w:tc>
        <w:tc>
          <w:tcPr>
            <w:tcW w:w="1985" w:type="dxa"/>
            <w:tcBorders>
              <w:top w:val="single" w:color="auto" w:sz="2" w:space="0"/>
              <w:left w:val="single" w:color="auto" w:sz="2" w:space="0"/>
              <w:bottom w:val="single" w:color="auto" w:sz="2" w:space="0"/>
              <w:right w:val="single" w:color="auto" w:sz="2" w:space="0"/>
            </w:tcBorders>
            <w:vAlign w:val="center"/>
          </w:tcPr>
          <w:p w14:paraId="7554E3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w:t>
            </w:r>
          </w:p>
        </w:tc>
        <w:tc>
          <w:tcPr>
            <w:tcW w:w="1876" w:type="dxa"/>
            <w:tcBorders>
              <w:top w:val="single" w:color="auto" w:sz="2" w:space="0"/>
              <w:left w:val="single" w:color="auto" w:sz="2" w:space="0"/>
              <w:bottom w:val="single" w:color="auto" w:sz="2" w:space="0"/>
              <w:right w:val="single" w:color="auto" w:sz="2" w:space="0"/>
            </w:tcBorders>
            <w:vAlign w:val="center"/>
          </w:tcPr>
          <w:p w14:paraId="4240BE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29.41%</w:t>
            </w:r>
          </w:p>
        </w:tc>
      </w:tr>
      <w:tr w14:paraId="7B40FA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23C404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研发人员年龄构成</w:t>
            </w:r>
          </w:p>
        </w:tc>
      </w:tr>
      <w:tr w14:paraId="6AAA76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5A2FCAD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30岁以下</w:t>
            </w:r>
          </w:p>
        </w:tc>
        <w:tc>
          <w:tcPr>
            <w:tcW w:w="1984" w:type="dxa"/>
            <w:tcBorders>
              <w:top w:val="single" w:color="auto" w:sz="2" w:space="0"/>
              <w:left w:val="single" w:color="auto" w:sz="2" w:space="0"/>
              <w:bottom w:val="single" w:color="auto" w:sz="2" w:space="0"/>
              <w:right w:val="single" w:color="auto" w:sz="2" w:space="0"/>
            </w:tcBorders>
            <w:vAlign w:val="center"/>
          </w:tcPr>
          <w:p w14:paraId="73EE9D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w:t>
            </w:r>
          </w:p>
        </w:tc>
        <w:tc>
          <w:tcPr>
            <w:tcW w:w="1985" w:type="dxa"/>
            <w:tcBorders>
              <w:top w:val="single" w:color="auto" w:sz="2" w:space="0"/>
              <w:left w:val="single" w:color="auto" w:sz="2" w:space="0"/>
              <w:bottom w:val="single" w:color="auto" w:sz="2" w:space="0"/>
              <w:right w:val="single" w:color="auto" w:sz="2" w:space="0"/>
            </w:tcBorders>
            <w:vAlign w:val="center"/>
          </w:tcPr>
          <w:p w14:paraId="05A3DC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w:t>
            </w:r>
          </w:p>
        </w:tc>
        <w:tc>
          <w:tcPr>
            <w:tcW w:w="1876" w:type="dxa"/>
            <w:tcBorders>
              <w:top w:val="single" w:color="auto" w:sz="2" w:space="0"/>
              <w:left w:val="single" w:color="auto" w:sz="2" w:space="0"/>
              <w:bottom w:val="single" w:color="auto" w:sz="2" w:space="0"/>
              <w:right w:val="single" w:color="auto" w:sz="2" w:space="0"/>
            </w:tcBorders>
            <w:vAlign w:val="center"/>
          </w:tcPr>
          <w:p w14:paraId="34606A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20.69%</w:t>
            </w:r>
          </w:p>
        </w:tc>
      </w:tr>
      <w:tr w14:paraId="711D7E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5DB20AB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30~40岁</w:t>
            </w:r>
          </w:p>
        </w:tc>
        <w:tc>
          <w:tcPr>
            <w:tcW w:w="1984" w:type="dxa"/>
            <w:tcBorders>
              <w:top w:val="single" w:color="auto" w:sz="2" w:space="0"/>
              <w:left w:val="single" w:color="auto" w:sz="2" w:space="0"/>
              <w:bottom w:val="single" w:color="auto" w:sz="2" w:space="0"/>
              <w:right w:val="single" w:color="auto" w:sz="2" w:space="0"/>
            </w:tcBorders>
            <w:vAlign w:val="center"/>
          </w:tcPr>
          <w:p w14:paraId="270AF9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w:t>
            </w:r>
          </w:p>
        </w:tc>
        <w:tc>
          <w:tcPr>
            <w:tcW w:w="1985" w:type="dxa"/>
            <w:tcBorders>
              <w:top w:val="single" w:color="auto" w:sz="2" w:space="0"/>
              <w:left w:val="single" w:color="auto" w:sz="2" w:space="0"/>
              <w:bottom w:val="single" w:color="auto" w:sz="2" w:space="0"/>
              <w:right w:val="single" w:color="auto" w:sz="2" w:space="0"/>
            </w:tcBorders>
            <w:vAlign w:val="center"/>
          </w:tcPr>
          <w:p w14:paraId="27CD72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w:t>
            </w:r>
          </w:p>
        </w:tc>
        <w:tc>
          <w:tcPr>
            <w:tcW w:w="1876" w:type="dxa"/>
            <w:tcBorders>
              <w:top w:val="single" w:color="auto" w:sz="2" w:space="0"/>
              <w:left w:val="single" w:color="auto" w:sz="2" w:space="0"/>
              <w:bottom w:val="single" w:color="auto" w:sz="2" w:space="0"/>
              <w:right w:val="single" w:color="auto" w:sz="2" w:space="0"/>
            </w:tcBorders>
            <w:vAlign w:val="center"/>
          </w:tcPr>
          <w:p w14:paraId="6C4151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67.56%</w:t>
            </w:r>
          </w:p>
        </w:tc>
      </w:tr>
      <w:tr w14:paraId="1DA30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9E61C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40岁以上</w:t>
            </w:r>
          </w:p>
        </w:tc>
        <w:tc>
          <w:tcPr>
            <w:tcW w:w="1984" w:type="dxa"/>
            <w:tcBorders>
              <w:top w:val="single" w:color="auto" w:sz="2" w:space="0"/>
              <w:left w:val="single" w:color="auto" w:sz="2" w:space="0"/>
              <w:bottom w:val="single" w:color="auto" w:sz="2" w:space="0"/>
              <w:right w:val="single" w:color="auto" w:sz="2" w:space="0"/>
            </w:tcBorders>
            <w:vAlign w:val="center"/>
          </w:tcPr>
          <w:p w14:paraId="5A6920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w:t>
            </w:r>
          </w:p>
        </w:tc>
        <w:tc>
          <w:tcPr>
            <w:tcW w:w="1985" w:type="dxa"/>
            <w:tcBorders>
              <w:top w:val="single" w:color="auto" w:sz="2" w:space="0"/>
              <w:left w:val="single" w:color="auto" w:sz="2" w:space="0"/>
              <w:bottom w:val="single" w:color="auto" w:sz="2" w:space="0"/>
              <w:right w:val="single" w:color="auto" w:sz="2" w:space="0"/>
            </w:tcBorders>
            <w:vAlign w:val="center"/>
          </w:tcPr>
          <w:p w14:paraId="356604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w:t>
            </w:r>
          </w:p>
        </w:tc>
        <w:tc>
          <w:tcPr>
            <w:tcW w:w="1876" w:type="dxa"/>
            <w:tcBorders>
              <w:top w:val="single" w:color="auto" w:sz="2" w:space="0"/>
              <w:left w:val="single" w:color="auto" w:sz="2" w:space="0"/>
              <w:bottom w:val="single" w:color="auto" w:sz="2" w:space="0"/>
              <w:right w:val="single" w:color="auto" w:sz="2" w:space="0"/>
            </w:tcBorders>
            <w:vAlign w:val="center"/>
          </w:tcPr>
          <w:p w14:paraId="5AD53C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bl>
    <w:p w14:paraId="728A4C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近三年公司研发投入金额及占营业收入的比例</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94"/>
        <w:gridCol w:w="1984"/>
        <w:gridCol w:w="1985"/>
        <w:gridCol w:w="1876"/>
      </w:tblGrid>
      <w:tr w14:paraId="75FB3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66D84DC">
            <w:pPr>
              <w:rPr>
                <w:rFonts w:ascii="Times New Roman" w:hAnsi="Times New Roman" w:cs="Times New Roman" w:eastAsiaTheme="majorEastAsia"/>
              </w:rPr>
            </w:pPr>
          </w:p>
        </w:tc>
        <w:tc>
          <w:tcPr>
            <w:tcW w:w="1984" w:type="dxa"/>
            <w:tcBorders>
              <w:top w:val="single" w:color="auto" w:sz="2" w:space="0"/>
              <w:left w:val="single" w:color="auto" w:sz="2" w:space="0"/>
              <w:bottom w:val="single" w:color="auto" w:sz="2" w:space="0"/>
              <w:right w:val="single" w:color="auto" w:sz="2" w:space="0"/>
            </w:tcBorders>
            <w:shd w:val="clear" w:color="auto" w:fill="D3D3D3"/>
            <w:vAlign w:val="center"/>
          </w:tcPr>
          <w:p w14:paraId="29AB8E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1985" w:type="dxa"/>
            <w:tcBorders>
              <w:top w:val="single" w:color="auto" w:sz="2" w:space="0"/>
              <w:left w:val="single" w:color="auto" w:sz="2" w:space="0"/>
              <w:bottom w:val="single" w:color="auto" w:sz="2" w:space="0"/>
              <w:right w:val="single" w:color="auto" w:sz="2" w:space="0"/>
            </w:tcBorders>
            <w:shd w:val="clear" w:color="auto" w:fill="D3D3D3"/>
            <w:vAlign w:val="center"/>
          </w:tcPr>
          <w:p w14:paraId="208690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1876" w:type="dxa"/>
            <w:tcBorders>
              <w:top w:val="single" w:color="auto" w:sz="2" w:space="0"/>
              <w:left w:val="single" w:color="auto" w:sz="2" w:space="0"/>
              <w:bottom w:val="single" w:color="auto" w:sz="2" w:space="0"/>
              <w:right w:val="single" w:color="auto" w:sz="2" w:space="0"/>
            </w:tcBorders>
            <w:shd w:val="clear" w:color="auto" w:fill="D3D3D3"/>
            <w:vAlign w:val="center"/>
          </w:tcPr>
          <w:p w14:paraId="3A2303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w:t>
            </w:r>
          </w:p>
        </w:tc>
      </w:tr>
      <w:tr w14:paraId="05FF76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5797041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研发投入金额（元）</w:t>
            </w:r>
          </w:p>
        </w:tc>
        <w:tc>
          <w:tcPr>
            <w:tcW w:w="1984" w:type="dxa"/>
            <w:tcBorders>
              <w:top w:val="single" w:color="auto" w:sz="2" w:space="0"/>
              <w:left w:val="single" w:color="auto" w:sz="2" w:space="0"/>
              <w:bottom w:val="single" w:color="auto" w:sz="2" w:space="0"/>
              <w:right w:val="single" w:color="auto" w:sz="2" w:space="0"/>
            </w:tcBorders>
            <w:vAlign w:val="center"/>
          </w:tcPr>
          <w:p w14:paraId="22F0BA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1985" w:type="dxa"/>
            <w:tcBorders>
              <w:top w:val="single" w:color="auto" w:sz="2" w:space="0"/>
              <w:left w:val="single" w:color="auto" w:sz="2" w:space="0"/>
              <w:bottom w:val="single" w:color="auto" w:sz="2" w:space="0"/>
              <w:right w:val="single" w:color="auto" w:sz="2" w:space="0"/>
            </w:tcBorders>
            <w:vAlign w:val="center"/>
          </w:tcPr>
          <w:p w14:paraId="5BB153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c>
          <w:tcPr>
            <w:tcW w:w="1876" w:type="dxa"/>
            <w:tcBorders>
              <w:top w:val="single" w:color="auto" w:sz="2" w:space="0"/>
              <w:left w:val="single" w:color="auto" w:sz="2" w:space="0"/>
              <w:bottom w:val="single" w:color="auto" w:sz="2" w:space="0"/>
              <w:right w:val="single" w:color="auto" w:sz="2" w:space="0"/>
            </w:tcBorders>
            <w:vAlign w:val="center"/>
          </w:tcPr>
          <w:p w14:paraId="023783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17,827,620.49</w:t>
            </w:r>
          </w:p>
        </w:tc>
      </w:tr>
      <w:tr w14:paraId="1C11FB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660DAC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研发投入占营业收入比例</w:t>
            </w:r>
          </w:p>
        </w:tc>
        <w:tc>
          <w:tcPr>
            <w:tcW w:w="1984" w:type="dxa"/>
            <w:tcBorders>
              <w:top w:val="single" w:color="auto" w:sz="2" w:space="0"/>
              <w:left w:val="single" w:color="auto" w:sz="2" w:space="0"/>
              <w:bottom w:val="single" w:color="auto" w:sz="2" w:space="0"/>
              <w:right w:val="single" w:color="auto" w:sz="2" w:space="0"/>
            </w:tcBorders>
            <w:vAlign w:val="center"/>
          </w:tcPr>
          <w:p w14:paraId="5FCE6B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7.74%</w:t>
            </w:r>
          </w:p>
        </w:tc>
        <w:tc>
          <w:tcPr>
            <w:tcW w:w="1985" w:type="dxa"/>
            <w:tcBorders>
              <w:top w:val="single" w:color="auto" w:sz="2" w:space="0"/>
              <w:left w:val="single" w:color="auto" w:sz="2" w:space="0"/>
              <w:bottom w:val="single" w:color="auto" w:sz="2" w:space="0"/>
              <w:right w:val="single" w:color="auto" w:sz="2" w:space="0"/>
            </w:tcBorders>
            <w:vAlign w:val="center"/>
          </w:tcPr>
          <w:p w14:paraId="4268F0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4.36%</w:t>
            </w:r>
          </w:p>
        </w:tc>
        <w:tc>
          <w:tcPr>
            <w:tcW w:w="1876" w:type="dxa"/>
            <w:tcBorders>
              <w:top w:val="single" w:color="auto" w:sz="2" w:space="0"/>
              <w:left w:val="single" w:color="auto" w:sz="2" w:space="0"/>
              <w:bottom w:val="single" w:color="auto" w:sz="2" w:space="0"/>
              <w:right w:val="single" w:color="auto" w:sz="2" w:space="0"/>
            </w:tcBorders>
            <w:vAlign w:val="center"/>
          </w:tcPr>
          <w:p w14:paraId="7BDCA6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4.06%</w:t>
            </w:r>
          </w:p>
        </w:tc>
      </w:tr>
      <w:tr w14:paraId="315EFF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2E49D3A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研发支出资本化的金额（元）</w:t>
            </w:r>
          </w:p>
        </w:tc>
        <w:tc>
          <w:tcPr>
            <w:tcW w:w="1984" w:type="dxa"/>
            <w:tcBorders>
              <w:top w:val="single" w:color="auto" w:sz="2" w:space="0"/>
              <w:left w:val="single" w:color="auto" w:sz="2" w:space="0"/>
              <w:bottom w:val="single" w:color="auto" w:sz="2" w:space="0"/>
              <w:right w:val="single" w:color="auto" w:sz="2" w:space="0"/>
            </w:tcBorders>
            <w:vAlign w:val="center"/>
          </w:tcPr>
          <w:p w14:paraId="2CCB37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985" w:type="dxa"/>
            <w:tcBorders>
              <w:top w:val="single" w:color="auto" w:sz="2" w:space="0"/>
              <w:left w:val="single" w:color="auto" w:sz="2" w:space="0"/>
              <w:bottom w:val="single" w:color="auto" w:sz="2" w:space="0"/>
              <w:right w:val="single" w:color="auto" w:sz="2" w:space="0"/>
            </w:tcBorders>
            <w:vAlign w:val="center"/>
          </w:tcPr>
          <w:p w14:paraId="0C93B8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876" w:type="dxa"/>
            <w:tcBorders>
              <w:top w:val="single" w:color="auto" w:sz="2" w:space="0"/>
              <w:left w:val="single" w:color="auto" w:sz="2" w:space="0"/>
              <w:bottom w:val="single" w:color="auto" w:sz="2" w:space="0"/>
              <w:right w:val="single" w:color="auto" w:sz="2" w:space="0"/>
            </w:tcBorders>
            <w:vAlign w:val="center"/>
          </w:tcPr>
          <w:p w14:paraId="258E3F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1C7CE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2DBE68D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资本化研发支出占研发投入的比例</w:t>
            </w:r>
          </w:p>
        </w:tc>
        <w:tc>
          <w:tcPr>
            <w:tcW w:w="1984" w:type="dxa"/>
            <w:tcBorders>
              <w:top w:val="single" w:color="auto" w:sz="2" w:space="0"/>
              <w:left w:val="single" w:color="auto" w:sz="2" w:space="0"/>
              <w:bottom w:val="single" w:color="auto" w:sz="2" w:space="0"/>
              <w:right w:val="single" w:color="auto" w:sz="2" w:space="0"/>
            </w:tcBorders>
            <w:vAlign w:val="center"/>
          </w:tcPr>
          <w:p w14:paraId="566AB0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985" w:type="dxa"/>
            <w:tcBorders>
              <w:top w:val="single" w:color="auto" w:sz="2" w:space="0"/>
              <w:left w:val="single" w:color="auto" w:sz="2" w:space="0"/>
              <w:bottom w:val="single" w:color="auto" w:sz="2" w:space="0"/>
              <w:right w:val="single" w:color="auto" w:sz="2" w:space="0"/>
            </w:tcBorders>
            <w:vAlign w:val="center"/>
          </w:tcPr>
          <w:p w14:paraId="6F49A5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876" w:type="dxa"/>
            <w:tcBorders>
              <w:top w:val="single" w:color="auto" w:sz="2" w:space="0"/>
              <w:left w:val="single" w:color="auto" w:sz="2" w:space="0"/>
              <w:bottom w:val="single" w:color="auto" w:sz="2" w:space="0"/>
              <w:right w:val="single" w:color="auto" w:sz="2" w:space="0"/>
            </w:tcBorders>
            <w:vAlign w:val="center"/>
          </w:tcPr>
          <w:p w14:paraId="37281C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4696C9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6C35E1A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资本化研发支出占当期净利润的比重</w:t>
            </w:r>
          </w:p>
        </w:tc>
        <w:tc>
          <w:tcPr>
            <w:tcW w:w="1984" w:type="dxa"/>
            <w:tcBorders>
              <w:top w:val="single" w:color="auto" w:sz="2" w:space="0"/>
              <w:left w:val="single" w:color="auto" w:sz="2" w:space="0"/>
              <w:bottom w:val="single" w:color="auto" w:sz="2" w:space="0"/>
              <w:right w:val="single" w:color="auto" w:sz="2" w:space="0"/>
            </w:tcBorders>
            <w:vAlign w:val="center"/>
          </w:tcPr>
          <w:p w14:paraId="073356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985" w:type="dxa"/>
            <w:tcBorders>
              <w:top w:val="single" w:color="auto" w:sz="2" w:space="0"/>
              <w:left w:val="single" w:color="auto" w:sz="2" w:space="0"/>
              <w:bottom w:val="single" w:color="auto" w:sz="2" w:space="0"/>
              <w:right w:val="single" w:color="auto" w:sz="2" w:space="0"/>
            </w:tcBorders>
            <w:vAlign w:val="center"/>
          </w:tcPr>
          <w:p w14:paraId="168F79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876" w:type="dxa"/>
            <w:tcBorders>
              <w:top w:val="single" w:color="auto" w:sz="2" w:space="0"/>
              <w:left w:val="single" w:color="auto" w:sz="2" w:space="0"/>
              <w:bottom w:val="single" w:color="auto" w:sz="2" w:space="0"/>
              <w:right w:val="single" w:color="auto" w:sz="2" w:space="0"/>
            </w:tcBorders>
            <w:vAlign w:val="center"/>
          </w:tcPr>
          <w:p w14:paraId="624E84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bl>
    <w:p w14:paraId="3B9D92B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公司研发人员构成发生重大变化的原因及影响</w:t>
      </w:r>
    </w:p>
    <w:p w14:paraId="204628D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74F98F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研发投入总额占营业收入的比重较上年发生显著变化的原因</w:t>
      </w:r>
    </w:p>
    <w:p w14:paraId="0459D85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3EFAE2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研发投入资本化率大幅变动的原因及其合理性说明</w:t>
      </w:r>
    </w:p>
    <w:p w14:paraId="6B07219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071BF0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3AC8ED5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0B71E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A128B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3162C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研发资本化金额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C8FC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相关项目的基本情况</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E5780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实施进度</w:t>
            </w:r>
          </w:p>
        </w:tc>
      </w:tr>
      <w:tr w14:paraId="0D07FA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143520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2410" w:type="dxa"/>
            <w:tcBorders>
              <w:top w:val="single" w:color="auto" w:sz="2" w:space="0"/>
              <w:left w:val="single" w:color="auto" w:sz="2" w:space="0"/>
              <w:bottom w:val="single" w:color="auto" w:sz="2" w:space="0"/>
              <w:right w:val="single" w:color="auto" w:sz="2" w:space="0"/>
            </w:tcBorders>
            <w:vAlign w:val="center"/>
          </w:tcPr>
          <w:p w14:paraId="2443BD9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2410" w:type="dxa"/>
            <w:tcBorders>
              <w:top w:val="single" w:color="auto" w:sz="2" w:space="0"/>
              <w:left w:val="single" w:color="auto" w:sz="2" w:space="0"/>
              <w:bottom w:val="single" w:color="auto" w:sz="2" w:space="0"/>
              <w:right w:val="single" w:color="auto" w:sz="2" w:space="0"/>
            </w:tcBorders>
            <w:vAlign w:val="center"/>
          </w:tcPr>
          <w:p w14:paraId="5C051F4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2410" w:type="dxa"/>
            <w:tcBorders>
              <w:top w:val="single" w:color="auto" w:sz="2" w:space="0"/>
              <w:left w:val="single" w:color="auto" w:sz="2" w:space="0"/>
              <w:bottom w:val="single" w:color="auto" w:sz="2" w:space="0"/>
              <w:right w:val="single" w:color="auto" w:sz="2" w:space="0"/>
            </w:tcBorders>
            <w:vAlign w:val="center"/>
          </w:tcPr>
          <w:p w14:paraId="42440B9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bl>
    <w:p w14:paraId="049F0A41">
      <w:pPr>
        <w:pStyle w:val="10"/>
        <w:rPr>
          <w:rFonts w:ascii="Times New Roman" w:hAnsi="Times New Roman" w:cs="Times New Roman" w:eastAsiaTheme="majorEastAsia"/>
        </w:rPr>
      </w:pPr>
      <w:r>
        <w:rPr>
          <w:rFonts w:ascii="Times New Roman" w:hAnsi="Times New Roman" w:cs="Times New Roman" w:eastAsiaTheme="majorEastAsia"/>
          <w:sz w:val="18"/>
          <w:szCs w:val="18"/>
        </w:rPr>
        <w:t>不适用。</w:t>
      </w:r>
    </w:p>
    <w:p w14:paraId="0D25D60D">
      <w:pPr>
        <w:pStyle w:val="3"/>
        <w:spacing w:line="280" w:lineRule="exact"/>
        <w:jc w:val="left"/>
        <w:rPr>
          <w:rFonts w:ascii="Times New Roman" w:hAnsi="Times New Roman" w:cs="Times New Roman" w:eastAsiaTheme="majorEastAsia"/>
          <w:b/>
          <w:bCs/>
        </w:rPr>
      </w:pPr>
      <w:bookmarkStart w:id="29" w:name="_Toc988918"/>
      <w:r>
        <w:rPr>
          <w:rFonts w:ascii="Times New Roman" w:hAnsi="Times New Roman" w:cs="Times New Roman" w:eastAsiaTheme="majorEastAsia"/>
          <w:b/>
          <w:bCs/>
        </w:rPr>
        <w:t>5、现金流</w:t>
      </w:r>
      <w:bookmarkEnd w:id="29"/>
    </w:p>
    <w:p w14:paraId="015C1CF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222A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CA9E5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7F3F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01836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FCC0E2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同比增减</w:t>
            </w:r>
          </w:p>
        </w:tc>
      </w:tr>
      <w:tr w14:paraId="1D4AD0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627924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经营活动现金流入小计</w:t>
            </w:r>
          </w:p>
        </w:tc>
        <w:tc>
          <w:tcPr>
            <w:tcW w:w="2410" w:type="dxa"/>
            <w:tcBorders>
              <w:top w:val="single" w:color="auto" w:sz="2" w:space="0"/>
              <w:left w:val="single" w:color="auto" w:sz="2" w:space="0"/>
              <w:bottom w:val="single" w:color="auto" w:sz="2" w:space="0"/>
              <w:right w:val="single" w:color="auto" w:sz="2" w:space="0"/>
            </w:tcBorders>
            <w:vAlign w:val="center"/>
          </w:tcPr>
          <w:p w14:paraId="1B4F4F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324,194,023.92</w:t>
            </w:r>
          </w:p>
        </w:tc>
        <w:tc>
          <w:tcPr>
            <w:tcW w:w="2410" w:type="dxa"/>
            <w:tcBorders>
              <w:top w:val="single" w:color="auto" w:sz="2" w:space="0"/>
              <w:left w:val="single" w:color="auto" w:sz="2" w:space="0"/>
              <w:bottom w:val="single" w:color="auto" w:sz="2" w:space="0"/>
              <w:right w:val="single" w:color="auto" w:sz="2" w:space="0"/>
            </w:tcBorders>
            <w:vAlign w:val="center"/>
          </w:tcPr>
          <w:p w14:paraId="271785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473,887,308.59</w:t>
            </w:r>
          </w:p>
        </w:tc>
        <w:tc>
          <w:tcPr>
            <w:tcW w:w="2410" w:type="dxa"/>
            <w:tcBorders>
              <w:top w:val="single" w:color="auto" w:sz="2" w:space="0"/>
              <w:left w:val="single" w:color="auto" w:sz="2" w:space="0"/>
              <w:bottom w:val="single" w:color="auto" w:sz="2" w:space="0"/>
              <w:right w:val="single" w:color="auto" w:sz="2" w:space="0"/>
            </w:tcBorders>
            <w:vAlign w:val="center"/>
          </w:tcPr>
          <w:p w14:paraId="2CC2B0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-31.59%</w:t>
            </w:r>
          </w:p>
        </w:tc>
      </w:tr>
      <w:tr w14:paraId="18FD6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2BB5CF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经营活动现金流出小计</w:t>
            </w:r>
          </w:p>
        </w:tc>
        <w:tc>
          <w:tcPr>
            <w:tcW w:w="2410" w:type="dxa"/>
            <w:tcBorders>
              <w:top w:val="single" w:color="auto" w:sz="2" w:space="0"/>
              <w:left w:val="single" w:color="auto" w:sz="2" w:space="0"/>
              <w:bottom w:val="single" w:color="auto" w:sz="2" w:space="0"/>
              <w:right w:val="single" w:color="auto" w:sz="2" w:space="0"/>
            </w:tcBorders>
            <w:vAlign w:val="center"/>
          </w:tcPr>
          <w:p w14:paraId="77CF53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378,433,528.30</w:t>
            </w:r>
          </w:p>
        </w:tc>
        <w:tc>
          <w:tcPr>
            <w:tcW w:w="2410" w:type="dxa"/>
            <w:tcBorders>
              <w:top w:val="single" w:color="auto" w:sz="2" w:space="0"/>
              <w:left w:val="single" w:color="auto" w:sz="2" w:space="0"/>
              <w:bottom w:val="single" w:color="auto" w:sz="2" w:space="0"/>
              <w:right w:val="single" w:color="auto" w:sz="2" w:space="0"/>
            </w:tcBorders>
            <w:vAlign w:val="center"/>
          </w:tcPr>
          <w:p w14:paraId="2B85A9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465,506,636.54</w:t>
            </w:r>
          </w:p>
        </w:tc>
        <w:tc>
          <w:tcPr>
            <w:tcW w:w="2410" w:type="dxa"/>
            <w:tcBorders>
              <w:top w:val="single" w:color="auto" w:sz="2" w:space="0"/>
              <w:left w:val="single" w:color="auto" w:sz="2" w:space="0"/>
              <w:bottom w:val="single" w:color="auto" w:sz="2" w:space="0"/>
              <w:right w:val="single" w:color="auto" w:sz="2" w:space="0"/>
            </w:tcBorders>
            <w:vAlign w:val="center"/>
          </w:tcPr>
          <w:p w14:paraId="18D4B6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-18.71%</w:t>
            </w:r>
          </w:p>
        </w:tc>
      </w:tr>
      <w:tr w14:paraId="40CEFA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55EDDD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2410" w:type="dxa"/>
            <w:tcBorders>
              <w:top w:val="single" w:color="auto" w:sz="2" w:space="0"/>
              <w:left w:val="single" w:color="auto" w:sz="2" w:space="0"/>
              <w:bottom w:val="single" w:color="auto" w:sz="2" w:space="0"/>
              <w:right w:val="single" w:color="auto" w:sz="2" w:space="0"/>
            </w:tcBorders>
            <w:vAlign w:val="center"/>
          </w:tcPr>
          <w:p w14:paraId="57ECB6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-54,239,504.38</w:t>
            </w:r>
          </w:p>
        </w:tc>
        <w:tc>
          <w:tcPr>
            <w:tcW w:w="2410" w:type="dxa"/>
            <w:tcBorders>
              <w:top w:val="single" w:color="auto" w:sz="2" w:space="0"/>
              <w:left w:val="single" w:color="auto" w:sz="2" w:space="0"/>
              <w:bottom w:val="single" w:color="auto" w:sz="2" w:space="0"/>
              <w:right w:val="single" w:color="auto" w:sz="2" w:space="0"/>
            </w:tcBorders>
            <w:vAlign w:val="center"/>
          </w:tcPr>
          <w:p w14:paraId="2F588E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8,380,672.05</w:t>
            </w:r>
          </w:p>
        </w:tc>
        <w:tc>
          <w:tcPr>
            <w:tcW w:w="2410" w:type="dxa"/>
            <w:tcBorders>
              <w:top w:val="single" w:color="auto" w:sz="2" w:space="0"/>
              <w:left w:val="single" w:color="auto" w:sz="2" w:space="0"/>
              <w:bottom w:val="single" w:color="auto" w:sz="2" w:space="0"/>
              <w:right w:val="single" w:color="auto" w:sz="2" w:space="0"/>
            </w:tcBorders>
            <w:vAlign w:val="center"/>
          </w:tcPr>
          <w:p w14:paraId="4963C6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-747.20%</w:t>
            </w:r>
          </w:p>
        </w:tc>
      </w:tr>
      <w:tr w14:paraId="1FE50D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1E8AA4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投资活动现金流入小计</w:t>
            </w:r>
          </w:p>
        </w:tc>
        <w:tc>
          <w:tcPr>
            <w:tcW w:w="2410" w:type="dxa"/>
            <w:tcBorders>
              <w:top w:val="single" w:color="auto" w:sz="2" w:space="0"/>
              <w:left w:val="single" w:color="auto" w:sz="2" w:space="0"/>
              <w:bottom w:val="single" w:color="auto" w:sz="2" w:space="0"/>
              <w:right w:val="single" w:color="auto" w:sz="2" w:space="0"/>
            </w:tcBorders>
            <w:vAlign w:val="center"/>
          </w:tcPr>
          <w:p w14:paraId="71C132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551,034,534.47</w:t>
            </w:r>
          </w:p>
        </w:tc>
        <w:tc>
          <w:tcPr>
            <w:tcW w:w="2410" w:type="dxa"/>
            <w:tcBorders>
              <w:top w:val="single" w:color="auto" w:sz="2" w:space="0"/>
              <w:left w:val="single" w:color="auto" w:sz="2" w:space="0"/>
              <w:bottom w:val="single" w:color="auto" w:sz="2" w:space="0"/>
              <w:right w:val="single" w:color="auto" w:sz="2" w:space="0"/>
            </w:tcBorders>
            <w:vAlign w:val="center"/>
          </w:tcPr>
          <w:p w14:paraId="6848FB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295,577,785.85</w:t>
            </w:r>
          </w:p>
        </w:tc>
        <w:tc>
          <w:tcPr>
            <w:tcW w:w="2410" w:type="dxa"/>
            <w:tcBorders>
              <w:top w:val="single" w:color="auto" w:sz="2" w:space="0"/>
              <w:left w:val="single" w:color="auto" w:sz="2" w:space="0"/>
              <w:bottom w:val="single" w:color="auto" w:sz="2" w:space="0"/>
              <w:right w:val="single" w:color="auto" w:sz="2" w:space="0"/>
            </w:tcBorders>
            <w:vAlign w:val="center"/>
          </w:tcPr>
          <w:p w14:paraId="60C441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86.43%</w:t>
            </w:r>
          </w:p>
        </w:tc>
      </w:tr>
      <w:tr w14:paraId="72AD07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70DB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投资活动现金流出小计</w:t>
            </w:r>
          </w:p>
        </w:tc>
        <w:tc>
          <w:tcPr>
            <w:tcW w:w="2410" w:type="dxa"/>
            <w:tcBorders>
              <w:top w:val="single" w:color="auto" w:sz="2" w:space="0"/>
              <w:left w:val="single" w:color="auto" w:sz="2" w:space="0"/>
              <w:bottom w:val="single" w:color="auto" w:sz="2" w:space="0"/>
              <w:right w:val="single" w:color="auto" w:sz="2" w:space="0"/>
            </w:tcBorders>
            <w:vAlign w:val="center"/>
          </w:tcPr>
          <w:p w14:paraId="2402AD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497,534,898.25</w:t>
            </w:r>
          </w:p>
        </w:tc>
        <w:tc>
          <w:tcPr>
            <w:tcW w:w="2410" w:type="dxa"/>
            <w:tcBorders>
              <w:top w:val="single" w:color="auto" w:sz="2" w:space="0"/>
              <w:left w:val="single" w:color="auto" w:sz="2" w:space="0"/>
              <w:bottom w:val="single" w:color="auto" w:sz="2" w:space="0"/>
              <w:right w:val="single" w:color="auto" w:sz="2" w:space="0"/>
            </w:tcBorders>
            <w:vAlign w:val="center"/>
          </w:tcPr>
          <w:p w14:paraId="25CF85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643,759,473.00</w:t>
            </w:r>
          </w:p>
        </w:tc>
        <w:tc>
          <w:tcPr>
            <w:tcW w:w="2410" w:type="dxa"/>
            <w:tcBorders>
              <w:top w:val="single" w:color="auto" w:sz="2" w:space="0"/>
              <w:left w:val="single" w:color="auto" w:sz="2" w:space="0"/>
              <w:bottom w:val="single" w:color="auto" w:sz="2" w:space="0"/>
              <w:right w:val="single" w:color="auto" w:sz="2" w:space="0"/>
            </w:tcBorders>
            <w:vAlign w:val="center"/>
          </w:tcPr>
          <w:p w14:paraId="2A8A76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-22.71%</w:t>
            </w:r>
          </w:p>
        </w:tc>
      </w:tr>
      <w:tr w14:paraId="58E9FA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011D76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投资活动产生的现金流量净额</w:t>
            </w:r>
          </w:p>
        </w:tc>
        <w:tc>
          <w:tcPr>
            <w:tcW w:w="2410" w:type="dxa"/>
            <w:tcBorders>
              <w:top w:val="single" w:color="auto" w:sz="2" w:space="0"/>
              <w:left w:val="single" w:color="auto" w:sz="2" w:space="0"/>
              <w:bottom w:val="single" w:color="auto" w:sz="2" w:space="0"/>
              <w:right w:val="single" w:color="auto" w:sz="2" w:space="0"/>
            </w:tcBorders>
            <w:vAlign w:val="center"/>
          </w:tcPr>
          <w:p w14:paraId="626206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53,499,636.22</w:t>
            </w:r>
          </w:p>
        </w:tc>
        <w:tc>
          <w:tcPr>
            <w:tcW w:w="2410" w:type="dxa"/>
            <w:tcBorders>
              <w:top w:val="single" w:color="auto" w:sz="2" w:space="0"/>
              <w:left w:val="single" w:color="auto" w:sz="2" w:space="0"/>
              <w:bottom w:val="single" w:color="auto" w:sz="2" w:space="0"/>
              <w:right w:val="single" w:color="auto" w:sz="2" w:space="0"/>
            </w:tcBorders>
            <w:vAlign w:val="center"/>
          </w:tcPr>
          <w:p w14:paraId="585799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-348,181,687.15</w:t>
            </w:r>
          </w:p>
        </w:tc>
        <w:tc>
          <w:tcPr>
            <w:tcW w:w="2410" w:type="dxa"/>
            <w:tcBorders>
              <w:top w:val="single" w:color="auto" w:sz="2" w:space="0"/>
              <w:left w:val="single" w:color="auto" w:sz="2" w:space="0"/>
              <w:bottom w:val="single" w:color="auto" w:sz="2" w:space="0"/>
              <w:right w:val="single" w:color="auto" w:sz="2" w:space="0"/>
            </w:tcBorders>
            <w:vAlign w:val="center"/>
          </w:tcPr>
          <w:p w14:paraId="49FD15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115.37%</w:t>
            </w:r>
          </w:p>
        </w:tc>
      </w:tr>
      <w:tr w14:paraId="462DF4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FF5C8F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筹资活动现金流入小计</w:t>
            </w:r>
          </w:p>
        </w:tc>
        <w:tc>
          <w:tcPr>
            <w:tcW w:w="2410" w:type="dxa"/>
            <w:tcBorders>
              <w:top w:val="single" w:color="auto" w:sz="2" w:space="0"/>
              <w:left w:val="single" w:color="auto" w:sz="2" w:space="0"/>
              <w:bottom w:val="single" w:color="auto" w:sz="2" w:space="0"/>
              <w:right w:val="single" w:color="auto" w:sz="2" w:space="0"/>
            </w:tcBorders>
            <w:vAlign w:val="center"/>
          </w:tcPr>
          <w:p w14:paraId="17556D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163,339,514.26</w:t>
            </w:r>
          </w:p>
        </w:tc>
        <w:tc>
          <w:tcPr>
            <w:tcW w:w="2410" w:type="dxa"/>
            <w:tcBorders>
              <w:top w:val="single" w:color="auto" w:sz="2" w:space="0"/>
              <w:left w:val="single" w:color="auto" w:sz="2" w:space="0"/>
              <w:bottom w:val="single" w:color="auto" w:sz="2" w:space="0"/>
              <w:right w:val="single" w:color="auto" w:sz="2" w:space="0"/>
            </w:tcBorders>
            <w:vAlign w:val="center"/>
          </w:tcPr>
          <w:p w14:paraId="537052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163,462,149.63</w:t>
            </w:r>
          </w:p>
        </w:tc>
        <w:tc>
          <w:tcPr>
            <w:tcW w:w="2410" w:type="dxa"/>
            <w:tcBorders>
              <w:top w:val="single" w:color="auto" w:sz="2" w:space="0"/>
              <w:left w:val="single" w:color="auto" w:sz="2" w:space="0"/>
              <w:bottom w:val="single" w:color="auto" w:sz="2" w:space="0"/>
              <w:right w:val="single" w:color="auto" w:sz="2" w:space="0"/>
            </w:tcBorders>
            <w:vAlign w:val="center"/>
          </w:tcPr>
          <w:p w14:paraId="2D03C9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-0.08%</w:t>
            </w:r>
          </w:p>
        </w:tc>
      </w:tr>
      <w:tr w14:paraId="256AF8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460F6F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筹资活动现金流出小计</w:t>
            </w:r>
          </w:p>
        </w:tc>
        <w:tc>
          <w:tcPr>
            <w:tcW w:w="2410" w:type="dxa"/>
            <w:tcBorders>
              <w:top w:val="single" w:color="auto" w:sz="2" w:space="0"/>
              <w:left w:val="single" w:color="auto" w:sz="2" w:space="0"/>
              <w:bottom w:val="single" w:color="auto" w:sz="2" w:space="0"/>
              <w:right w:val="single" w:color="auto" w:sz="2" w:space="0"/>
            </w:tcBorders>
            <w:vAlign w:val="center"/>
          </w:tcPr>
          <w:p w14:paraId="59962B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105,500,664.66</w:t>
            </w:r>
          </w:p>
        </w:tc>
        <w:tc>
          <w:tcPr>
            <w:tcW w:w="2410" w:type="dxa"/>
            <w:tcBorders>
              <w:top w:val="single" w:color="auto" w:sz="2" w:space="0"/>
              <w:left w:val="single" w:color="auto" w:sz="2" w:space="0"/>
              <w:bottom w:val="single" w:color="auto" w:sz="2" w:space="0"/>
              <w:right w:val="single" w:color="auto" w:sz="2" w:space="0"/>
            </w:tcBorders>
            <w:vAlign w:val="center"/>
          </w:tcPr>
          <w:p w14:paraId="1D3B98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162,603,640.32</w:t>
            </w:r>
          </w:p>
        </w:tc>
        <w:tc>
          <w:tcPr>
            <w:tcW w:w="2410" w:type="dxa"/>
            <w:tcBorders>
              <w:top w:val="single" w:color="auto" w:sz="2" w:space="0"/>
              <w:left w:val="single" w:color="auto" w:sz="2" w:space="0"/>
              <w:bottom w:val="single" w:color="auto" w:sz="2" w:space="0"/>
              <w:right w:val="single" w:color="auto" w:sz="2" w:space="0"/>
            </w:tcBorders>
            <w:vAlign w:val="center"/>
          </w:tcPr>
          <w:p w14:paraId="324711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-35.12%</w:t>
            </w:r>
          </w:p>
        </w:tc>
      </w:tr>
      <w:tr w14:paraId="746A94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C155CA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筹资活动产生的现金流量净额</w:t>
            </w:r>
          </w:p>
        </w:tc>
        <w:tc>
          <w:tcPr>
            <w:tcW w:w="2410" w:type="dxa"/>
            <w:tcBorders>
              <w:top w:val="single" w:color="auto" w:sz="2" w:space="0"/>
              <w:left w:val="single" w:color="auto" w:sz="2" w:space="0"/>
              <w:bottom w:val="single" w:color="auto" w:sz="2" w:space="0"/>
              <w:right w:val="single" w:color="auto" w:sz="2" w:space="0"/>
            </w:tcBorders>
            <w:vAlign w:val="center"/>
          </w:tcPr>
          <w:p w14:paraId="771FAC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57,838,849.60</w:t>
            </w:r>
          </w:p>
        </w:tc>
        <w:tc>
          <w:tcPr>
            <w:tcW w:w="2410" w:type="dxa"/>
            <w:tcBorders>
              <w:top w:val="single" w:color="auto" w:sz="2" w:space="0"/>
              <w:left w:val="single" w:color="auto" w:sz="2" w:space="0"/>
              <w:bottom w:val="single" w:color="auto" w:sz="2" w:space="0"/>
              <w:right w:val="single" w:color="auto" w:sz="2" w:space="0"/>
            </w:tcBorders>
            <w:vAlign w:val="center"/>
          </w:tcPr>
          <w:p w14:paraId="6F505B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858,509.31</w:t>
            </w:r>
          </w:p>
        </w:tc>
        <w:tc>
          <w:tcPr>
            <w:tcW w:w="2410" w:type="dxa"/>
            <w:tcBorders>
              <w:top w:val="single" w:color="auto" w:sz="2" w:space="0"/>
              <w:left w:val="single" w:color="auto" w:sz="2" w:space="0"/>
              <w:bottom w:val="single" w:color="auto" w:sz="2" w:space="0"/>
              <w:right w:val="single" w:color="auto" w:sz="2" w:space="0"/>
            </w:tcBorders>
            <w:vAlign w:val="center"/>
          </w:tcPr>
          <w:p w14:paraId="58C276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6,637.13%</w:t>
            </w:r>
          </w:p>
        </w:tc>
      </w:tr>
      <w:tr w14:paraId="3B13F1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8DC08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现金及现金等价物净增加额</w:t>
            </w:r>
          </w:p>
        </w:tc>
        <w:tc>
          <w:tcPr>
            <w:tcW w:w="2410" w:type="dxa"/>
            <w:tcBorders>
              <w:top w:val="single" w:color="auto" w:sz="2" w:space="0"/>
              <w:left w:val="single" w:color="auto" w:sz="2" w:space="0"/>
              <w:bottom w:val="single" w:color="auto" w:sz="2" w:space="0"/>
              <w:right w:val="single" w:color="auto" w:sz="2" w:space="0"/>
            </w:tcBorders>
            <w:vAlign w:val="center"/>
          </w:tcPr>
          <w:p w14:paraId="254171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57,177,551.33</w:t>
            </w:r>
          </w:p>
        </w:tc>
        <w:tc>
          <w:tcPr>
            <w:tcW w:w="2410" w:type="dxa"/>
            <w:tcBorders>
              <w:top w:val="single" w:color="auto" w:sz="2" w:space="0"/>
              <w:left w:val="single" w:color="auto" w:sz="2" w:space="0"/>
              <w:bottom w:val="single" w:color="auto" w:sz="2" w:space="0"/>
              <w:right w:val="single" w:color="auto" w:sz="2" w:space="0"/>
            </w:tcBorders>
            <w:vAlign w:val="center"/>
          </w:tcPr>
          <w:p w14:paraId="7298BD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-338,926,677.94</w:t>
            </w:r>
          </w:p>
        </w:tc>
        <w:tc>
          <w:tcPr>
            <w:tcW w:w="2410" w:type="dxa"/>
            <w:tcBorders>
              <w:top w:val="single" w:color="auto" w:sz="2" w:space="0"/>
              <w:left w:val="single" w:color="auto" w:sz="2" w:space="0"/>
              <w:bottom w:val="single" w:color="auto" w:sz="2" w:space="0"/>
              <w:right w:val="single" w:color="auto" w:sz="2" w:space="0"/>
            </w:tcBorders>
            <w:vAlign w:val="center"/>
          </w:tcPr>
          <w:p w14:paraId="7AA402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116.87%</w:t>
            </w:r>
          </w:p>
        </w:tc>
      </w:tr>
    </w:tbl>
    <w:p w14:paraId="7D91AC8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相关数据同比发生重大变动的主要影响因素说明</w:t>
      </w:r>
    </w:p>
    <w:p w14:paraId="24FE43A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018A0E19">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经营活动产生的现金流入较上年同期下降31.59%，主要系受地方客户财政资金预算不足影响，项目无法按照既定计划验收，影响回款周期，导致经营活动现金流入减少；</w:t>
      </w:r>
    </w:p>
    <w:p w14:paraId="47918DB1">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 xml:space="preserve">经营活动产生的现金流量净额较上年同期下降747.2%，主要系受地方客户财政资金预算不足影响所致； </w:t>
      </w:r>
    </w:p>
    <w:p w14:paraId="6A3F58EC">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 xml:space="preserve">投资活动现金流入小计较上年同期增长86.43%，主要系闲置资金大额定期存单到期收回所致； </w:t>
      </w:r>
    </w:p>
    <w:p w14:paraId="7BC81D1E">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 xml:space="preserve">投资活动现金流出小计较上年同期降低22.71%，主要系公司闲置募集资金减少，用于现金管理的资金减少所致； </w:t>
      </w:r>
    </w:p>
    <w:p w14:paraId="32FCE997">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 xml:space="preserve">投资活动产生的现金流量净额较上年同期增长115.37%，主要系闲置资金定期存款到期收回，闲置资金投资减少所致； </w:t>
      </w:r>
    </w:p>
    <w:p w14:paraId="09BCF577">
      <w:pPr>
        <w:pStyle w:val="10"/>
        <w:spacing w:before="156" w:beforeLines="50" w:beforeAutospacing="0" w:after="156" w:afterLines="50" w:afterAutospacing="0"/>
        <w:rPr>
          <w:rFonts w:ascii="Times New Roman" w:hAnsi="Times New Roman" w:cs="Times New Roman" w:eastAsiaTheme="majorEastAsia"/>
          <w:color w:val="000000"/>
          <w:sz w:val="18"/>
          <w:szCs w:val="18"/>
        </w:rPr>
      </w:pPr>
      <w:r>
        <w:rPr>
          <w:rFonts w:ascii="Times New Roman" w:hAnsi="Times New Roman" w:cs="Times New Roman" w:eastAsiaTheme="majorEastAsia"/>
          <w:color w:val="000000"/>
          <w:sz w:val="18"/>
          <w:szCs w:val="18"/>
        </w:rPr>
        <w:t>筹资活动现金流出小计较上年同期减少35.12%，主要系</w:t>
      </w:r>
      <w:r>
        <w:rPr>
          <w:rFonts w:hint="eastAsia" w:ascii="Times New Roman" w:hAnsi="Times New Roman" w:cs="Times New Roman" w:eastAsiaTheme="majorEastAsia"/>
          <w:color w:val="000000"/>
          <w:sz w:val="18"/>
          <w:szCs w:val="18"/>
        </w:rPr>
        <w:t>充分使用银行等金融机构资金用于跨年度周期项目使用；</w:t>
      </w:r>
    </w:p>
    <w:p w14:paraId="38013699">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 xml:space="preserve">筹资活动产生的现金流量净额较上年同期增长6637.13%，主要系本期新能源光伏项目建设的需要，适度增加金融杠杆，融资有所增加； </w:t>
      </w:r>
    </w:p>
    <w:p w14:paraId="59626F56">
      <w:pPr>
        <w:pStyle w:val="10"/>
        <w:spacing w:before="156" w:beforeLines="50" w:beforeAutospacing="0" w:after="156" w:afterLines="5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现金及现金等价物净增加额较上年同期增加116.87%，主要系承兑保证金、保函保证金、质押存款、大额定期存单等资金到期收回。</w:t>
      </w:r>
    </w:p>
    <w:p w14:paraId="6B1517FD">
      <w:pPr>
        <w:spacing w:before="156" w:beforeLines="50" w:after="156" w:afterLines="5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报告期内公司经营活动产生的现金净流量与本年度净利润存在重大差异的原因说明</w:t>
      </w:r>
    </w:p>
    <w:p w14:paraId="13CD1C1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38942D7">
      <w:pPr>
        <w:pStyle w:val="2"/>
        <w:spacing w:before="300" w:after="300" w:line="320" w:lineRule="exact"/>
        <w:rPr>
          <w:rFonts w:ascii="Times New Roman" w:hAnsi="Times New Roman" w:cs="Times New Roman" w:eastAsiaTheme="majorEastAsia"/>
          <w:b/>
          <w:bCs/>
          <w:sz w:val="24"/>
          <w:szCs w:val="24"/>
        </w:rPr>
      </w:pPr>
      <w:bookmarkStart w:id="30" w:name="_Toc988919"/>
      <w:r>
        <w:rPr>
          <w:rFonts w:ascii="Times New Roman" w:hAnsi="Times New Roman" w:cs="Times New Roman" w:eastAsiaTheme="majorEastAsia"/>
          <w:b/>
          <w:bCs/>
          <w:sz w:val="24"/>
          <w:szCs w:val="24"/>
        </w:rPr>
        <w:t>五、非主营业务情况</w:t>
      </w:r>
      <w:bookmarkEnd w:id="30"/>
    </w:p>
    <w:p w14:paraId="223F299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86AA569">
      <w:pPr>
        <w:pStyle w:val="2"/>
        <w:spacing w:before="300" w:after="300" w:line="320" w:lineRule="exact"/>
        <w:rPr>
          <w:rFonts w:ascii="Times New Roman" w:hAnsi="Times New Roman" w:cs="Times New Roman" w:eastAsiaTheme="majorEastAsia"/>
          <w:b/>
          <w:bCs/>
          <w:sz w:val="24"/>
          <w:szCs w:val="24"/>
        </w:rPr>
      </w:pPr>
      <w:bookmarkStart w:id="31" w:name="_Toc988920"/>
      <w:r>
        <w:rPr>
          <w:rFonts w:ascii="Times New Roman" w:hAnsi="Times New Roman" w:cs="Times New Roman" w:eastAsiaTheme="majorEastAsia"/>
          <w:b/>
          <w:bCs/>
          <w:sz w:val="24"/>
          <w:szCs w:val="24"/>
        </w:rPr>
        <w:t>六、资产及负债状况分析</w:t>
      </w:r>
      <w:bookmarkEnd w:id="31"/>
    </w:p>
    <w:p w14:paraId="7AC8B679">
      <w:pPr>
        <w:pStyle w:val="3"/>
        <w:spacing w:line="280" w:lineRule="exact"/>
        <w:jc w:val="left"/>
        <w:rPr>
          <w:rFonts w:ascii="Times New Roman" w:hAnsi="Times New Roman" w:cs="Times New Roman" w:eastAsiaTheme="majorEastAsia"/>
          <w:b/>
          <w:bCs/>
        </w:rPr>
      </w:pPr>
      <w:bookmarkStart w:id="32" w:name="_Toc988921"/>
      <w:r>
        <w:rPr>
          <w:rFonts w:ascii="Times New Roman" w:hAnsi="Times New Roman" w:cs="Times New Roman" w:eastAsiaTheme="majorEastAsia"/>
          <w:b/>
          <w:bCs/>
        </w:rPr>
        <w:t>1、资产构成重大变动情况</w:t>
      </w:r>
      <w:bookmarkEnd w:id="32"/>
    </w:p>
    <w:p w14:paraId="1C2763A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A7B3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7832187">
            <w:pPr>
              <w:rPr>
                <w:rFonts w:ascii="Times New Roman" w:hAnsi="Times New Roman" w:cs="Times New Roman" w:eastAsiaTheme="majorEastAsia"/>
              </w:rPr>
            </w:pP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42193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2024年末</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9F78BC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B1E8C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比重增减</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E2C85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重大变动说明</w:t>
            </w:r>
          </w:p>
        </w:tc>
      </w:tr>
      <w:tr w14:paraId="6D5539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1A2D85">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5FA7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D472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占总资产比例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3018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2F10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占总资产比例</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1075EB">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6AE0CC5">
            <w:pPr>
              <w:rPr>
                <w:rFonts w:ascii="Times New Roman" w:hAnsi="Times New Roman" w:cs="Times New Roman" w:eastAsiaTheme="majorEastAsia"/>
              </w:rPr>
            </w:pPr>
          </w:p>
        </w:tc>
      </w:tr>
      <w:tr w14:paraId="7975A8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484C1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1377" w:type="dxa"/>
            <w:tcBorders>
              <w:top w:val="single" w:color="auto" w:sz="2" w:space="0"/>
              <w:left w:val="single" w:color="auto" w:sz="2" w:space="0"/>
              <w:bottom w:val="single" w:color="auto" w:sz="2" w:space="0"/>
              <w:right w:val="single" w:color="auto" w:sz="2" w:space="0"/>
            </w:tcBorders>
            <w:vAlign w:val="center"/>
          </w:tcPr>
          <w:p w14:paraId="2E81EA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334,623,835.24</w:t>
            </w:r>
          </w:p>
        </w:tc>
        <w:tc>
          <w:tcPr>
            <w:tcW w:w="1377" w:type="dxa"/>
            <w:tcBorders>
              <w:top w:val="single" w:color="auto" w:sz="2" w:space="0"/>
              <w:left w:val="single" w:color="auto" w:sz="2" w:space="0"/>
              <w:bottom w:val="single" w:color="auto" w:sz="2" w:space="0"/>
              <w:right w:val="single" w:color="auto" w:sz="2" w:space="0"/>
            </w:tcBorders>
            <w:vAlign w:val="center"/>
          </w:tcPr>
          <w:p w14:paraId="50B141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25.09%</w:t>
            </w:r>
          </w:p>
        </w:tc>
        <w:tc>
          <w:tcPr>
            <w:tcW w:w="1377" w:type="dxa"/>
            <w:tcBorders>
              <w:top w:val="single" w:color="auto" w:sz="2" w:space="0"/>
              <w:left w:val="single" w:color="auto" w:sz="2" w:space="0"/>
              <w:bottom w:val="single" w:color="auto" w:sz="2" w:space="0"/>
              <w:right w:val="single" w:color="auto" w:sz="2" w:space="0"/>
            </w:tcBorders>
            <w:vAlign w:val="center"/>
          </w:tcPr>
          <w:p w14:paraId="7A2FC9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506,717,107.76</w:t>
            </w:r>
          </w:p>
        </w:tc>
        <w:tc>
          <w:tcPr>
            <w:tcW w:w="1377" w:type="dxa"/>
            <w:tcBorders>
              <w:top w:val="single" w:color="auto" w:sz="2" w:space="0"/>
              <w:left w:val="single" w:color="auto" w:sz="2" w:space="0"/>
              <w:bottom w:val="single" w:color="auto" w:sz="2" w:space="0"/>
              <w:right w:val="single" w:color="auto" w:sz="2" w:space="0"/>
            </w:tcBorders>
            <w:vAlign w:val="center"/>
          </w:tcPr>
          <w:p w14:paraId="0057C7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48.52%</w:t>
            </w:r>
          </w:p>
        </w:tc>
        <w:tc>
          <w:tcPr>
            <w:tcW w:w="1377" w:type="dxa"/>
            <w:tcBorders>
              <w:top w:val="single" w:color="auto" w:sz="2" w:space="0"/>
              <w:left w:val="single" w:color="auto" w:sz="2" w:space="0"/>
              <w:bottom w:val="single" w:color="auto" w:sz="2" w:space="0"/>
              <w:right w:val="single" w:color="auto" w:sz="2" w:space="0"/>
            </w:tcBorders>
            <w:vAlign w:val="center"/>
          </w:tcPr>
          <w:p w14:paraId="3DEF15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-23.43%</w:t>
            </w:r>
          </w:p>
        </w:tc>
        <w:tc>
          <w:tcPr>
            <w:tcW w:w="1377" w:type="dxa"/>
            <w:tcBorders>
              <w:top w:val="single" w:color="auto" w:sz="2" w:space="0"/>
              <w:left w:val="single" w:color="auto" w:sz="2" w:space="0"/>
              <w:bottom w:val="single" w:color="auto" w:sz="2" w:space="0"/>
              <w:right w:val="single" w:color="auto" w:sz="2" w:space="0"/>
            </w:tcBorders>
            <w:vAlign w:val="center"/>
          </w:tcPr>
          <w:p w14:paraId="5C890DA5">
            <w:pPr>
              <w:spacing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r>
      <w:tr w14:paraId="00BDB9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4177D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w:t>
            </w:r>
          </w:p>
        </w:tc>
        <w:tc>
          <w:tcPr>
            <w:tcW w:w="1377" w:type="dxa"/>
            <w:tcBorders>
              <w:top w:val="single" w:color="auto" w:sz="2" w:space="0"/>
              <w:left w:val="single" w:color="auto" w:sz="2" w:space="0"/>
              <w:bottom w:val="single" w:color="auto" w:sz="2" w:space="0"/>
              <w:right w:val="single" w:color="auto" w:sz="2" w:space="0"/>
            </w:tcBorders>
            <w:vAlign w:val="center"/>
          </w:tcPr>
          <w:p w14:paraId="4F7AFC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274,869,881.73</w:t>
            </w:r>
          </w:p>
        </w:tc>
        <w:tc>
          <w:tcPr>
            <w:tcW w:w="1377" w:type="dxa"/>
            <w:tcBorders>
              <w:top w:val="single" w:color="auto" w:sz="2" w:space="0"/>
              <w:left w:val="single" w:color="auto" w:sz="2" w:space="0"/>
              <w:bottom w:val="single" w:color="auto" w:sz="2" w:space="0"/>
              <w:right w:val="single" w:color="auto" w:sz="2" w:space="0"/>
            </w:tcBorders>
            <w:vAlign w:val="center"/>
          </w:tcPr>
          <w:p w14:paraId="1D60A9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20.61%</w:t>
            </w:r>
          </w:p>
        </w:tc>
        <w:tc>
          <w:tcPr>
            <w:tcW w:w="1377" w:type="dxa"/>
            <w:tcBorders>
              <w:top w:val="single" w:color="auto" w:sz="2" w:space="0"/>
              <w:left w:val="single" w:color="auto" w:sz="2" w:space="0"/>
              <w:bottom w:val="single" w:color="auto" w:sz="2" w:space="0"/>
              <w:right w:val="single" w:color="auto" w:sz="2" w:space="0"/>
            </w:tcBorders>
            <w:vAlign w:val="center"/>
          </w:tcPr>
          <w:p w14:paraId="2CADFA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299,873,459.94</w:t>
            </w:r>
          </w:p>
        </w:tc>
        <w:tc>
          <w:tcPr>
            <w:tcW w:w="1377" w:type="dxa"/>
            <w:tcBorders>
              <w:top w:val="single" w:color="auto" w:sz="2" w:space="0"/>
              <w:left w:val="single" w:color="auto" w:sz="2" w:space="0"/>
              <w:bottom w:val="single" w:color="auto" w:sz="2" w:space="0"/>
              <w:right w:val="single" w:color="auto" w:sz="2" w:space="0"/>
            </w:tcBorders>
            <w:vAlign w:val="center"/>
          </w:tcPr>
          <w:p w14:paraId="465631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28.71%</w:t>
            </w:r>
          </w:p>
        </w:tc>
        <w:tc>
          <w:tcPr>
            <w:tcW w:w="1377" w:type="dxa"/>
            <w:tcBorders>
              <w:top w:val="single" w:color="auto" w:sz="2" w:space="0"/>
              <w:left w:val="single" w:color="auto" w:sz="2" w:space="0"/>
              <w:bottom w:val="single" w:color="auto" w:sz="2" w:space="0"/>
              <w:right w:val="single" w:color="auto" w:sz="2" w:space="0"/>
            </w:tcBorders>
            <w:vAlign w:val="center"/>
          </w:tcPr>
          <w:p w14:paraId="594A0D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-8.10%</w:t>
            </w:r>
          </w:p>
        </w:tc>
        <w:tc>
          <w:tcPr>
            <w:tcW w:w="1377" w:type="dxa"/>
            <w:tcBorders>
              <w:top w:val="single" w:color="auto" w:sz="2" w:space="0"/>
              <w:left w:val="single" w:color="auto" w:sz="2" w:space="0"/>
              <w:bottom w:val="single" w:color="auto" w:sz="2" w:space="0"/>
              <w:right w:val="single" w:color="auto" w:sz="2" w:space="0"/>
            </w:tcBorders>
            <w:vAlign w:val="center"/>
          </w:tcPr>
          <w:p w14:paraId="2883CD06">
            <w:pPr>
              <w:jc w:val="center"/>
            </w:pPr>
            <w:r>
              <w:rPr>
                <w:rFonts w:hint="eastAsia" w:ascii="Times New Roman" w:hAnsi="Times New Roman" w:cs="Times New Roman" w:eastAsiaTheme="majorEastAsia"/>
                <w:sz w:val="18"/>
                <w:szCs w:val="18"/>
              </w:rPr>
              <w:t>无</w:t>
            </w:r>
          </w:p>
        </w:tc>
      </w:tr>
      <w:tr w14:paraId="6C3CCA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70C1F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w:t>
            </w:r>
          </w:p>
        </w:tc>
        <w:tc>
          <w:tcPr>
            <w:tcW w:w="1377" w:type="dxa"/>
            <w:tcBorders>
              <w:top w:val="single" w:color="auto" w:sz="2" w:space="0"/>
              <w:left w:val="single" w:color="auto" w:sz="2" w:space="0"/>
              <w:bottom w:val="single" w:color="auto" w:sz="2" w:space="0"/>
              <w:right w:val="single" w:color="auto" w:sz="2" w:space="0"/>
            </w:tcBorders>
            <w:vAlign w:val="center"/>
          </w:tcPr>
          <w:p w14:paraId="374CBD5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4,631,369.93</w:t>
            </w:r>
          </w:p>
        </w:tc>
        <w:tc>
          <w:tcPr>
            <w:tcW w:w="1377" w:type="dxa"/>
            <w:tcBorders>
              <w:top w:val="single" w:color="auto" w:sz="2" w:space="0"/>
              <w:left w:val="single" w:color="auto" w:sz="2" w:space="0"/>
              <w:bottom w:val="single" w:color="auto" w:sz="2" w:space="0"/>
              <w:right w:val="single" w:color="auto" w:sz="2" w:space="0"/>
            </w:tcBorders>
            <w:vAlign w:val="center"/>
          </w:tcPr>
          <w:p w14:paraId="7FD0919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0.35%</w:t>
            </w:r>
          </w:p>
        </w:tc>
        <w:tc>
          <w:tcPr>
            <w:tcW w:w="1377" w:type="dxa"/>
            <w:tcBorders>
              <w:top w:val="single" w:color="auto" w:sz="2" w:space="0"/>
              <w:left w:val="single" w:color="auto" w:sz="2" w:space="0"/>
              <w:bottom w:val="single" w:color="auto" w:sz="2" w:space="0"/>
              <w:right w:val="single" w:color="auto" w:sz="2" w:space="0"/>
            </w:tcBorders>
            <w:vAlign w:val="center"/>
          </w:tcPr>
          <w:p w14:paraId="2A8BFF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c>
          <w:tcPr>
            <w:tcW w:w="1377" w:type="dxa"/>
            <w:tcBorders>
              <w:top w:val="single" w:color="auto" w:sz="2" w:space="0"/>
              <w:left w:val="single" w:color="auto" w:sz="2" w:space="0"/>
              <w:bottom w:val="single" w:color="auto" w:sz="2" w:space="0"/>
              <w:right w:val="single" w:color="auto" w:sz="2" w:space="0"/>
            </w:tcBorders>
            <w:vAlign w:val="center"/>
          </w:tcPr>
          <w:p w14:paraId="6C4468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0.43%</w:t>
            </w:r>
          </w:p>
        </w:tc>
        <w:tc>
          <w:tcPr>
            <w:tcW w:w="1377" w:type="dxa"/>
            <w:tcBorders>
              <w:top w:val="single" w:color="auto" w:sz="2" w:space="0"/>
              <w:left w:val="single" w:color="auto" w:sz="2" w:space="0"/>
              <w:bottom w:val="single" w:color="auto" w:sz="2" w:space="0"/>
              <w:right w:val="single" w:color="auto" w:sz="2" w:space="0"/>
            </w:tcBorders>
            <w:vAlign w:val="center"/>
          </w:tcPr>
          <w:p w14:paraId="22D83B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-0.08%</w:t>
            </w:r>
          </w:p>
        </w:tc>
        <w:tc>
          <w:tcPr>
            <w:tcW w:w="1377" w:type="dxa"/>
            <w:tcBorders>
              <w:top w:val="single" w:color="auto" w:sz="2" w:space="0"/>
              <w:left w:val="single" w:color="auto" w:sz="2" w:space="0"/>
              <w:bottom w:val="single" w:color="auto" w:sz="2" w:space="0"/>
              <w:right w:val="single" w:color="auto" w:sz="2" w:space="0"/>
            </w:tcBorders>
            <w:vAlign w:val="center"/>
          </w:tcPr>
          <w:p w14:paraId="0F66D531">
            <w:pPr>
              <w:jc w:val="center"/>
            </w:pPr>
            <w:r>
              <w:rPr>
                <w:rFonts w:hint="eastAsia" w:ascii="Times New Roman" w:hAnsi="Times New Roman" w:cs="Times New Roman" w:eastAsiaTheme="majorEastAsia"/>
                <w:sz w:val="18"/>
                <w:szCs w:val="18"/>
              </w:rPr>
              <w:t>无</w:t>
            </w:r>
          </w:p>
        </w:tc>
      </w:tr>
      <w:tr w14:paraId="2CED1F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D4706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w:t>
            </w:r>
          </w:p>
        </w:tc>
        <w:tc>
          <w:tcPr>
            <w:tcW w:w="1377" w:type="dxa"/>
            <w:tcBorders>
              <w:top w:val="single" w:color="auto" w:sz="2" w:space="0"/>
              <w:left w:val="single" w:color="auto" w:sz="2" w:space="0"/>
              <w:bottom w:val="single" w:color="auto" w:sz="2" w:space="0"/>
              <w:right w:val="single" w:color="auto" w:sz="2" w:space="0"/>
            </w:tcBorders>
            <w:vAlign w:val="center"/>
          </w:tcPr>
          <w:p w14:paraId="539BD0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81,221,817.39</w:t>
            </w:r>
          </w:p>
        </w:tc>
        <w:tc>
          <w:tcPr>
            <w:tcW w:w="1377" w:type="dxa"/>
            <w:tcBorders>
              <w:top w:val="single" w:color="auto" w:sz="2" w:space="0"/>
              <w:left w:val="single" w:color="auto" w:sz="2" w:space="0"/>
              <w:bottom w:val="single" w:color="auto" w:sz="2" w:space="0"/>
              <w:right w:val="single" w:color="auto" w:sz="2" w:space="0"/>
            </w:tcBorders>
            <w:vAlign w:val="center"/>
          </w:tcPr>
          <w:p w14:paraId="0EBE88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6.09%</w:t>
            </w:r>
          </w:p>
        </w:tc>
        <w:tc>
          <w:tcPr>
            <w:tcW w:w="1377" w:type="dxa"/>
            <w:tcBorders>
              <w:top w:val="single" w:color="auto" w:sz="2" w:space="0"/>
              <w:left w:val="single" w:color="auto" w:sz="2" w:space="0"/>
              <w:bottom w:val="single" w:color="auto" w:sz="2" w:space="0"/>
              <w:right w:val="single" w:color="auto" w:sz="2" w:space="0"/>
            </w:tcBorders>
            <w:vAlign w:val="center"/>
          </w:tcPr>
          <w:p w14:paraId="3BA19A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37,314,249.39</w:t>
            </w:r>
          </w:p>
        </w:tc>
        <w:tc>
          <w:tcPr>
            <w:tcW w:w="1377" w:type="dxa"/>
            <w:tcBorders>
              <w:top w:val="single" w:color="auto" w:sz="2" w:space="0"/>
              <w:left w:val="single" w:color="auto" w:sz="2" w:space="0"/>
              <w:bottom w:val="single" w:color="auto" w:sz="2" w:space="0"/>
              <w:right w:val="single" w:color="auto" w:sz="2" w:space="0"/>
            </w:tcBorders>
            <w:vAlign w:val="center"/>
          </w:tcPr>
          <w:p w14:paraId="4CF115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w:t>
            </w:r>
          </w:p>
        </w:tc>
        <w:tc>
          <w:tcPr>
            <w:tcW w:w="1377" w:type="dxa"/>
            <w:tcBorders>
              <w:top w:val="single" w:color="auto" w:sz="2" w:space="0"/>
              <w:left w:val="single" w:color="auto" w:sz="2" w:space="0"/>
              <w:bottom w:val="single" w:color="auto" w:sz="2" w:space="0"/>
              <w:right w:val="single" w:color="auto" w:sz="2" w:space="0"/>
            </w:tcBorders>
            <w:vAlign w:val="center"/>
          </w:tcPr>
          <w:p w14:paraId="20865A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w:t>
            </w:r>
          </w:p>
        </w:tc>
        <w:tc>
          <w:tcPr>
            <w:tcW w:w="1377" w:type="dxa"/>
            <w:tcBorders>
              <w:top w:val="single" w:color="auto" w:sz="2" w:space="0"/>
              <w:left w:val="single" w:color="auto" w:sz="2" w:space="0"/>
              <w:bottom w:val="single" w:color="auto" w:sz="2" w:space="0"/>
              <w:right w:val="single" w:color="auto" w:sz="2" w:space="0"/>
            </w:tcBorders>
            <w:vAlign w:val="center"/>
          </w:tcPr>
          <w:p w14:paraId="6A960527">
            <w:pPr>
              <w:jc w:val="center"/>
            </w:pPr>
            <w:r>
              <w:rPr>
                <w:rFonts w:hint="eastAsia" w:ascii="Times New Roman" w:hAnsi="Times New Roman" w:cs="Times New Roman" w:eastAsiaTheme="majorEastAsia"/>
                <w:sz w:val="18"/>
                <w:szCs w:val="18"/>
              </w:rPr>
              <w:t>无</w:t>
            </w:r>
          </w:p>
        </w:tc>
      </w:tr>
      <w:tr w14:paraId="7003F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26AC3F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w:t>
            </w:r>
          </w:p>
        </w:tc>
        <w:tc>
          <w:tcPr>
            <w:tcW w:w="1377" w:type="dxa"/>
            <w:tcBorders>
              <w:top w:val="single" w:color="auto" w:sz="2" w:space="0"/>
              <w:left w:val="single" w:color="auto" w:sz="2" w:space="0"/>
              <w:bottom w:val="single" w:color="auto" w:sz="2" w:space="0"/>
              <w:right w:val="single" w:color="auto" w:sz="2" w:space="0"/>
            </w:tcBorders>
            <w:vAlign w:val="center"/>
          </w:tcPr>
          <w:p w14:paraId="0C4845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125,026,382.09</w:t>
            </w:r>
          </w:p>
        </w:tc>
        <w:tc>
          <w:tcPr>
            <w:tcW w:w="1377" w:type="dxa"/>
            <w:tcBorders>
              <w:top w:val="single" w:color="auto" w:sz="2" w:space="0"/>
              <w:left w:val="single" w:color="auto" w:sz="2" w:space="0"/>
              <w:bottom w:val="single" w:color="auto" w:sz="2" w:space="0"/>
              <w:right w:val="single" w:color="auto" w:sz="2" w:space="0"/>
            </w:tcBorders>
            <w:vAlign w:val="center"/>
          </w:tcPr>
          <w:p w14:paraId="221366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9.37%</w:t>
            </w:r>
          </w:p>
        </w:tc>
        <w:tc>
          <w:tcPr>
            <w:tcW w:w="1377" w:type="dxa"/>
            <w:tcBorders>
              <w:top w:val="single" w:color="auto" w:sz="2" w:space="0"/>
              <w:left w:val="single" w:color="auto" w:sz="2" w:space="0"/>
              <w:bottom w:val="single" w:color="auto" w:sz="2" w:space="0"/>
              <w:right w:val="single" w:color="auto" w:sz="2" w:space="0"/>
            </w:tcBorders>
            <w:vAlign w:val="center"/>
          </w:tcPr>
          <w:p w14:paraId="2E570B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71,582,827.64</w:t>
            </w:r>
          </w:p>
        </w:tc>
        <w:tc>
          <w:tcPr>
            <w:tcW w:w="1377" w:type="dxa"/>
            <w:tcBorders>
              <w:top w:val="single" w:color="auto" w:sz="2" w:space="0"/>
              <w:left w:val="single" w:color="auto" w:sz="2" w:space="0"/>
              <w:bottom w:val="single" w:color="auto" w:sz="2" w:space="0"/>
              <w:right w:val="single" w:color="auto" w:sz="2" w:space="0"/>
            </w:tcBorders>
            <w:vAlign w:val="center"/>
          </w:tcPr>
          <w:p w14:paraId="1435B3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6.85%</w:t>
            </w:r>
          </w:p>
        </w:tc>
        <w:tc>
          <w:tcPr>
            <w:tcW w:w="1377" w:type="dxa"/>
            <w:tcBorders>
              <w:top w:val="single" w:color="auto" w:sz="2" w:space="0"/>
              <w:left w:val="single" w:color="auto" w:sz="2" w:space="0"/>
              <w:bottom w:val="single" w:color="auto" w:sz="2" w:space="0"/>
              <w:right w:val="single" w:color="auto" w:sz="2" w:space="0"/>
            </w:tcBorders>
            <w:vAlign w:val="center"/>
          </w:tcPr>
          <w:p w14:paraId="61F2EE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w:t>
            </w:r>
          </w:p>
        </w:tc>
        <w:tc>
          <w:tcPr>
            <w:tcW w:w="1377" w:type="dxa"/>
            <w:tcBorders>
              <w:top w:val="single" w:color="auto" w:sz="2" w:space="0"/>
              <w:left w:val="single" w:color="auto" w:sz="2" w:space="0"/>
              <w:bottom w:val="single" w:color="auto" w:sz="2" w:space="0"/>
              <w:right w:val="single" w:color="auto" w:sz="2" w:space="0"/>
            </w:tcBorders>
            <w:vAlign w:val="center"/>
          </w:tcPr>
          <w:p w14:paraId="4AC6C645">
            <w:pPr>
              <w:jc w:val="center"/>
            </w:pPr>
            <w:r>
              <w:rPr>
                <w:rFonts w:hint="eastAsia" w:ascii="Times New Roman" w:hAnsi="Times New Roman" w:cs="Times New Roman" w:eastAsiaTheme="majorEastAsia"/>
                <w:sz w:val="18"/>
                <w:szCs w:val="18"/>
              </w:rPr>
              <w:t>无</w:t>
            </w:r>
          </w:p>
        </w:tc>
      </w:tr>
      <w:tr w14:paraId="044509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BC6ACF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在建工程</w:t>
            </w:r>
          </w:p>
        </w:tc>
        <w:tc>
          <w:tcPr>
            <w:tcW w:w="1377" w:type="dxa"/>
            <w:tcBorders>
              <w:top w:val="single" w:color="auto" w:sz="2" w:space="0"/>
              <w:left w:val="single" w:color="auto" w:sz="2" w:space="0"/>
              <w:bottom w:val="single" w:color="auto" w:sz="2" w:space="0"/>
              <w:right w:val="single" w:color="auto" w:sz="2" w:space="0"/>
            </w:tcBorders>
            <w:vAlign w:val="center"/>
          </w:tcPr>
          <w:p w14:paraId="2C4966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1377" w:type="dxa"/>
            <w:tcBorders>
              <w:top w:val="single" w:color="auto" w:sz="2" w:space="0"/>
              <w:left w:val="single" w:color="auto" w:sz="2" w:space="0"/>
              <w:bottom w:val="single" w:color="auto" w:sz="2" w:space="0"/>
              <w:right w:val="single" w:color="auto" w:sz="2" w:space="0"/>
            </w:tcBorders>
            <w:vAlign w:val="center"/>
          </w:tcPr>
          <w:p w14:paraId="4BE68C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26.30%</w:t>
            </w:r>
          </w:p>
        </w:tc>
        <w:tc>
          <w:tcPr>
            <w:tcW w:w="1377" w:type="dxa"/>
            <w:tcBorders>
              <w:top w:val="single" w:color="auto" w:sz="2" w:space="0"/>
              <w:left w:val="single" w:color="auto" w:sz="2" w:space="0"/>
              <w:bottom w:val="single" w:color="auto" w:sz="2" w:space="0"/>
              <w:right w:val="single" w:color="auto" w:sz="2" w:space="0"/>
            </w:tcBorders>
            <w:vAlign w:val="center"/>
          </w:tcPr>
          <w:p w14:paraId="444027A9">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C7B6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3FFC8B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26.30%</w:t>
            </w:r>
          </w:p>
        </w:tc>
        <w:tc>
          <w:tcPr>
            <w:tcW w:w="1377" w:type="dxa"/>
            <w:tcBorders>
              <w:top w:val="single" w:color="auto" w:sz="2" w:space="0"/>
              <w:left w:val="single" w:color="auto" w:sz="2" w:space="0"/>
              <w:bottom w:val="single" w:color="auto" w:sz="2" w:space="0"/>
              <w:right w:val="single" w:color="auto" w:sz="2" w:space="0"/>
            </w:tcBorders>
            <w:vAlign w:val="center"/>
          </w:tcPr>
          <w:p w14:paraId="6221737C">
            <w:pPr>
              <w:jc w:val="center"/>
            </w:pPr>
            <w:r>
              <w:rPr>
                <w:rFonts w:hint="eastAsia" w:ascii="Times New Roman" w:hAnsi="Times New Roman" w:cs="Times New Roman" w:eastAsiaTheme="majorEastAsia"/>
                <w:sz w:val="18"/>
                <w:szCs w:val="18"/>
              </w:rPr>
              <w:t>无</w:t>
            </w:r>
          </w:p>
        </w:tc>
      </w:tr>
      <w:tr w14:paraId="14B45E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E66EA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使用权资产</w:t>
            </w:r>
          </w:p>
        </w:tc>
        <w:tc>
          <w:tcPr>
            <w:tcW w:w="1377" w:type="dxa"/>
            <w:tcBorders>
              <w:top w:val="single" w:color="auto" w:sz="2" w:space="0"/>
              <w:left w:val="single" w:color="auto" w:sz="2" w:space="0"/>
              <w:bottom w:val="single" w:color="auto" w:sz="2" w:space="0"/>
              <w:right w:val="single" w:color="auto" w:sz="2" w:space="0"/>
            </w:tcBorders>
            <w:vAlign w:val="center"/>
          </w:tcPr>
          <w:p w14:paraId="72797C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8,594,708.86</w:t>
            </w:r>
          </w:p>
        </w:tc>
        <w:tc>
          <w:tcPr>
            <w:tcW w:w="1377" w:type="dxa"/>
            <w:tcBorders>
              <w:top w:val="single" w:color="auto" w:sz="2" w:space="0"/>
              <w:left w:val="single" w:color="auto" w:sz="2" w:space="0"/>
              <w:bottom w:val="single" w:color="auto" w:sz="2" w:space="0"/>
              <w:right w:val="single" w:color="auto" w:sz="2" w:space="0"/>
            </w:tcBorders>
            <w:vAlign w:val="center"/>
          </w:tcPr>
          <w:p w14:paraId="351A37A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0.64%</w:t>
            </w:r>
          </w:p>
        </w:tc>
        <w:tc>
          <w:tcPr>
            <w:tcW w:w="1377" w:type="dxa"/>
            <w:tcBorders>
              <w:top w:val="single" w:color="auto" w:sz="2" w:space="0"/>
              <w:left w:val="single" w:color="auto" w:sz="2" w:space="0"/>
              <w:bottom w:val="single" w:color="auto" w:sz="2" w:space="0"/>
              <w:right w:val="single" w:color="auto" w:sz="2" w:space="0"/>
            </w:tcBorders>
            <w:vAlign w:val="center"/>
          </w:tcPr>
          <w:p w14:paraId="542DB7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6,177,907.51</w:t>
            </w:r>
          </w:p>
        </w:tc>
        <w:tc>
          <w:tcPr>
            <w:tcW w:w="1377" w:type="dxa"/>
            <w:tcBorders>
              <w:top w:val="single" w:color="auto" w:sz="2" w:space="0"/>
              <w:left w:val="single" w:color="auto" w:sz="2" w:space="0"/>
              <w:bottom w:val="single" w:color="auto" w:sz="2" w:space="0"/>
              <w:right w:val="single" w:color="auto" w:sz="2" w:space="0"/>
            </w:tcBorders>
            <w:vAlign w:val="center"/>
          </w:tcPr>
          <w:p w14:paraId="14FAC6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0.59%</w:t>
            </w:r>
          </w:p>
        </w:tc>
        <w:tc>
          <w:tcPr>
            <w:tcW w:w="1377" w:type="dxa"/>
            <w:tcBorders>
              <w:top w:val="single" w:color="auto" w:sz="2" w:space="0"/>
              <w:left w:val="single" w:color="auto" w:sz="2" w:space="0"/>
              <w:bottom w:val="single" w:color="auto" w:sz="2" w:space="0"/>
              <w:right w:val="single" w:color="auto" w:sz="2" w:space="0"/>
            </w:tcBorders>
            <w:vAlign w:val="center"/>
          </w:tcPr>
          <w:p w14:paraId="24ACA7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0.05%</w:t>
            </w:r>
          </w:p>
        </w:tc>
        <w:tc>
          <w:tcPr>
            <w:tcW w:w="1377" w:type="dxa"/>
            <w:tcBorders>
              <w:top w:val="single" w:color="auto" w:sz="2" w:space="0"/>
              <w:left w:val="single" w:color="auto" w:sz="2" w:space="0"/>
              <w:bottom w:val="single" w:color="auto" w:sz="2" w:space="0"/>
              <w:right w:val="single" w:color="auto" w:sz="2" w:space="0"/>
            </w:tcBorders>
            <w:vAlign w:val="center"/>
          </w:tcPr>
          <w:p w14:paraId="3DA687E6">
            <w:pPr>
              <w:jc w:val="center"/>
            </w:pPr>
            <w:r>
              <w:rPr>
                <w:rFonts w:hint="eastAsia" w:ascii="Times New Roman" w:hAnsi="Times New Roman" w:cs="Times New Roman" w:eastAsiaTheme="majorEastAsia"/>
                <w:sz w:val="18"/>
                <w:szCs w:val="18"/>
              </w:rPr>
              <w:t>无</w:t>
            </w:r>
          </w:p>
        </w:tc>
      </w:tr>
      <w:tr w14:paraId="0EF6B3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AB279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短期借款</w:t>
            </w:r>
          </w:p>
        </w:tc>
        <w:tc>
          <w:tcPr>
            <w:tcW w:w="1377" w:type="dxa"/>
            <w:tcBorders>
              <w:top w:val="single" w:color="auto" w:sz="2" w:space="0"/>
              <w:left w:val="single" w:color="auto" w:sz="2" w:space="0"/>
              <w:bottom w:val="single" w:color="auto" w:sz="2" w:space="0"/>
              <w:right w:val="single" w:color="auto" w:sz="2" w:space="0"/>
            </w:tcBorders>
            <w:vAlign w:val="center"/>
          </w:tcPr>
          <w:p w14:paraId="1B4C64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46,223,781.13</w:t>
            </w:r>
          </w:p>
        </w:tc>
        <w:tc>
          <w:tcPr>
            <w:tcW w:w="1377" w:type="dxa"/>
            <w:tcBorders>
              <w:top w:val="single" w:color="auto" w:sz="2" w:space="0"/>
              <w:left w:val="single" w:color="auto" w:sz="2" w:space="0"/>
              <w:bottom w:val="single" w:color="auto" w:sz="2" w:space="0"/>
              <w:right w:val="single" w:color="auto" w:sz="2" w:space="0"/>
            </w:tcBorders>
            <w:vAlign w:val="center"/>
          </w:tcPr>
          <w:p w14:paraId="26B94D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w:t>
            </w:r>
          </w:p>
        </w:tc>
        <w:tc>
          <w:tcPr>
            <w:tcW w:w="1377" w:type="dxa"/>
            <w:tcBorders>
              <w:top w:val="single" w:color="auto" w:sz="2" w:space="0"/>
              <w:left w:val="single" w:color="auto" w:sz="2" w:space="0"/>
              <w:bottom w:val="single" w:color="auto" w:sz="2" w:space="0"/>
              <w:right w:val="single" w:color="auto" w:sz="2" w:space="0"/>
            </w:tcBorders>
            <w:vAlign w:val="center"/>
          </w:tcPr>
          <w:p w14:paraId="7C3251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10,922,480.70</w:t>
            </w:r>
          </w:p>
        </w:tc>
        <w:tc>
          <w:tcPr>
            <w:tcW w:w="1377" w:type="dxa"/>
            <w:tcBorders>
              <w:top w:val="single" w:color="auto" w:sz="2" w:space="0"/>
              <w:left w:val="single" w:color="auto" w:sz="2" w:space="0"/>
              <w:bottom w:val="single" w:color="auto" w:sz="2" w:space="0"/>
              <w:right w:val="single" w:color="auto" w:sz="2" w:space="0"/>
            </w:tcBorders>
            <w:vAlign w:val="center"/>
          </w:tcPr>
          <w:p w14:paraId="413C67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w:t>
            </w:r>
          </w:p>
        </w:tc>
        <w:tc>
          <w:tcPr>
            <w:tcW w:w="1377" w:type="dxa"/>
            <w:tcBorders>
              <w:top w:val="single" w:color="auto" w:sz="2" w:space="0"/>
              <w:left w:val="single" w:color="auto" w:sz="2" w:space="0"/>
              <w:bottom w:val="single" w:color="auto" w:sz="2" w:space="0"/>
              <w:right w:val="single" w:color="auto" w:sz="2" w:space="0"/>
            </w:tcBorders>
            <w:vAlign w:val="center"/>
          </w:tcPr>
          <w:p w14:paraId="454830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2.42%</w:t>
            </w:r>
          </w:p>
        </w:tc>
        <w:tc>
          <w:tcPr>
            <w:tcW w:w="1377" w:type="dxa"/>
            <w:tcBorders>
              <w:top w:val="single" w:color="auto" w:sz="2" w:space="0"/>
              <w:left w:val="single" w:color="auto" w:sz="2" w:space="0"/>
              <w:bottom w:val="single" w:color="auto" w:sz="2" w:space="0"/>
              <w:right w:val="single" w:color="auto" w:sz="2" w:space="0"/>
            </w:tcBorders>
            <w:vAlign w:val="center"/>
          </w:tcPr>
          <w:p w14:paraId="27E5A194">
            <w:pPr>
              <w:jc w:val="center"/>
            </w:pPr>
            <w:r>
              <w:rPr>
                <w:rFonts w:hint="eastAsia" w:ascii="Times New Roman" w:hAnsi="Times New Roman" w:cs="Times New Roman" w:eastAsiaTheme="majorEastAsia"/>
                <w:sz w:val="18"/>
                <w:szCs w:val="18"/>
              </w:rPr>
              <w:t>无</w:t>
            </w:r>
          </w:p>
        </w:tc>
      </w:tr>
      <w:tr w14:paraId="2F45EF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C97A3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合同负债</w:t>
            </w:r>
          </w:p>
        </w:tc>
        <w:tc>
          <w:tcPr>
            <w:tcW w:w="1377" w:type="dxa"/>
            <w:tcBorders>
              <w:top w:val="single" w:color="auto" w:sz="2" w:space="0"/>
              <w:left w:val="single" w:color="auto" w:sz="2" w:space="0"/>
              <w:bottom w:val="single" w:color="auto" w:sz="2" w:space="0"/>
              <w:right w:val="single" w:color="auto" w:sz="2" w:space="0"/>
            </w:tcBorders>
            <w:vAlign w:val="center"/>
          </w:tcPr>
          <w:p w14:paraId="5356DB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48,564,228.45</w:t>
            </w:r>
          </w:p>
        </w:tc>
        <w:tc>
          <w:tcPr>
            <w:tcW w:w="1377" w:type="dxa"/>
            <w:tcBorders>
              <w:top w:val="single" w:color="auto" w:sz="2" w:space="0"/>
              <w:left w:val="single" w:color="auto" w:sz="2" w:space="0"/>
              <w:bottom w:val="single" w:color="auto" w:sz="2" w:space="0"/>
              <w:right w:val="single" w:color="auto" w:sz="2" w:space="0"/>
            </w:tcBorders>
            <w:vAlign w:val="center"/>
          </w:tcPr>
          <w:p w14:paraId="2325DC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w:t>
            </w:r>
          </w:p>
        </w:tc>
        <w:tc>
          <w:tcPr>
            <w:tcW w:w="1377" w:type="dxa"/>
            <w:tcBorders>
              <w:top w:val="single" w:color="auto" w:sz="2" w:space="0"/>
              <w:left w:val="single" w:color="auto" w:sz="2" w:space="0"/>
              <w:bottom w:val="single" w:color="auto" w:sz="2" w:space="0"/>
              <w:right w:val="single" w:color="auto" w:sz="2" w:space="0"/>
            </w:tcBorders>
            <w:vAlign w:val="center"/>
          </w:tcPr>
          <w:p w14:paraId="426094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9,777,778.67</w:t>
            </w:r>
          </w:p>
        </w:tc>
        <w:tc>
          <w:tcPr>
            <w:tcW w:w="1377" w:type="dxa"/>
            <w:tcBorders>
              <w:top w:val="single" w:color="auto" w:sz="2" w:space="0"/>
              <w:left w:val="single" w:color="auto" w:sz="2" w:space="0"/>
              <w:bottom w:val="single" w:color="auto" w:sz="2" w:space="0"/>
              <w:right w:val="single" w:color="auto" w:sz="2" w:space="0"/>
            </w:tcBorders>
            <w:vAlign w:val="center"/>
          </w:tcPr>
          <w:p w14:paraId="6B9FD6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0.94%</w:t>
            </w:r>
          </w:p>
        </w:tc>
        <w:tc>
          <w:tcPr>
            <w:tcW w:w="1377" w:type="dxa"/>
            <w:tcBorders>
              <w:top w:val="single" w:color="auto" w:sz="2" w:space="0"/>
              <w:left w:val="single" w:color="auto" w:sz="2" w:space="0"/>
              <w:bottom w:val="single" w:color="auto" w:sz="2" w:space="0"/>
              <w:right w:val="single" w:color="auto" w:sz="2" w:space="0"/>
            </w:tcBorders>
            <w:vAlign w:val="center"/>
          </w:tcPr>
          <w:p w14:paraId="15A845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w:t>
            </w:r>
          </w:p>
        </w:tc>
        <w:tc>
          <w:tcPr>
            <w:tcW w:w="1377" w:type="dxa"/>
            <w:tcBorders>
              <w:top w:val="single" w:color="auto" w:sz="2" w:space="0"/>
              <w:left w:val="single" w:color="auto" w:sz="2" w:space="0"/>
              <w:bottom w:val="single" w:color="auto" w:sz="2" w:space="0"/>
              <w:right w:val="single" w:color="auto" w:sz="2" w:space="0"/>
            </w:tcBorders>
            <w:vAlign w:val="center"/>
          </w:tcPr>
          <w:p w14:paraId="7D9B64F6">
            <w:pPr>
              <w:jc w:val="center"/>
            </w:pPr>
            <w:r>
              <w:rPr>
                <w:rFonts w:hint="eastAsia" w:ascii="Times New Roman" w:hAnsi="Times New Roman" w:cs="Times New Roman" w:eastAsiaTheme="majorEastAsia"/>
                <w:sz w:val="18"/>
                <w:szCs w:val="18"/>
              </w:rPr>
              <w:t>无</w:t>
            </w:r>
          </w:p>
        </w:tc>
      </w:tr>
      <w:tr w14:paraId="327DDE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DC166E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w:t>
            </w:r>
          </w:p>
        </w:tc>
        <w:tc>
          <w:tcPr>
            <w:tcW w:w="1377" w:type="dxa"/>
            <w:tcBorders>
              <w:top w:val="single" w:color="auto" w:sz="2" w:space="0"/>
              <w:left w:val="single" w:color="auto" w:sz="2" w:space="0"/>
              <w:bottom w:val="single" w:color="auto" w:sz="2" w:space="0"/>
              <w:right w:val="single" w:color="auto" w:sz="2" w:space="0"/>
            </w:tcBorders>
            <w:vAlign w:val="center"/>
          </w:tcPr>
          <w:p w14:paraId="37DD5F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31,937,786.17</w:t>
            </w:r>
          </w:p>
        </w:tc>
        <w:tc>
          <w:tcPr>
            <w:tcW w:w="1377" w:type="dxa"/>
            <w:tcBorders>
              <w:top w:val="single" w:color="auto" w:sz="2" w:space="0"/>
              <w:left w:val="single" w:color="auto" w:sz="2" w:space="0"/>
              <w:bottom w:val="single" w:color="auto" w:sz="2" w:space="0"/>
              <w:right w:val="single" w:color="auto" w:sz="2" w:space="0"/>
            </w:tcBorders>
            <w:vAlign w:val="center"/>
          </w:tcPr>
          <w:p w14:paraId="48853B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2.39%</w:t>
            </w:r>
          </w:p>
        </w:tc>
        <w:tc>
          <w:tcPr>
            <w:tcW w:w="1377" w:type="dxa"/>
            <w:tcBorders>
              <w:top w:val="single" w:color="auto" w:sz="2" w:space="0"/>
              <w:left w:val="single" w:color="auto" w:sz="2" w:space="0"/>
              <w:bottom w:val="single" w:color="auto" w:sz="2" w:space="0"/>
              <w:right w:val="single" w:color="auto" w:sz="2" w:space="0"/>
            </w:tcBorders>
            <w:vAlign w:val="center"/>
          </w:tcPr>
          <w:p w14:paraId="41A6916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5874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377" w:type="dxa"/>
            <w:tcBorders>
              <w:top w:val="single" w:color="auto" w:sz="2" w:space="0"/>
              <w:left w:val="single" w:color="auto" w:sz="2" w:space="0"/>
              <w:bottom w:val="single" w:color="auto" w:sz="2" w:space="0"/>
              <w:right w:val="single" w:color="auto" w:sz="2" w:space="0"/>
            </w:tcBorders>
            <w:vAlign w:val="center"/>
          </w:tcPr>
          <w:p w14:paraId="39D43F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2.39%</w:t>
            </w:r>
          </w:p>
        </w:tc>
        <w:tc>
          <w:tcPr>
            <w:tcW w:w="1377" w:type="dxa"/>
            <w:tcBorders>
              <w:top w:val="single" w:color="auto" w:sz="2" w:space="0"/>
              <w:left w:val="single" w:color="auto" w:sz="2" w:space="0"/>
              <w:bottom w:val="single" w:color="auto" w:sz="2" w:space="0"/>
              <w:right w:val="single" w:color="auto" w:sz="2" w:space="0"/>
            </w:tcBorders>
            <w:vAlign w:val="center"/>
          </w:tcPr>
          <w:p w14:paraId="76DC21F3">
            <w:pPr>
              <w:jc w:val="center"/>
            </w:pPr>
            <w:r>
              <w:rPr>
                <w:rFonts w:hint="eastAsia" w:ascii="Times New Roman" w:hAnsi="Times New Roman" w:cs="Times New Roman" w:eastAsiaTheme="majorEastAsia"/>
                <w:sz w:val="18"/>
                <w:szCs w:val="18"/>
              </w:rPr>
              <w:t>无</w:t>
            </w:r>
          </w:p>
        </w:tc>
      </w:tr>
      <w:tr w14:paraId="5752E5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4198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租赁负债</w:t>
            </w:r>
          </w:p>
        </w:tc>
        <w:tc>
          <w:tcPr>
            <w:tcW w:w="1377" w:type="dxa"/>
            <w:tcBorders>
              <w:top w:val="single" w:color="auto" w:sz="2" w:space="0"/>
              <w:left w:val="single" w:color="auto" w:sz="2" w:space="0"/>
              <w:bottom w:val="single" w:color="auto" w:sz="2" w:space="0"/>
              <w:right w:val="single" w:color="auto" w:sz="2" w:space="0"/>
            </w:tcBorders>
            <w:vAlign w:val="center"/>
          </w:tcPr>
          <w:p w14:paraId="32227E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5,786,073.08</w:t>
            </w:r>
          </w:p>
        </w:tc>
        <w:tc>
          <w:tcPr>
            <w:tcW w:w="1377" w:type="dxa"/>
            <w:tcBorders>
              <w:top w:val="single" w:color="auto" w:sz="2" w:space="0"/>
              <w:left w:val="single" w:color="auto" w:sz="2" w:space="0"/>
              <w:bottom w:val="single" w:color="auto" w:sz="2" w:space="0"/>
              <w:right w:val="single" w:color="auto" w:sz="2" w:space="0"/>
            </w:tcBorders>
            <w:vAlign w:val="center"/>
          </w:tcPr>
          <w:p w14:paraId="59B84F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0.43%</w:t>
            </w:r>
          </w:p>
        </w:tc>
        <w:tc>
          <w:tcPr>
            <w:tcW w:w="1377" w:type="dxa"/>
            <w:tcBorders>
              <w:top w:val="single" w:color="auto" w:sz="2" w:space="0"/>
              <w:left w:val="single" w:color="auto" w:sz="2" w:space="0"/>
              <w:bottom w:val="single" w:color="auto" w:sz="2" w:space="0"/>
              <w:right w:val="single" w:color="auto" w:sz="2" w:space="0"/>
            </w:tcBorders>
            <w:vAlign w:val="center"/>
          </w:tcPr>
          <w:p w14:paraId="0F4772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3,013,794.26</w:t>
            </w:r>
          </w:p>
        </w:tc>
        <w:tc>
          <w:tcPr>
            <w:tcW w:w="1377" w:type="dxa"/>
            <w:tcBorders>
              <w:top w:val="single" w:color="auto" w:sz="2" w:space="0"/>
              <w:left w:val="single" w:color="auto" w:sz="2" w:space="0"/>
              <w:bottom w:val="single" w:color="auto" w:sz="2" w:space="0"/>
              <w:right w:val="single" w:color="auto" w:sz="2" w:space="0"/>
            </w:tcBorders>
            <w:vAlign w:val="center"/>
          </w:tcPr>
          <w:p w14:paraId="137FC0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0.29%</w:t>
            </w:r>
          </w:p>
        </w:tc>
        <w:tc>
          <w:tcPr>
            <w:tcW w:w="1377" w:type="dxa"/>
            <w:tcBorders>
              <w:top w:val="single" w:color="auto" w:sz="2" w:space="0"/>
              <w:left w:val="single" w:color="auto" w:sz="2" w:space="0"/>
              <w:bottom w:val="single" w:color="auto" w:sz="2" w:space="0"/>
              <w:right w:val="single" w:color="auto" w:sz="2" w:space="0"/>
            </w:tcBorders>
            <w:vAlign w:val="center"/>
          </w:tcPr>
          <w:p w14:paraId="4786AB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0.14%</w:t>
            </w:r>
          </w:p>
        </w:tc>
        <w:tc>
          <w:tcPr>
            <w:tcW w:w="1377" w:type="dxa"/>
            <w:tcBorders>
              <w:top w:val="single" w:color="auto" w:sz="2" w:space="0"/>
              <w:left w:val="single" w:color="auto" w:sz="2" w:space="0"/>
              <w:bottom w:val="single" w:color="auto" w:sz="2" w:space="0"/>
              <w:right w:val="single" w:color="auto" w:sz="2" w:space="0"/>
            </w:tcBorders>
            <w:vAlign w:val="center"/>
          </w:tcPr>
          <w:p w14:paraId="45C19548">
            <w:pPr>
              <w:jc w:val="center"/>
            </w:pPr>
            <w:r>
              <w:rPr>
                <w:rFonts w:hint="eastAsia" w:ascii="Times New Roman" w:hAnsi="Times New Roman" w:cs="Times New Roman" w:eastAsiaTheme="majorEastAsia"/>
                <w:sz w:val="18"/>
                <w:szCs w:val="18"/>
              </w:rPr>
              <w:t>无</w:t>
            </w:r>
          </w:p>
        </w:tc>
      </w:tr>
    </w:tbl>
    <w:p w14:paraId="30293A5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境外资产占比较高</w:t>
      </w:r>
    </w:p>
    <w:p w14:paraId="1B90D23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4C5D066">
      <w:pPr>
        <w:pStyle w:val="3"/>
        <w:spacing w:line="280" w:lineRule="exact"/>
        <w:jc w:val="left"/>
        <w:rPr>
          <w:rFonts w:ascii="Times New Roman" w:hAnsi="Times New Roman" w:cs="Times New Roman" w:eastAsiaTheme="majorEastAsia"/>
          <w:b/>
          <w:bCs/>
        </w:rPr>
      </w:pPr>
      <w:bookmarkStart w:id="33" w:name="_Toc988922"/>
      <w:r>
        <w:rPr>
          <w:rFonts w:ascii="Times New Roman" w:hAnsi="Times New Roman" w:cs="Times New Roman" w:eastAsiaTheme="majorEastAsia"/>
          <w:b/>
          <w:bCs/>
        </w:rPr>
        <w:t>2、以公允价值计量的资产和负债</w:t>
      </w:r>
      <w:bookmarkEnd w:id="33"/>
    </w:p>
    <w:p w14:paraId="7311CF7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16517B19">
      <w:pPr>
        <w:widowControl/>
        <w:rPr>
          <w:rFonts w:ascii="Times New Roman" w:hAnsi="Times New Roman" w:cs="Times New Roman" w:eastAsiaTheme="majorEastAsia"/>
          <w:sz w:val="18"/>
          <w:szCs w:val="18"/>
        </w:rPr>
      </w:pPr>
      <w:r>
        <w:rPr>
          <w:rFonts w:ascii="Times New Roman" w:hAnsi="Times New Roman" w:cs="Times New Roman" w:eastAsiaTheme="majorEastAsia"/>
          <w:sz w:val="18"/>
          <w:szCs w:val="18"/>
        </w:rPr>
        <w:br w:type="page"/>
      </w:r>
    </w:p>
    <w:p w14:paraId="1187C7EE">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1"/>
        <w:gridCol w:w="1251"/>
        <w:gridCol w:w="1167"/>
        <w:gridCol w:w="1353"/>
        <w:gridCol w:w="627"/>
        <w:gridCol w:w="1341"/>
        <w:gridCol w:w="1261"/>
        <w:gridCol w:w="511"/>
        <w:gridCol w:w="1161"/>
      </w:tblGrid>
      <w:tr w14:paraId="35C47A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DABCE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67277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期初数</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53A093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本期公允价值变动损益</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352DC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计入权益的累计公允价值变动</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90CF8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本期计提的减值</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FE7E26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本期购买金额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40D24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本期出售金额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FC975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其他变动</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68752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期末数</w:t>
            </w:r>
          </w:p>
        </w:tc>
      </w:tr>
      <w:tr w14:paraId="1C56F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9"/>
            <w:tcBorders>
              <w:top w:val="single" w:color="auto" w:sz="2" w:space="0"/>
              <w:left w:val="single" w:color="auto" w:sz="2" w:space="0"/>
              <w:bottom w:val="single" w:color="auto" w:sz="2" w:space="0"/>
              <w:right w:val="single" w:color="auto" w:sz="2" w:space="0"/>
            </w:tcBorders>
            <w:shd w:val="clear" w:color="auto" w:fill="D3D3D3"/>
            <w:vAlign w:val="center"/>
          </w:tcPr>
          <w:p w14:paraId="557570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金融资产</w:t>
            </w:r>
          </w:p>
        </w:tc>
      </w:tr>
      <w:tr w14:paraId="30DCB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D9BC00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1.交易性金融资产（不含衍生金融资产）</w:t>
            </w:r>
          </w:p>
        </w:tc>
        <w:tc>
          <w:tcPr>
            <w:tcW w:w="0" w:type="auto"/>
            <w:tcBorders>
              <w:top w:val="single" w:color="auto" w:sz="2" w:space="0"/>
              <w:left w:val="single" w:color="auto" w:sz="2" w:space="0"/>
              <w:bottom w:val="single" w:color="auto" w:sz="2" w:space="0"/>
              <w:right w:val="single" w:color="auto" w:sz="2" w:space="0"/>
            </w:tcBorders>
            <w:vAlign w:val="center"/>
          </w:tcPr>
          <w:p w14:paraId="47E276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c>
          <w:tcPr>
            <w:tcW w:w="0" w:type="auto"/>
            <w:tcBorders>
              <w:top w:val="single" w:color="auto" w:sz="2" w:space="0"/>
              <w:left w:val="single" w:color="auto" w:sz="2" w:space="0"/>
              <w:bottom w:val="single" w:color="auto" w:sz="2" w:space="0"/>
              <w:right w:val="single" w:color="auto" w:sz="2" w:space="0"/>
            </w:tcBorders>
            <w:vAlign w:val="center"/>
          </w:tcPr>
          <w:p w14:paraId="027620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0" w:type="auto"/>
            <w:tcBorders>
              <w:top w:val="single" w:color="auto" w:sz="2" w:space="0"/>
              <w:left w:val="single" w:color="auto" w:sz="2" w:space="0"/>
              <w:bottom w:val="single" w:color="auto" w:sz="2" w:space="0"/>
              <w:right w:val="single" w:color="auto" w:sz="2" w:space="0"/>
            </w:tcBorders>
            <w:vAlign w:val="center"/>
          </w:tcPr>
          <w:p w14:paraId="3351226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9A8637D">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F51EE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190,000,000.00</w:t>
            </w:r>
          </w:p>
        </w:tc>
        <w:tc>
          <w:tcPr>
            <w:tcW w:w="0" w:type="auto"/>
            <w:tcBorders>
              <w:top w:val="single" w:color="auto" w:sz="2" w:space="0"/>
              <w:left w:val="single" w:color="auto" w:sz="2" w:space="0"/>
              <w:bottom w:val="single" w:color="auto" w:sz="2" w:space="0"/>
              <w:right w:val="single" w:color="auto" w:sz="2" w:space="0"/>
            </w:tcBorders>
            <w:vAlign w:val="center"/>
          </w:tcPr>
          <w:p w14:paraId="40F79A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w:t>
            </w:r>
          </w:p>
        </w:tc>
        <w:tc>
          <w:tcPr>
            <w:tcW w:w="0" w:type="auto"/>
            <w:tcBorders>
              <w:top w:val="single" w:color="auto" w:sz="2" w:space="0"/>
              <w:left w:val="single" w:color="auto" w:sz="2" w:space="0"/>
              <w:bottom w:val="single" w:color="auto" w:sz="2" w:space="0"/>
              <w:right w:val="single" w:color="auto" w:sz="2" w:space="0"/>
            </w:tcBorders>
            <w:vAlign w:val="center"/>
          </w:tcPr>
          <w:p w14:paraId="60289AFC">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B735B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09C78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047E80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4.其他权益工具投资</w:t>
            </w:r>
          </w:p>
        </w:tc>
        <w:tc>
          <w:tcPr>
            <w:tcW w:w="0" w:type="auto"/>
            <w:tcBorders>
              <w:top w:val="single" w:color="auto" w:sz="2" w:space="0"/>
              <w:left w:val="single" w:color="auto" w:sz="2" w:space="0"/>
              <w:bottom w:val="single" w:color="auto" w:sz="2" w:space="0"/>
              <w:right w:val="single" w:color="auto" w:sz="2" w:space="0"/>
            </w:tcBorders>
            <w:vAlign w:val="center"/>
          </w:tcPr>
          <w:p w14:paraId="7EAB1C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0" w:type="auto"/>
            <w:tcBorders>
              <w:top w:val="single" w:color="auto" w:sz="2" w:space="0"/>
              <w:left w:val="single" w:color="auto" w:sz="2" w:space="0"/>
              <w:bottom w:val="single" w:color="auto" w:sz="2" w:space="0"/>
              <w:right w:val="single" w:color="auto" w:sz="2" w:space="0"/>
            </w:tcBorders>
            <w:vAlign w:val="center"/>
          </w:tcPr>
          <w:p w14:paraId="317AEB0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4A11D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0" w:type="auto"/>
            <w:tcBorders>
              <w:top w:val="single" w:color="auto" w:sz="2" w:space="0"/>
              <w:left w:val="single" w:color="auto" w:sz="2" w:space="0"/>
              <w:bottom w:val="single" w:color="auto" w:sz="2" w:space="0"/>
              <w:right w:val="single" w:color="auto" w:sz="2" w:space="0"/>
            </w:tcBorders>
            <w:vAlign w:val="center"/>
          </w:tcPr>
          <w:p w14:paraId="79062B2F">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54D6FA1">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F79122E">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08807A4">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32946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r>
      <w:tr w14:paraId="6B7211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5EB9D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金融资产小计</w:t>
            </w:r>
          </w:p>
        </w:tc>
        <w:tc>
          <w:tcPr>
            <w:tcW w:w="0" w:type="auto"/>
            <w:tcBorders>
              <w:top w:val="single" w:color="auto" w:sz="2" w:space="0"/>
              <w:left w:val="single" w:color="auto" w:sz="2" w:space="0"/>
              <w:bottom w:val="single" w:color="auto" w:sz="2" w:space="0"/>
              <w:right w:val="single" w:color="auto" w:sz="2" w:space="0"/>
            </w:tcBorders>
            <w:vAlign w:val="center"/>
          </w:tcPr>
          <w:p w14:paraId="2D022E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24,100,495.89</w:t>
            </w:r>
          </w:p>
        </w:tc>
        <w:tc>
          <w:tcPr>
            <w:tcW w:w="0" w:type="auto"/>
            <w:tcBorders>
              <w:top w:val="single" w:color="auto" w:sz="2" w:space="0"/>
              <w:left w:val="single" w:color="auto" w:sz="2" w:space="0"/>
              <w:bottom w:val="single" w:color="auto" w:sz="2" w:space="0"/>
              <w:right w:val="single" w:color="auto" w:sz="2" w:space="0"/>
            </w:tcBorders>
            <w:vAlign w:val="center"/>
          </w:tcPr>
          <w:p w14:paraId="1C0250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0" w:type="auto"/>
            <w:tcBorders>
              <w:top w:val="single" w:color="auto" w:sz="2" w:space="0"/>
              <w:left w:val="single" w:color="auto" w:sz="2" w:space="0"/>
              <w:bottom w:val="single" w:color="auto" w:sz="2" w:space="0"/>
              <w:right w:val="single" w:color="auto" w:sz="2" w:space="0"/>
            </w:tcBorders>
            <w:vAlign w:val="center"/>
          </w:tcPr>
          <w:p w14:paraId="612769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0" w:type="auto"/>
            <w:tcBorders>
              <w:top w:val="single" w:color="auto" w:sz="2" w:space="0"/>
              <w:left w:val="single" w:color="auto" w:sz="2" w:space="0"/>
              <w:bottom w:val="single" w:color="auto" w:sz="2" w:space="0"/>
              <w:right w:val="single" w:color="auto" w:sz="2" w:space="0"/>
            </w:tcBorders>
            <w:vAlign w:val="center"/>
          </w:tcPr>
          <w:p w14:paraId="7EDDD67A">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E7BC613">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5E192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w:t>
            </w:r>
          </w:p>
        </w:tc>
        <w:tc>
          <w:tcPr>
            <w:tcW w:w="0" w:type="auto"/>
            <w:tcBorders>
              <w:top w:val="single" w:color="auto" w:sz="2" w:space="0"/>
              <w:left w:val="single" w:color="auto" w:sz="2" w:space="0"/>
              <w:bottom w:val="single" w:color="auto" w:sz="2" w:space="0"/>
              <w:right w:val="single" w:color="auto" w:sz="2" w:space="0"/>
            </w:tcBorders>
            <w:vAlign w:val="center"/>
          </w:tcPr>
          <w:p w14:paraId="6D1A9137">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0A3D4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r>
      <w:tr w14:paraId="2D0953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2A5DA2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上述合计</w:t>
            </w:r>
          </w:p>
        </w:tc>
        <w:tc>
          <w:tcPr>
            <w:tcW w:w="0" w:type="auto"/>
            <w:tcBorders>
              <w:top w:val="single" w:color="auto" w:sz="2" w:space="0"/>
              <w:left w:val="single" w:color="auto" w:sz="2" w:space="0"/>
              <w:bottom w:val="single" w:color="auto" w:sz="2" w:space="0"/>
              <w:right w:val="single" w:color="auto" w:sz="2" w:space="0"/>
            </w:tcBorders>
            <w:vAlign w:val="center"/>
          </w:tcPr>
          <w:p w14:paraId="7B6552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24,100,495.89</w:t>
            </w:r>
          </w:p>
        </w:tc>
        <w:tc>
          <w:tcPr>
            <w:tcW w:w="0" w:type="auto"/>
            <w:tcBorders>
              <w:top w:val="single" w:color="auto" w:sz="2" w:space="0"/>
              <w:left w:val="single" w:color="auto" w:sz="2" w:space="0"/>
              <w:bottom w:val="single" w:color="auto" w:sz="2" w:space="0"/>
              <w:right w:val="single" w:color="auto" w:sz="2" w:space="0"/>
            </w:tcBorders>
            <w:vAlign w:val="center"/>
          </w:tcPr>
          <w:p w14:paraId="48ACE1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0" w:type="auto"/>
            <w:tcBorders>
              <w:top w:val="single" w:color="auto" w:sz="2" w:space="0"/>
              <w:left w:val="single" w:color="auto" w:sz="2" w:space="0"/>
              <w:bottom w:val="single" w:color="auto" w:sz="2" w:space="0"/>
              <w:right w:val="single" w:color="auto" w:sz="2" w:space="0"/>
            </w:tcBorders>
            <w:vAlign w:val="center"/>
          </w:tcPr>
          <w:p w14:paraId="2C8A43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0" w:type="auto"/>
            <w:tcBorders>
              <w:top w:val="single" w:color="auto" w:sz="2" w:space="0"/>
              <w:left w:val="single" w:color="auto" w:sz="2" w:space="0"/>
              <w:bottom w:val="single" w:color="auto" w:sz="2" w:space="0"/>
              <w:right w:val="single" w:color="auto" w:sz="2" w:space="0"/>
            </w:tcBorders>
            <w:vAlign w:val="center"/>
          </w:tcPr>
          <w:p w14:paraId="3F50F51D">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882B76D">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C7283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w:t>
            </w:r>
          </w:p>
        </w:tc>
        <w:tc>
          <w:tcPr>
            <w:tcW w:w="0" w:type="auto"/>
            <w:tcBorders>
              <w:top w:val="single" w:color="auto" w:sz="2" w:space="0"/>
              <w:left w:val="single" w:color="auto" w:sz="2" w:space="0"/>
              <w:bottom w:val="single" w:color="auto" w:sz="2" w:space="0"/>
              <w:right w:val="single" w:color="auto" w:sz="2" w:space="0"/>
            </w:tcBorders>
            <w:vAlign w:val="center"/>
          </w:tcPr>
          <w:p w14:paraId="6BB9EC6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7FE16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r>
      <w:tr w14:paraId="035054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96BC97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金融负债</w:t>
            </w:r>
          </w:p>
        </w:tc>
        <w:tc>
          <w:tcPr>
            <w:tcW w:w="0" w:type="auto"/>
            <w:tcBorders>
              <w:top w:val="single" w:color="auto" w:sz="2" w:space="0"/>
              <w:left w:val="single" w:color="auto" w:sz="2" w:space="0"/>
              <w:bottom w:val="single" w:color="auto" w:sz="2" w:space="0"/>
              <w:right w:val="single" w:color="auto" w:sz="2" w:space="0"/>
            </w:tcBorders>
            <w:vAlign w:val="center"/>
          </w:tcPr>
          <w:p w14:paraId="2D3811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4D630A6F">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709AE47">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A44CB51">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35D997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2923AE9">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25EE6B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387BB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bl>
    <w:p w14:paraId="131F616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其他变动的内容</w:t>
      </w:r>
    </w:p>
    <w:p w14:paraId="0699196F">
      <w:pPr>
        <w:pStyle w:val="1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p w14:paraId="268C79B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报告期内公司主要资产计量属性是否发生重大变化</w:t>
      </w:r>
    </w:p>
    <w:p w14:paraId="5E0FC45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21023DD1">
      <w:pPr>
        <w:pStyle w:val="3"/>
        <w:spacing w:line="280" w:lineRule="exact"/>
        <w:jc w:val="left"/>
        <w:rPr>
          <w:rFonts w:ascii="Times New Roman" w:hAnsi="Times New Roman" w:cs="Times New Roman" w:eastAsiaTheme="majorEastAsia"/>
          <w:b/>
          <w:bCs/>
        </w:rPr>
      </w:pPr>
      <w:bookmarkStart w:id="34" w:name="_Toc988923"/>
      <w:r>
        <w:rPr>
          <w:rFonts w:ascii="Times New Roman" w:hAnsi="Times New Roman" w:cs="Times New Roman" w:eastAsiaTheme="majorEastAsia"/>
          <w:b/>
          <w:bCs/>
        </w:rPr>
        <w:t>3、截至报告期末的资产权利受限情况</w:t>
      </w:r>
      <w:bookmarkEnd w:id="34"/>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124"/>
        <w:gridCol w:w="2391"/>
        <w:gridCol w:w="2126"/>
        <w:gridCol w:w="4222"/>
      </w:tblGrid>
      <w:tr w14:paraId="2960B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570" w:type="pct"/>
            <w:shd w:val="clear" w:color="auto" w:fill="D8D8D8" w:themeFill="background1" w:themeFillShade="D9"/>
            <w:tcMar>
              <w:top w:w="0" w:type="dxa"/>
              <w:left w:w="113" w:type="dxa"/>
              <w:bottom w:w="0" w:type="dxa"/>
              <w:right w:w="113" w:type="dxa"/>
            </w:tcMar>
            <w:vAlign w:val="center"/>
          </w:tcPr>
          <w:p w14:paraId="5A01266C">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项目</w:t>
            </w:r>
          </w:p>
        </w:tc>
        <w:tc>
          <w:tcPr>
            <w:tcW w:w="1212" w:type="pct"/>
            <w:shd w:val="clear" w:color="auto" w:fill="D8D8D8" w:themeFill="background1" w:themeFillShade="D9"/>
            <w:tcMar>
              <w:top w:w="0" w:type="dxa"/>
              <w:left w:w="113" w:type="dxa"/>
              <w:bottom w:w="0" w:type="dxa"/>
              <w:right w:w="113" w:type="dxa"/>
            </w:tcMar>
            <w:vAlign w:val="center"/>
          </w:tcPr>
          <w:p w14:paraId="14E97031">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本期金额（元）</w:t>
            </w:r>
          </w:p>
        </w:tc>
        <w:tc>
          <w:tcPr>
            <w:tcW w:w="1078" w:type="pct"/>
            <w:shd w:val="clear" w:color="auto" w:fill="D8D8D8" w:themeFill="background1" w:themeFillShade="D9"/>
            <w:tcMar>
              <w:top w:w="0" w:type="dxa"/>
              <w:left w:w="113" w:type="dxa"/>
              <w:bottom w:w="0" w:type="dxa"/>
              <w:right w:w="113" w:type="dxa"/>
            </w:tcMar>
            <w:vAlign w:val="center"/>
          </w:tcPr>
          <w:p w14:paraId="0004435B">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上期金额（元）</w:t>
            </w:r>
          </w:p>
        </w:tc>
        <w:tc>
          <w:tcPr>
            <w:tcW w:w="2140" w:type="pct"/>
            <w:shd w:val="clear" w:color="auto" w:fill="D8D8D8" w:themeFill="background1" w:themeFillShade="D9"/>
            <w:tcMar>
              <w:top w:w="0" w:type="dxa"/>
              <w:left w:w="113" w:type="dxa"/>
              <w:bottom w:w="0" w:type="dxa"/>
              <w:right w:w="113" w:type="dxa"/>
            </w:tcMar>
            <w:vAlign w:val="center"/>
          </w:tcPr>
          <w:p w14:paraId="048EE580">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受限原因</w:t>
            </w:r>
          </w:p>
        </w:tc>
      </w:tr>
      <w:tr w14:paraId="20900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570" w:type="pct"/>
            <w:shd w:val="clear" w:color="auto" w:fill="D8D8D8" w:themeFill="background1" w:themeFillShade="D9"/>
            <w:tcMar>
              <w:top w:w="0" w:type="dxa"/>
              <w:left w:w="113" w:type="dxa"/>
              <w:bottom w:w="0" w:type="dxa"/>
              <w:right w:w="113" w:type="dxa"/>
            </w:tcMar>
            <w:vAlign w:val="center"/>
          </w:tcPr>
          <w:p w14:paraId="47E40213">
            <w:pPr>
              <w:pStyle w:val="10"/>
              <w:spacing w:before="0" w:beforeAutospacing="0" w:after="0" w:afterAutospacing="0"/>
              <w:jc w:val="center"/>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货币资金</w:t>
            </w:r>
          </w:p>
        </w:tc>
        <w:tc>
          <w:tcPr>
            <w:tcW w:w="1212" w:type="pct"/>
            <w:tcMar>
              <w:top w:w="0" w:type="dxa"/>
              <w:left w:w="113" w:type="dxa"/>
              <w:bottom w:w="0" w:type="dxa"/>
              <w:right w:w="113" w:type="dxa"/>
            </w:tcMar>
            <w:vAlign w:val="center"/>
          </w:tcPr>
          <w:p w14:paraId="3F07CC21">
            <w:pPr>
              <w:pStyle w:val="10"/>
              <w:spacing w:before="0" w:beforeAutospacing="0" w:after="0" w:afterAutospacing="0"/>
              <w:ind w:firstLine="36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62,901,653.46</w:t>
            </w:r>
          </w:p>
        </w:tc>
        <w:tc>
          <w:tcPr>
            <w:tcW w:w="1078" w:type="pct"/>
            <w:tcMar>
              <w:top w:w="0" w:type="dxa"/>
              <w:left w:w="113" w:type="dxa"/>
              <w:bottom w:w="0" w:type="dxa"/>
              <w:right w:w="113" w:type="dxa"/>
            </w:tcMar>
            <w:vAlign w:val="center"/>
          </w:tcPr>
          <w:p w14:paraId="7C4A25E6">
            <w:pPr>
              <w:pStyle w:val="10"/>
              <w:spacing w:before="0" w:beforeAutospacing="0" w:after="0" w:afterAutospacing="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292,172,477.31</w:t>
            </w:r>
          </w:p>
        </w:tc>
        <w:tc>
          <w:tcPr>
            <w:tcW w:w="2140" w:type="pct"/>
            <w:tcMar>
              <w:top w:w="0" w:type="dxa"/>
              <w:left w:w="113" w:type="dxa"/>
              <w:bottom w:w="0" w:type="dxa"/>
              <w:right w:w="113" w:type="dxa"/>
            </w:tcMar>
            <w:vAlign w:val="center"/>
          </w:tcPr>
          <w:p w14:paraId="21C419CE">
            <w:pPr>
              <w:pStyle w:val="10"/>
              <w:spacing w:before="0" w:beforeAutospacing="0" w:after="0" w:afterAutospacing="0"/>
              <w:jc w:val="center"/>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承兑保证金、保函保证金、质押存款、大额定期存单</w:t>
            </w:r>
          </w:p>
        </w:tc>
      </w:tr>
      <w:tr w14:paraId="000FF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570" w:type="pct"/>
            <w:shd w:val="clear" w:color="auto" w:fill="D8D8D8" w:themeFill="background1" w:themeFillShade="D9"/>
            <w:tcMar>
              <w:top w:w="0" w:type="dxa"/>
              <w:left w:w="113" w:type="dxa"/>
              <w:bottom w:w="0" w:type="dxa"/>
              <w:right w:w="113" w:type="dxa"/>
            </w:tcMar>
            <w:vAlign w:val="center"/>
          </w:tcPr>
          <w:p w14:paraId="54D5F4E5">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合计</w:t>
            </w:r>
          </w:p>
        </w:tc>
        <w:tc>
          <w:tcPr>
            <w:tcW w:w="1212" w:type="pct"/>
            <w:tcMar>
              <w:top w:w="0" w:type="dxa"/>
              <w:left w:w="113" w:type="dxa"/>
              <w:bottom w:w="0" w:type="dxa"/>
              <w:right w:w="113" w:type="dxa"/>
            </w:tcMar>
            <w:vAlign w:val="center"/>
          </w:tcPr>
          <w:p w14:paraId="52C77346">
            <w:pPr>
              <w:pStyle w:val="10"/>
              <w:spacing w:before="0" w:beforeAutospacing="0" w:after="0" w:afterAutospacing="0"/>
              <w:ind w:firstLine="361"/>
              <w:jc w:val="right"/>
              <w:textAlignment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62,901,653.46</w:t>
            </w:r>
          </w:p>
        </w:tc>
        <w:tc>
          <w:tcPr>
            <w:tcW w:w="1078" w:type="pct"/>
            <w:tcMar>
              <w:top w:w="0" w:type="dxa"/>
              <w:left w:w="113" w:type="dxa"/>
              <w:bottom w:w="0" w:type="dxa"/>
              <w:right w:w="113" w:type="dxa"/>
            </w:tcMar>
            <w:vAlign w:val="center"/>
          </w:tcPr>
          <w:p w14:paraId="696D0286">
            <w:pPr>
              <w:pStyle w:val="10"/>
              <w:spacing w:before="0" w:beforeAutospacing="0" w:after="0" w:afterAutospacing="0"/>
              <w:jc w:val="right"/>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292,172,477.31</w:t>
            </w:r>
          </w:p>
        </w:tc>
        <w:tc>
          <w:tcPr>
            <w:tcW w:w="2140" w:type="pct"/>
            <w:tcMar>
              <w:top w:w="0" w:type="dxa"/>
              <w:left w:w="113" w:type="dxa"/>
              <w:bottom w:w="0" w:type="dxa"/>
              <w:right w:w="113" w:type="dxa"/>
            </w:tcMar>
            <w:vAlign w:val="center"/>
          </w:tcPr>
          <w:p w14:paraId="79247B44">
            <w:pPr>
              <w:pStyle w:val="10"/>
              <w:spacing w:before="0" w:beforeAutospacing="0" w:after="0" w:afterAutospacing="0"/>
              <w:ind w:firstLine="361"/>
              <w:jc w:val="center"/>
              <w:rPr>
                <w:rFonts w:ascii="Times New Roman" w:hAnsi="Times New Roman" w:cs="Times New Roman" w:eastAsiaTheme="majorEastAsia"/>
                <w:sz w:val="18"/>
                <w:szCs w:val="21"/>
              </w:rPr>
            </w:pPr>
          </w:p>
        </w:tc>
      </w:tr>
    </w:tbl>
    <w:p w14:paraId="06D8FD68">
      <w:pPr>
        <w:rPr>
          <w:rFonts w:ascii="Times New Roman" w:hAnsi="Times New Roman" w:cs="Times New Roman" w:eastAsiaTheme="majorEastAsia"/>
          <w:sz w:val="24"/>
          <w:szCs w:val="24"/>
        </w:rPr>
      </w:pPr>
    </w:p>
    <w:p w14:paraId="511C4E97">
      <w:pPr>
        <w:pStyle w:val="2"/>
        <w:spacing w:before="300" w:after="300" w:line="320" w:lineRule="exact"/>
        <w:rPr>
          <w:rFonts w:ascii="Times New Roman" w:hAnsi="Times New Roman" w:cs="Times New Roman" w:eastAsiaTheme="majorEastAsia"/>
          <w:b/>
          <w:bCs/>
          <w:sz w:val="24"/>
          <w:szCs w:val="24"/>
        </w:rPr>
      </w:pPr>
      <w:bookmarkStart w:id="35" w:name="_Toc988924"/>
      <w:r>
        <w:rPr>
          <w:rFonts w:ascii="Times New Roman" w:hAnsi="Times New Roman" w:cs="Times New Roman" w:eastAsiaTheme="majorEastAsia"/>
          <w:b/>
          <w:bCs/>
          <w:sz w:val="24"/>
          <w:szCs w:val="24"/>
        </w:rPr>
        <w:t>七、投资状况分析</w:t>
      </w:r>
      <w:bookmarkEnd w:id="35"/>
    </w:p>
    <w:p w14:paraId="472E1BAC">
      <w:pPr>
        <w:pStyle w:val="3"/>
        <w:spacing w:line="280" w:lineRule="exact"/>
        <w:jc w:val="left"/>
        <w:rPr>
          <w:rFonts w:ascii="Times New Roman" w:hAnsi="Times New Roman" w:cs="Times New Roman" w:eastAsiaTheme="majorEastAsia"/>
          <w:b/>
          <w:bCs/>
        </w:rPr>
      </w:pPr>
      <w:bookmarkStart w:id="36" w:name="_Toc988925"/>
      <w:r>
        <w:rPr>
          <w:rFonts w:ascii="Times New Roman" w:hAnsi="Times New Roman" w:cs="Times New Roman" w:eastAsiaTheme="majorEastAsia"/>
          <w:b/>
          <w:bCs/>
        </w:rPr>
        <w:t>1、总体情况</w:t>
      </w:r>
      <w:bookmarkEnd w:id="36"/>
    </w:p>
    <w:p w14:paraId="6DCE838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510"/>
        <w:gridCol w:w="3060"/>
        <w:gridCol w:w="3283"/>
      </w:tblGrid>
      <w:tr w14:paraId="7045FD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781" w:type="pct"/>
            <w:tcBorders>
              <w:top w:val="single" w:color="auto" w:sz="2" w:space="0"/>
              <w:left w:val="single" w:color="auto" w:sz="2" w:space="0"/>
              <w:bottom w:val="single" w:color="auto" w:sz="2" w:space="0"/>
              <w:right w:val="single" w:color="auto" w:sz="2" w:space="0"/>
            </w:tcBorders>
            <w:shd w:val="clear" w:color="auto" w:fill="D3D3D3"/>
            <w:vAlign w:val="center"/>
          </w:tcPr>
          <w:p w14:paraId="6D64F0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报告期投资额（元）</w:t>
            </w:r>
          </w:p>
        </w:tc>
        <w:tc>
          <w:tcPr>
            <w:tcW w:w="1553" w:type="pct"/>
            <w:tcBorders>
              <w:top w:val="single" w:color="auto" w:sz="2" w:space="0"/>
              <w:left w:val="single" w:color="auto" w:sz="2" w:space="0"/>
              <w:bottom w:val="single" w:color="auto" w:sz="2" w:space="0"/>
              <w:right w:val="single" w:color="auto" w:sz="2" w:space="0"/>
            </w:tcBorders>
            <w:shd w:val="clear" w:color="auto" w:fill="D3D3D3"/>
            <w:vAlign w:val="center"/>
          </w:tcPr>
          <w:p w14:paraId="7D55EF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上年同期投资额（元）</w:t>
            </w:r>
          </w:p>
        </w:tc>
        <w:tc>
          <w:tcPr>
            <w:tcW w:w="1666" w:type="pct"/>
            <w:tcBorders>
              <w:top w:val="single" w:color="auto" w:sz="2" w:space="0"/>
              <w:left w:val="single" w:color="auto" w:sz="2" w:space="0"/>
              <w:bottom w:val="single" w:color="auto" w:sz="2" w:space="0"/>
              <w:right w:val="single" w:color="auto" w:sz="2" w:space="0"/>
            </w:tcBorders>
            <w:shd w:val="clear" w:color="auto" w:fill="D3D3D3"/>
            <w:vAlign w:val="center"/>
          </w:tcPr>
          <w:p w14:paraId="1D5790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变动幅度</w:t>
            </w:r>
          </w:p>
        </w:tc>
      </w:tr>
      <w:tr w14:paraId="3C383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781" w:type="pct"/>
            <w:tcBorders>
              <w:top w:val="single" w:color="auto" w:sz="2" w:space="0"/>
              <w:left w:val="single" w:color="auto" w:sz="2" w:space="0"/>
              <w:bottom w:val="single" w:color="auto" w:sz="2" w:space="0"/>
              <w:right w:val="single" w:color="auto" w:sz="2" w:space="0"/>
            </w:tcBorders>
            <w:vAlign w:val="center"/>
          </w:tcPr>
          <w:p w14:paraId="1D4565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377,534,898.25</w:t>
            </w:r>
          </w:p>
        </w:tc>
        <w:tc>
          <w:tcPr>
            <w:tcW w:w="1553" w:type="pct"/>
            <w:tcBorders>
              <w:top w:val="single" w:color="auto" w:sz="2" w:space="0"/>
              <w:left w:val="single" w:color="auto" w:sz="2" w:space="0"/>
              <w:bottom w:val="single" w:color="auto" w:sz="2" w:space="0"/>
              <w:right w:val="single" w:color="auto" w:sz="2" w:space="0"/>
            </w:tcBorders>
            <w:vAlign w:val="center"/>
          </w:tcPr>
          <w:p w14:paraId="06720E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354,559,473.00</w:t>
            </w:r>
          </w:p>
        </w:tc>
        <w:tc>
          <w:tcPr>
            <w:tcW w:w="1666" w:type="pct"/>
            <w:tcBorders>
              <w:top w:val="single" w:color="auto" w:sz="2" w:space="0"/>
              <w:left w:val="single" w:color="auto" w:sz="2" w:space="0"/>
              <w:bottom w:val="single" w:color="auto" w:sz="2" w:space="0"/>
              <w:right w:val="single" w:color="auto" w:sz="2" w:space="0"/>
            </w:tcBorders>
            <w:vAlign w:val="center"/>
          </w:tcPr>
          <w:p w14:paraId="794627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6.48%</w:t>
            </w:r>
          </w:p>
        </w:tc>
      </w:tr>
    </w:tbl>
    <w:p w14:paraId="13AD741C">
      <w:pPr>
        <w:pStyle w:val="3"/>
        <w:spacing w:line="280" w:lineRule="exact"/>
        <w:jc w:val="left"/>
        <w:rPr>
          <w:rFonts w:ascii="Times New Roman" w:hAnsi="Times New Roman" w:cs="Times New Roman" w:eastAsiaTheme="majorEastAsia"/>
          <w:b/>
          <w:bCs/>
        </w:rPr>
      </w:pPr>
      <w:bookmarkStart w:id="37" w:name="_Toc988926"/>
      <w:r>
        <w:rPr>
          <w:rFonts w:ascii="Times New Roman" w:hAnsi="Times New Roman" w:cs="Times New Roman" w:eastAsiaTheme="majorEastAsia"/>
          <w:b/>
          <w:bCs/>
        </w:rPr>
        <w:t>2、报告期内获取的重大的股权投资情况</w:t>
      </w:r>
      <w:bookmarkEnd w:id="37"/>
    </w:p>
    <w:p w14:paraId="294A30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65DED5A">
      <w:pPr>
        <w:pStyle w:val="3"/>
        <w:spacing w:line="280" w:lineRule="exact"/>
        <w:jc w:val="left"/>
        <w:rPr>
          <w:rFonts w:ascii="Times New Roman" w:hAnsi="Times New Roman" w:cs="Times New Roman" w:eastAsiaTheme="majorEastAsia"/>
          <w:b/>
          <w:bCs/>
        </w:rPr>
      </w:pPr>
      <w:bookmarkStart w:id="38" w:name="_Toc988927"/>
      <w:r>
        <w:rPr>
          <w:rFonts w:ascii="Times New Roman" w:hAnsi="Times New Roman" w:cs="Times New Roman" w:eastAsiaTheme="majorEastAsia"/>
          <w:b/>
          <w:bCs/>
        </w:rPr>
        <w:t>3、报告期内正在进行的重大的非股权投资情况</w:t>
      </w:r>
      <w:bookmarkEnd w:id="38"/>
    </w:p>
    <w:p w14:paraId="0EB4B28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7AF7CD13">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88"/>
        <w:gridCol w:w="588"/>
        <w:gridCol w:w="587"/>
        <w:gridCol w:w="613"/>
        <w:gridCol w:w="709"/>
        <w:gridCol w:w="709"/>
        <w:gridCol w:w="1277"/>
        <w:gridCol w:w="849"/>
        <w:gridCol w:w="709"/>
        <w:gridCol w:w="709"/>
        <w:gridCol w:w="1133"/>
        <w:gridCol w:w="745"/>
        <w:gridCol w:w="637"/>
      </w:tblGrid>
      <w:tr w14:paraId="59FB8F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2CC35D0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745A09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投资方式</w:t>
            </w:r>
          </w:p>
        </w:tc>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417D8E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是否为固定资产投资</w:t>
            </w:r>
          </w:p>
        </w:tc>
        <w:tc>
          <w:tcPr>
            <w:tcW w:w="311" w:type="pct"/>
            <w:tcBorders>
              <w:top w:val="single" w:color="auto" w:sz="2" w:space="0"/>
              <w:left w:val="single" w:color="auto" w:sz="2" w:space="0"/>
              <w:bottom w:val="single" w:color="auto" w:sz="2" w:space="0"/>
              <w:right w:val="single" w:color="auto" w:sz="2" w:space="0"/>
            </w:tcBorders>
            <w:shd w:val="clear" w:color="auto" w:fill="D3D3D3"/>
            <w:vAlign w:val="center"/>
          </w:tcPr>
          <w:p w14:paraId="0C5206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投资项目涉及行业</w:t>
            </w:r>
          </w:p>
        </w:tc>
        <w:tc>
          <w:tcPr>
            <w:tcW w:w="360" w:type="pct"/>
            <w:tcBorders>
              <w:top w:val="single" w:color="auto" w:sz="2" w:space="0"/>
              <w:left w:val="single" w:color="auto" w:sz="2" w:space="0"/>
              <w:bottom w:val="single" w:color="auto" w:sz="2" w:space="0"/>
              <w:right w:val="single" w:color="auto" w:sz="2" w:space="0"/>
            </w:tcBorders>
            <w:shd w:val="clear" w:color="auto" w:fill="D3D3D3"/>
            <w:vAlign w:val="center"/>
          </w:tcPr>
          <w:p w14:paraId="689BCC4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本报告期投入金额</w:t>
            </w:r>
          </w:p>
        </w:tc>
        <w:tc>
          <w:tcPr>
            <w:tcW w:w="360" w:type="pct"/>
            <w:tcBorders>
              <w:top w:val="single" w:color="auto" w:sz="2" w:space="0"/>
              <w:left w:val="single" w:color="auto" w:sz="2" w:space="0"/>
              <w:bottom w:val="single" w:color="auto" w:sz="2" w:space="0"/>
              <w:right w:val="single" w:color="auto" w:sz="2" w:space="0"/>
            </w:tcBorders>
            <w:shd w:val="clear" w:color="auto" w:fill="D3D3D3"/>
            <w:vAlign w:val="center"/>
          </w:tcPr>
          <w:p w14:paraId="78C9DF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截至报告期末累计实际投入金额</w:t>
            </w:r>
          </w:p>
        </w:tc>
        <w:tc>
          <w:tcPr>
            <w:tcW w:w="648" w:type="pct"/>
            <w:tcBorders>
              <w:top w:val="single" w:color="auto" w:sz="2" w:space="0"/>
              <w:left w:val="single" w:color="auto" w:sz="2" w:space="0"/>
              <w:bottom w:val="single" w:color="auto" w:sz="2" w:space="0"/>
              <w:right w:val="single" w:color="auto" w:sz="2" w:space="0"/>
            </w:tcBorders>
            <w:shd w:val="clear" w:color="auto" w:fill="D3D3D3"/>
            <w:vAlign w:val="center"/>
          </w:tcPr>
          <w:p w14:paraId="4D9D71D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资金来源</w:t>
            </w:r>
          </w:p>
        </w:tc>
        <w:tc>
          <w:tcPr>
            <w:tcW w:w="431" w:type="pct"/>
            <w:tcBorders>
              <w:top w:val="single" w:color="auto" w:sz="2" w:space="0"/>
              <w:left w:val="single" w:color="auto" w:sz="2" w:space="0"/>
              <w:bottom w:val="single" w:color="auto" w:sz="2" w:space="0"/>
              <w:right w:val="single" w:color="auto" w:sz="2" w:space="0"/>
            </w:tcBorders>
            <w:shd w:val="clear" w:color="auto" w:fill="D3D3D3"/>
            <w:vAlign w:val="center"/>
          </w:tcPr>
          <w:p w14:paraId="1F9D5F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项目进度</w:t>
            </w:r>
          </w:p>
        </w:tc>
        <w:tc>
          <w:tcPr>
            <w:tcW w:w="360" w:type="pct"/>
            <w:tcBorders>
              <w:top w:val="single" w:color="auto" w:sz="2" w:space="0"/>
              <w:left w:val="single" w:color="auto" w:sz="2" w:space="0"/>
              <w:bottom w:val="single" w:color="auto" w:sz="2" w:space="0"/>
              <w:right w:val="single" w:color="auto" w:sz="2" w:space="0"/>
            </w:tcBorders>
            <w:shd w:val="clear" w:color="auto" w:fill="D3D3D3"/>
            <w:vAlign w:val="center"/>
          </w:tcPr>
          <w:p w14:paraId="691F9A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预计收益</w:t>
            </w:r>
          </w:p>
        </w:tc>
        <w:tc>
          <w:tcPr>
            <w:tcW w:w="360" w:type="pct"/>
            <w:tcBorders>
              <w:top w:val="single" w:color="auto" w:sz="2" w:space="0"/>
              <w:left w:val="single" w:color="auto" w:sz="2" w:space="0"/>
              <w:bottom w:val="single" w:color="auto" w:sz="2" w:space="0"/>
              <w:right w:val="single" w:color="auto" w:sz="2" w:space="0"/>
            </w:tcBorders>
            <w:shd w:val="clear" w:color="auto" w:fill="D3D3D3"/>
            <w:vAlign w:val="center"/>
          </w:tcPr>
          <w:p w14:paraId="126410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截止报告期末累计实现的收益</w:t>
            </w:r>
          </w:p>
        </w:tc>
        <w:tc>
          <w:tcPr>
            <w:tcW w:w="575" w:type="pct"/>
            <w:tcBorders>
              <w:top w:val="single" w:color="auto" w:sz="2" w:space="0"/>
              <w:left w:val="single" w:color="auto" w:sz="2" w:space="0"/>
              <w:bottom w:val="single" w:color="auto" w:sz="2" w:space="0"/>
              <w:right w:val="single" w:color="auto" w:sz="2" w:space="0"/>
            </w:tcBorders>
            <w:shd w:val="clear" w:color="auto" w:fill="D3D3D3"/>
            <w:vAlign w:val="center"/>
          </w:tcPr>
          <w:p w14:paraId="10F37B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未达到计划进度和预计收益的原因</w:t>
            </w:r>
          </w:p>
        </w:tc>
        <w:tc>
          <w:tcPr>
            <w:tcW w:w="378" w:type="pct"/>
            <w:tcBorders>
              <w:top w:val="single" w:color="auto" w:sz="2" w:space="0"/>
              <w:left w:val="single" w:color="auto" w:sz="2" w:space="0"/>
              <w:bottom w:val="single" w:color="auto" w:sz="2" w:space="0"/>
              <w:right w:val="single" w:color="auto" w:sz="2" w:space="0"/>
            </w:tcBorders>
            <w:shd w:val="clear" w:color="auto" w:fill="D3D3D3"/>
            <w:vAlign w:val="center"/>
          </w:tcPr>
          <w:p w14:paraId="7CBE27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披露日期（如有）</w:t>
            </w:r>
          </w:p>
        </w:tc>
        <w:tc>
          <w:tcPr>
            <w:tcW w:w="323" w:type="pct"/>
            <w:tcBorders>
              <w:top w:val="single" w:color="auto" w:sz="2" w:space="0"/>
              <w:left w:val="single" w:color="auto" w:sz="2" w:space="0"/>
              <w:bottom w:val="single" w:color="auto" w:sz="2" w:space="0"/>
              <w:right w:val="single" w:color="auto" w:sz="2" w:space="0"/>
            </w:tcBorders>
            <w:shd w:val="clear" w:color="auto" w:fill="D3D3D3"/>
            <w:vAlign w:val="center"/>
          </w:tcPr>
          <w:p w14:paraId="273A268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披露索引（如有）</w:t>
            </w:r>
          </w:p>
        </w:tc>
      </w:tr>
      <w:tr w14:paraId="6C633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98" w:type="pct"/>
            <w:tcBorders>
              <w:top w:val="single" w:color="auto" w:sz="2" w:space="0"/>
              <w:left w:val="single" w:color="auto" w:sz="2" w:space="0"/>
              <w:bottom w:val="single" w:color="auto" w:sz="2" w:space="0"/>
              <w:right w:val="single" w:color="auto" w:sz="2" w:space="0"/>
            </w:tcBorders>
            <w:vAlign w:val="center"/>
          </w:tcPr>
          <w:p w14:paraId="3F47BE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算力集群服务项目</w:t>
            </w:r>
          </w:p>
        </w:tc>
        <w:tc>
          <w:tcPr>
            <w:tcW w:w="298" w:type="pct"/>
            <w:tcBorders>
              <w:top w:val="single" w:color="auto" w:sz="2" w:space="0"/>
              <w:left w:val="single" w:color="auto" w:sz="2" w:space="0"/>
              <w:bottom w:val="single" w:color="auto" w:sz="2" w:space="0"/>
              <w:right w:val="single" w:color="auto" w:sz="2" w:space="0"/>
            </w:tcBorders>
            <w:vAlign w:val="center"/>
          </w:tcPr>
          <w:p w14:paraId="4FE09D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自建</w:t>
            </w:r>
          </w:p>
        </w:tc>
        <w:tc>
          <w:tcPr>
            <w:tcW w:w="298" w:type="pct"/>
            <w:tcBorders>
              <w:top w:val="single" w:color="auto" w:sz="2" w:space="0"/>
              <w:left w:val="single" w:color="auto" w:sz="2" w:space="0"/>
              <w:bottom w:val="single" w:color="auto" w:sz="2" w:space="0"/>
              <w:right w:val="single" w:color="auto" w:sz="2" w:space="0"/>
            </w:tcBorders>
            <w:vAlign w:val="center"/>
          </w:tcPr>
          <w:p w14:paraId="0D783A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311" w:type="pct"/>
            <w:tcBorders>
              <w:top w:val="single" w:color="auto" w:sz="2" w:space="0"/>
              <w:left w:val="single" w:color="auto" w:sz="2" w:space="0"/>
              <w:bottom w:val="single" w:color="auto" w:sz="2" w:space="0"/>
              <w:right w:val="single" w:color="auto" w:sz="2" w:space="0"/>
            </w:tcBorders>
            <w:vAlign w:val="center"/>
          </w:tcPr>
          <w:p w14:paraId="2BF94B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软件与信息技术服务业</w:t>
            </w:r>
          </w:p>
        </w:tc>
        <w:tc>
          <w:tcPr>
            <w:tcW w:w="360" w:type="pct"/>
            <w:tcBorders>
              <w:top w:val="single" w:color="auto" w:sz="2" w:space="0"/>
              <w:left w:val="single" w:color="auto" w:sz="2" w:space="0"/>
              <w:bottom w:val="single" w:color="auto" w:sz="2" w:space="0"/>
              <w:right w:val="single" w:color="auto" w:sz="2" w:space="0"/>
            </w:tcBorders>
            <w:vAlign w:val="center"/>
          </w:tcPr>
          <w:p w14:paraId="642D70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99,780,000.00</w:t>
            </w:r>
          </w:p>
        </w:tc>
        <w:tc>
          <w:tcPr>
            <w:tcW w:w="360" w:type="pct"/>
            <w:tcBorders>
              <w:top w:val="single" w:color="auto" w:sz="2" w:space="0"/>
              <w:left w:val="single" w:color="auto" w:sz="2" w:space="0"/>
              <w:bottom w:val="single" w:color="auto" w:sz="2" w:space="0"/>
              <w:right w:val="single" w:color="auto" w:sz="2" w:space="0"/>
            </w:tcBorders>
            <w:vAlign w:val="center"/>
          </w:tcPr>
          <w:p w14:paraId="6EF8FF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99,780,000.00</w:t>
            </w:r>
          </w:p>
        </w:tc>
        <w:tc>
          <w:tcPr>
            <w:tcW w:w="648" w:type="pct"/>
            <w:tcBorders>
              <w:top w:val="single" w:color="auto" w:sz="2" w:space="0"/>
              <w:left w:val="single" w:color="auto" w:sz="2" w:space="0"/>
              <w:bottom w:val="single" w:color="auto" w:sz="2" w:space="0"/>
              <w:right w:val="single" w:color="auto" w:sz="2" w:space="0"/>
            </w:tcBorders>
            <w:vAlign w:val="center"/>
          </w:tcPr>
          <w:p w14:paraId="0B85956F">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募集资金、</w:t>
            </w:r>
            <w:r>
              <w:rPr>
                <w:rFonts w:ascii="Times New Roman" w:hAnsi="Times New Roman" w:cs="Times New Roman" w:eastAsiaTheme="majorEastAsia"/>
                <w:sz w:val="18"/>
                <w:szCs w:val="18"/>
              </w:rPr>
              <w:t>自筹资金</w:t>
            </w:r>
          </w:p>
        </w:tc>
        <w:tc>
          <w:tcPr>
            <w:tcW w:w="431" w:type="pct"/>
            <w:tcBorders>
              <w:top w:val="single" w:color="auto" w:sz="2" w:space="0"/>
              <w:left w:val="single" w:color="auto" w:sz="2" w:space="0"/>
              <w:bottom w:val="single" w:color="auto" w:sz="2" w:space="0"/>
              <w:right w:val="single" w:color="auto" w:sz="2" w:space="0"/>
            </w:tcBorders>
            <w:vAlign w:val="center"/>
          </w:tcPr>
          <w:p w14:paraId="24E49E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86.49%</w:t>
            </w:r>
          </w:p>
        </w:tc>
        <w:tc>
          <w:tcPr>
            <w:tcW w:w="360" w:type="pct"/>
            <w:tcBorders>
              <w:top w:val="single" w:color="auto" w:sz="2" w:space="0"/>
              <w:left w:val="single" w:color="auto" w:sz="2" w:space="0"/>
              <w:bottom w:val="single" w:color="auto" w:sz="2" w:space="0"/>
              <w:right w:val="single" w:color="auto" w:sz="2" w:space="0"/>
            </w:tcBorders>
            <w:vAlign w:val="center"/>
          </w:tcPr>
          <w:p w14:paraId="27DCAA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45,630,000.00</w:t>
            </w:r>
          </w:p>
        </w:tc>
        <w:tc>
          <w:tcPr>
            <w:tcW w:w="360" w:type="pct"/>
            <w:tcBorders>
              <w:top w:val="single" w:color="auto" w:sz="2" w:space="0"/>
              <w:left w:val="single" w:color="auto" w:sz="2" w:space="0"/>
              <w:bottom w:val="single" w:color="auto" w:sz="2" w:space="0"/>
              <w:right w:val="single" w:color="auto" w:sz="2" w:space="0"/>
            </w:tcBorders>
            <w:vAlign w:val="center"/>
          </w:tcPr>
          <w:p w14:paraId="79F760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575" w:type="pct"/>
            <w:tcBorders>
              <w:top w:val="single" w:color="auto" w:sz="2" w:space="0"/>
              <w:left w:val="single" w:color="auto" w:sz="2" w:space="0"/>
              <w:bottom w:val="single" w:color="auto" w:sz="2" w:space="0"/>
              <w:right w:val="single" w:color="auto" w:sz="2" w:space="0"/>
            </w:tcBorders>
            <w:vAlign w:val="center"/>
          </w:tcPr>
          <w:p w14:paraId="062595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服务器及组网设备到位,设备款70%于2025年1月支付完成；经调试及试运行后2025年2月正式投入运营。</w:t>
            </w:r>
          </w:p>
        </w:tc>
        <w:tc>
          <w:tcPr>
            <w:tcW w:w="378" w:type="pct"/>
            <w:tcBorders>
              <w:top w:val="single" w:color="auto" w:sz="2" w:space="0"/>
              <w:left w:val="single" w:color="auto" w:sz="2" w:space="0"/>
              <w:bottom w:val="single" w:color="auto" w:sz="2" w:space="0"/>
              <w:right w:val="single" w:color="auto" w:sz="2" w:space="0"/>
            </w:tcBorders>
            <w:vAlign w:val="center"/>
          </w:tcPr>
          <w:p w14:paraId="70562A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2024年12月12日</w:t>
            </w:r>
          </w:p>
        </w:tc>
        <w:tc>
          <w:tcPr>
            <w:tcW w:w="323" w:type="pct"/>
            <w:tcBorders>
              <w:top w:val="single" w:color="auto" w:sz="2" w:space="0"/>
              <w:left w:val="single" w:color="auto" w:sz="2" w:space="0"/>
              <w:bottom w:val="single" w:color="auto" w:sz="2" w:space="0"/>
              <w:right w:val="single" w:color="auto" w:sz="2" w:space="0"/>
            </w:tcBorders>
            <w:vAlign w:val="center"/>
          </w:tcPr>
          <w:p w14:paraId="500EB6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公告编号：202</w:t>
            </w:r>
            <w:r>
              <w:rPr>
                <w:rFonts w:hint="eastAsia" w:ascii="Times New Roman" w:hAnsi="Times New Roman" w:cs="Times New Roman" w:eastAsiaTheme="majorEastAsia"/>
                <w:sz w:val="18"/>
                <w:szCs w:val="18"/>
              </w:rPr>
              <w:t>4</w:t>
            </w:r>
            <w:r>
              <w:rPr>
                <w:rFonts w:ascii="Times New Roman" w:hAnsi="Times New Roman" w:cs="Times New Roman" w:eastAsiaTheme="majorEastAsia"/>
                <w:sz w:val="18"/>
                <w:szCs w:val="18"/>
              </w:rPr>
              <w:t>-0</w:t>
            </w:r>
            <w:r>
              <w:rPr>
                <w:rFonts w:hint="eastAsia" w:ascii="Times New Roman" w:hAnsi="Times New Roman" w:cs="Times New Roman" w:eastAsiaTheme="majorEastAsia"/>
                <w:sz w:val="18"/>
                <w:szCs w:val="18"/>
              </w:rPr>
              <w:t>90</w:t>
            </w:r>
          </w:p>
        </w:tc>
      </w:tr>
      <w:tr w14:paraId="226FF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1DEAA51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48DA19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98" w:type="pct"/>
            <w:tcBorders>
              <w:top w:val="single" w:color="auto" w:sz="2" w:space="0"/>
              <w:left w:val="single" w:color="auto" w:sz="2" w:space="0"/>
              <w:bottom w:val="single" w:color="auto" w:sz="2" w:space="0"/>
              <w:right w:val="single" w:color="auto" w:sz="2" w:space="0"/>
            </w:tcBorders>
            <w:shd w:val="clear" w:color="auto" w:fill="D3D3D3"/>
            <w:vAlign w:val="center"/>
          </w:tcPr>
          <w:p w14:paraId="04CDEF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11" w:type="pct"/>
            <w:tcBorders>
              <w:top w:val="single" w:color="auto" w:sz="2" w:space="0"/>
              <w:left w:val="single" w:color="auto" w:sz="2" w:space="0"/>
              <w:bottom w:val="single" w:color="auto" w:sz="2" w:space="0"/>
              <w:right w:val="single" w:color="auto" w:sz="2" w:space="0"/>
            </w:tcBorders>
            <w:shd w:val="clear" w:color="auto" w:fill="D3D3D3"/>
            <w:vAlign w:val="center"/>
          </w:tcPr>
          <w:p w14:paraId="498B75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60" w:type="pct"/>
            <w:tcBorders>
              <w:top w:val="single" w:color="auto" w:sz="2" w:space="0"/>
              <w:left w:val="single" w:color="auto" w:sz="2" w:space="0"/>
              <w:bottom w:val="single" w:color="auto" w:sz="2" w:space="0"/>
              <w:right w:val="single" w:color="auto" w:sz="2" w:space="0"/>
            </w:tcBorders>
            <w:vAlign w:val="center"/>
          </w:tcPr>
          <w:p w14:paraId="22A661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99,780,000.00</w:t>
            </w:r>
          </w:p>
        </w:tc>
        <w:tc>
          <w:tcPr>
            <w:tcW w:w="360" w:type="pct"/>
            <w:tcBorders>
              <w:top w:val="single" w:color="auto" w:sz="2" w:space="0"/>
              <w:left w:val="single" w:color="auto" w:sz="2" w:space="0"/>
              <w:bottom w:val="single" w:color="auto" w:sz="2" w:space="0"/>
              <w:right w:val="single" w:color="auto" w:sz="2" w:space="0"/>
            </w:tcBorders>
            <w:vAlign w:val="center"/>
          </w:tcPr>
          <w:p w14:paraId="4B1C05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99,780,000.00</w:t>
            </w:r>
          </w:p>
        </w:tc>
        <w:tc>
          <w:tcPr>
            <w:tcW w:w="648" w:type="pct"/>
            <w:tcBorders>
              <w:top w:val="single" w:color="auto" w:sz="2" w:space="0"/>
              <w:left w:val="single" w:color="auto" w:sz="2" w:space="0"/>
              <w:bottom w:val="single" w:color="auto" w:sz="2" w:space="0"/>
              <w:right w:val="single" w:color="auto" w:sz="2" w:space="0"/>
            </w:tcBorders>
            <w:shd w:val="clear" w:color="auto" w:fill="D3D3D3"/>
            <w:vAlign w:val="center"/>
          </w:tcPr>
          <w:p w14:paraId="5B54CAD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431" w:type="pct"/>
            <w:tcBorders>
              <w:top w:val="single" w:color="auto" w:sz="2" w:space="0"/>
              <w:left w:val="single" w:color="auto" w:sz="2" w:space="0"/>
              <w:bottom w:val="single" w:color="auto" w:sz="2" w:space="0"/>
              <w:right w:val="single" w:color="auto" w:sz="2" w:space="0"/>
            </w:tcBorders>
            <w:shd w:val="clear" w:color="auto" w:fill="D3D3D3"/>
            <w:vAlign w:val="center"/>
          </w:tcPr>
          <w:p w14:paraId="773506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60" w:type="pct"/>
            <w:tcBorders>
              <w:top w:val="single" w:color="auto" w:sz="2" w:space="0"/>
              <w:left w:val="single" w:color="auto" w:sz="2" w:space="0"/>
              <w:bottom w:val="single" w:color="auto" w:sz="2" w:space="0"/>
              <w:right w:val="single" w:color="auto" w:sz="2" w:space="0"/>
            </w:tcBorders>
            <w:vAlign w:val="center"/>
          </w:tcPr>
          <w:p w14:paraId="4C1DC7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45,630,000.00</w:t>
            </w:r>
          </w:p>
        </w:tc>
        <w:tc>
          <w:tcPr>
            <w:tcW w:w="360" w:type="pct"/>
            <w:tcBorders>
              <w:top w:val="single" w:color="auto" w:sz="2" w:space="0"/>
              <w:left w:val="single" w:color="auto" w:sz="2" w:space="0"/>
              <w:bottom w:val="single" w:color="auto" w:sz="2" w:space="0"/>
              <w:right w:val="single" w:color="auto" w:sz="2" w:space="0"/>
            </w:tcBorders>
            <w:vAlign w:val="center"/>
          </w:tcPr>
          <w:p w14:paraId="0311F5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575" w:type="pct"/>
            <w:tcBorders>
              <w:top w:val="single" w:color="auto" w:sz="2" w:space="0"/>
              <w:left w:val="single" w:color="auto" w:sz="2" w:space="0"/>
              <w:bottom w:val="single" w:color="auto" w:sz="2" w:space="0"/>
              <w:right w:val="single" w:color="auto" w:sz="2" w:space="0"/>
            </w:tcBorders>
            <w:shd w:val="clear" w:color="auto" w:fill="D3D3D3"/>
            <w:vAlign w:val="center"/>
          </w:tcPr>
          <w:p w14:paraId="3195D8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78" w:type="pct"/>
            <w:tcBorders>
              <w:top w:val="single" w:color="auto" w:sz="2" w:space="0"/>
              <w:left w:val="single" w:color="auto" w:sz="2" w:space="0"/>
              <w:bottom w:val="single" w:color="auto" w:sz="2" w:space="0"/>
              <w:right w:val="single" w:color="auto" w:sz="2" w:space="0"/>
            </w:tcBorders>
            <w:shd w:val="clear" w:color="auto" w:fill="D3D3D3"/>
            <w:vAlign w:val="center"/>
          </w:tcPr>
          <w:p w14:paraId="0C493E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23" w:type="pct"/>
            <w:tcBorders>
              <w:top w:val="single" w:color="auto" w:sz="2" w:space="0"/>
              <w:left w:val="single" w:color="auto" w:sz="2" w:space="0"/>
              <w:bottom w:val="single" w:color="auto" w:sz="2" w:space="0"/>
              <w:right w:val="single" w:color="auto" w:sz="2" w:space="0"/>
            </w:tcBorders>
            <w:shd w:val="clear" w:color="auto" w:fill="D3D3D3"/>
            <w:vAlign w:val="center"/>
          </w:tcPr>
          <w:p w14:paraId="7843DA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3A8A8D43">
      <w:pPr>
        <w:pStyle w:val="3"/>
        <w:spacing w:line="280" w:lineRule="exact"/>
        <w:jc w:val="left"/>
        <w:rPr>
          <w:rFonts w:ascii="Times New Roman" w:hAnsi="Times New Roman" w:cs="Times New Roman" w:eastAsiaTheme="majorEastAsia"/>
          <w:b/>
          <w:bCs/>
        </w:rPr>
      </w:pPr>
      <w:bookmarkStart w:id="39" w:name="_Toc988928"/>
      <w:r>
        <w:rPr>
          <w:rFonts w:ascii="Times New Roman" w:hAnsi="Times New Roman" w:cs="Times New Roman" w:eastAsiaTheme="majorEastAsia"/>
          <w:b/>
          <w:bCs/>
        </w:rPr>
        <w:t>4、金融资产投资</w:t>
      </w:r>
      <w:bookmarkEnd w:id="39"/>
    </w:p>
    <w:p w14:paraId="2EF25C1F">
      <w:pPr>
        <w:keepNext/>
        <w:keepLines/>
        <w:spacing w:before="300" w:after="300" w:line="280" w:lineRule="exact"/>
        <w:outlineLvl w:val="3"/>
        <w:rPr>
          <w:rFonts w:ascii="Times New Roman" w:hAnsi="Times New Roman" w:cs="Times New Roman" w:eastAsiaTheme="majorEastAsia"/>
          <w:b/>
          <w:bCs/>
          <w:sz w:val="18"/>
          <w:szCs w:val="18"/>
        </w:rPr>
      </w:pPr>
      <w:bookmarkStart w:id="40" w:name="_Toc988929"/>
      <w:r>
        <w:rPr>
          <w:rFonts w:ascii="Times New Roman" w:hAnsi="Times New Roman" w:cs="Times New Roman" w:eastAsiaTheme="majorEastAsia"/>
          <w:b/>
          <w:bCs/>
          <w:sz w:val="18"/>
          <w:szCs w:val="18"/>
        </w:rPr>
        <w:t>（1） 证券投资情况</w:t>
      </w:r>
      <w:bookmarkEnd w:id="40"/>
    </w:p>
    <w:p w14:paraId="2F8B8EE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8FBFA3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公司报告期不存在证券投资。</w:t>
      </w:r>
    </w:p>
    <w:p w14:paraId="45D6A070">
      <w:pPr>
        <w:keepNext/>
        <w:keepLines/>
        <w:spacing w:before="300" w:after="300" w:line="280" w:lineRule="exact"/>
        <w:outlineLvl w:val="3"/>
        <w:rPr>
          <w:rFonts w:ascii="Times New Roman" w:hAnsi="Times New Roman" w:cs="Times New Roman" w:eastAsiaTheme="majorEastAsia"/>
          <w:b/>
          <w:bCs/>
          <w:sz w:val="18"/>
          <w:szCs w:val="18"/>
        </w:rPr>
      </w:pPr>
      <w:bookmarkStart w:id="41" w:name="_Toc988930"/>
      <w:r>
        <w:rPr>
          <w:rFonts w:ascii="Times New Roman" w:hAnsi="Times New Roman" w:cs="Times New Roman" w:eastAsiaTheme="majorEastAsia"/>
          <w:b/>
          <w:bCs/>
          <w:sz w:val="18"/>
          <w:szCs w:val="18"/>
        </w:rPr>
        <w:t>（2） 衍生品投资情况</w:t>
      </w:r>
      <w:bookmarkEnd w:id="41"/>
    </w:p>
    <w:p w14:paraId="60F11B7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ADFBDD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公司报告期不存在衍生品投资。</w:t>
      </w:r>
    </w:p>
    <w:p w14:paraId="18261C5E">
      <w:pPr>
        <w:pStyle w:val="3"/>
        <w:spacing w:line="280" w:lineRule="exact"/>
        <w:jc w:val="left"/>
        <w:rPr>
          <w:rFonts w:ascii="Times New Roman" w:hAnsi="Times New Roman" w:cs="Times New Roman" w:eastAsiaTheme="majorEastAsia"/>
          <w:b/>
          <w:bCs/>
        </w:rPr>
        <w:sectPr>
          <w:headerReference r:id="rId3" w:type="default"/>
          <w:footerReference r:id="rId4" w:type="default"/>
          <w:pgSz w:w="11905" w:h="16840"/>
          <w:pgMar w:top="1440" w:right="1134" w:bottom="1440" w:left="1134" w:header="850" w:footer="992" w:gutter="0"/>
          <w:cols w:space="720" w:num="1"/>
          <w:docGrid w:type="linesAndChars" w:linePitch="312" w:charSpace="0"/>
        </w:sectPr>
      </w:pPr>
      <w:bookmarkStart w:id="42" w:name="_Toc988931"/>
    </w:p>
    <w:p w14:paraId="640AB3D0">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5、募集资金使用情况</w:t>
      </w:r>
      <w:bookmarkEnd w:id="42"/>
    </w:p>
    <w:p w14:paraId="1A7A8B0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28E1F7DB">
      <w:pPr>
        <w:keepNext/>
        <w:keepLines/>
        <w:spacing w:before="300" w:after="300" w:line="280" w:lineRule="exact"/>
        <w:outlineLvl w:val="3"/>
        <w:rPr>
          <w:rFonts w:ascii="Times New Roman" w:hAnsi="Times New Roman" w:cs="Times New Roman" w:eastAsiaTheme="majorEastAsia"/>
          <w:b/>
          <w:bCs/>
          <w:sz w:val="18"/>
          <w:szCs w:val="18"/>
        </w:rPr>
      </w:pPr>
      <w:bookmarkStart w:id="43" w:name="_Toc988932"/>
      <w:r>
        <w:rPr>
          <w:rFonts w:ascii="Times New Roman" w:hAnsi="Times New Roman" w:cs="Times New Roman" w:eastAsiaTheme="majorEastAsia"/>
          <w:b/>
          <w:bCs/>
          <w:sz w:val="18"/>
          <w:szCs w:val="18"/>
        </w:rPr>
        <w:t>（1） 募集资金总体使用情况</w:t>
      </w:r>
      <w:bookmarkEnd w:id="43"/>
    </w:p>
    <w:p w14:paraId="3A0CF63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1FFA92A5">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12"/>
        <w:gridCol w:w="488"/>
        <w:gridCol w:w="688"/>
        <w:gridCol w:w="967"/>
        <w:gridCol w:w="1019"/>
        <w:gridCol w:w="1065"/>
        <w:gridCol w:w="1030"/>
        <w:gridCol w:w="1088"/>
        <w:gridCol w:w="931"/>
        <w:gridCol w:w="1101"/>
        <w:gridCol w:w="990"/>
        <w:gridCol w:w="1046"/>
        <w:gridCol w:w="2270"/>
        <w:gridCol w:w="881"/>
      </w:tblGrid>
      <w:tr w14:paraId="6908F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2FFD2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募集年份</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6B3E9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募集方式</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082F3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证券上市日期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F0AC3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募集资金总额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08CC1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募集资金净额（1）</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BBB84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本期已使用募集资金总额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39BC4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已累计使用募集资金总额（2）</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CA0E2B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报告期末募集资金使用比例（3）=（2）/（1）</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AD26B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报告期内变更用途的募集资金总额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3DD5F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累计变更用途的募集资金总额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679CF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累计变更用途的募集资金总额比例</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2C7C9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尚未使用募集资金总额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DB46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尚未使用募集资金用途及去向</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259CB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闲置两年以上募集资金金额</w:t>
            </w:r>
          </w:p>
        </w:tc>
      </w:tr>
      <w:tr w14:paraId="1611CA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A45A0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w:t>
            </w:r>
          </w:p>
        </w:tc>
        <w:tc>
          <w:tcPr>
            <w:tcW w:w="0" w:type="auto"/>
            <w:tcBorders>
              <w:top w:val="single" w:color="auto" w:sz="2" w:space="0"/>
              <w:left w:val="single" w:color="auto" w:sz="2" w:space="0"/>
              <w:bottom w:val="single" w:color="auto" w:sz="2" w:space="0"/>
              <w:right w:val="single" w:color="auto" w:sz="2" w:space="0"/>
            </w:tcBorders>
            <w:vAlign w:val="center"/>
          </w:tcPr>
          <w:p w14:paraId="062301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w:t>
            </w:r>
          </w:p>
        </w:tc>
        <w:tc>
          <w:tcPr>
            <w:tcW w:w="0" w:type="auto"/>
            <w:tcBorders>
              <w:top w:val="single" w:color="auto" w:sz="2" w:space="0"/>
              <w:left w:val="single" w:color="auto" w:sz="2" w:space="0"/>
              <w:bottom w:val="single" w:color="auto" w:sz="2" w:space="0"/>
              <w:right w:val="single" w:color="auto" w:sz="2" w:space="0"/>
            </w:tcBorders>
            <w:vAlign w:val="center"/>
          </w:tcPr>
          <w:p w14:paraId="3420C95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0" w:type="auto"/>
            <w:tcBorders>
              <w:top w:val="single" w:color="auto" w:sz="2" w:space="0"/>
              <w:left w:val="single" w:color="auto" w:sz="2" w:space="0"/>
              <w:bottom w:val="single" w:color="auto" w:sz="2" w:space="0"/>
              <w:right w:val="single" w:color="auto" w:sz="2" w:space="0"/>
            </w:tcBorders>
            <w:vAlign w:val="center"/>
          </w:tcPr>
          <w:p w14:paraId="7E4F4A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57,311.75</w:t>
            </w:r>
          </w:p>
        </w:tc>
        <w:tc>
          <w:tcPr>
            <w:tcW w:w="0" w:type="auto"/>
            <w:tcBorders>
              <w:top w:val="single" w:color="auto" w:sz="2" w:space="0"/>
              <w:left w:val="single" w:color="auto" w:sz="2" w:space="0"/>
              <w:bottom w:val="single" w:color="auto" w:sz="2" w:space="0"/>
              <w:right w:val="single" w:color="auto" w:sz="2" w:space="0"/>
            </w:tcBorders>
            <w:vAlign w:val="center"/>
          </w:tcPr>
          <w:p w14:paraId="23F14C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51,026.07</w:t>
            </w:r>
          </w:p>
        </w:tc>
        <w:tc>
          <w:tcPr>
            <w:tcW w:w="0" w:type="auto"/>
            <w:tcBorders>
              <w:top w:val="single" w:color="auto" w:sz="2" w:space="0"/>
              <w:left w:val="single" w:color="auto" w:sz="2" w:space="0"/>
              <w:bottom w:val="single" w:color="auto" w:sz="2" w:space="0"/>
              <w:right w:val="single" w:color="auto" w:sz="2" w:space="0"/>
            </w:tcBorders>
            <w:vAlign w:val="center"/>
          </w:tcPr>
          <w:p w14:paraId="10B246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10,483.76</w:t>
            </w:r>
          </w:p>
        </w:tc>
        <w:tc>
          <w:tcPr>
            <w:tcW w:w="0" w:type="auto"/>
            <w:tcBorders>
              <w:top w:val="single" w:color="auto" w:sz="2" w:space="0"/>
              <w:left w:val="single" w:color="auto" w:sz="2" w:space="0"/>
              <w:bottom w:val="single" w:color="auto" w:sz="2" w:space="0"/>
              <w:right w:val="single" w:color="auto" w:sz="2" w:space="0"/>
            </w:tcBorders>
            <w:vAlign w:val="center"/>
          </w:tcPr>
          <w:p w14:paraId="4F272E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33,890.7</w:t>
            </w:r>
          </w:p>
        </w:tc>
        <w:tc>
          <w:tcPr>
            <w:tcW w:w="0" w:type="auto"/>
            <w:tcBorders>
              <w:top w:val="single" w:color="auto" w:sz="2" w:space="0"/>
              <w:left w:val="single" w:color="auto" w:sz="2" w:space="0"/>
              <w:bottom w:val="single" w:color="auto" w:sz="2" w:space="0"/>
              <w:right w:val="single" w:color="auto" w:sz="2" w:space="0"/>
            </w:tcBorders>
            <w:vAlign w:val="center"/>
          </w:tcPr>
          <w:p w14:paraId="7DFAC2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66.42%</w:t>
            </w:r>
          </w:p>
        </w:tc>
        <w:tc>
          <w:tcPr>
            <w:tcW w:w="0" w:type="auto"/>
            <w:tcBorders>
              <w:top w:val="single" w:color="auto" w:sz="2" w:space="0"/>
              <w:left w:val="single" w:color="auto" w:sz="2" w:space="0"/>
              <w:bottom w:val="single" w:color="auto" w:sz="2" w:space="0"/>
              <w:right w:val="single" w:color="auto" w:sz="2" w:space="0"/>
            </w:tcBorders>
            <w:vAlign w:val="center"/>
          </w:tcPr>
          <w:p w14:paraId="32C8E5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11,716</w:t>
            </w:r>
          </w:p>
        </w:tc>
        <w:tc>
          <w:tcPr>
            <w:tcW w:w="0" w:type="auto"/>
            <w:tcBorders>
              <w:top w:val="single" w:color="auto" w:sz="2" w:space="0"/>
              <w:left w:val="single" w:color="auto" w:sz="2" w:space="0"/>
              <w:bottom w:val="single" w:color="auto" w:sz="2" w:space="0"/>
              <w:right w:val="single" w:color="auto" w:sz="2" w:space="0"/>
            </w:tcBorders>
            <w:vAlign w:val="center"/>
          </w:tcPr>
          <w:p w14:paraId="1683CE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17,285.67</w:t>
            </w:r>
          </w:p>
        </w:tc>
        <w:tc>
          <w:tcPr>
            <w:tcW w:w="0" w:type="auto"/>
            <w:tcBorders>
              <w:top w:val="single" w:color="auto" w:sz="2" w:space="0"/>
              <w:left w:val="single" w:color="auto" w:sz="2" w:space="0"/>
              <w:bottom w:val="single" w:color="auto" w:sz="2" w:space="0"/>
              <w:right w:val="single" w:color="auto" w:sz="2" w:space="0"/>
            </w:tcBorders>
            <w:vAlign w:val="center"/>
          </w:tcPr>
          <w:p w14:paraId="0EF808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33.88%</w:t>
            </w:r>
          </w:p>
        </w:tc>
        <w:tc>
          <w:tcPr>
            <w:tcW w:w="0" w:type="auto"/>
            <w:tcBorders>
              <w:top w:val="single" w:color="auto" w:sz="2" w:space="0"/>
              <w:left w:val="single" w:color="auto" w:sz="2" w:space="0"/>
              <w:bottom w:val="single" w:color="auto" w:sz="2" w:space="0"/>
              <w:right w:val="single" w:color="auto" w:sz="2" w:space="0"/>
            </w:tcBorders>
            <w:vAlign w:val="center"/>
          </w:tcPr>
          <w:p w14:paraId="74A2C6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17,135.37</w:t>
            </w:r>
          </w:p>
        </w:tc>
        <w:tc>
          <w:tcPr>
            <w:tcW w:w="0" w:type="auto"/>
            <w:tcBorders>
              <w:top w:val="single" w:color="auto" w:sz="2" w:space="0"/>
              <w:left w:val="single" w:color="auto" w:sz="2" w:space="0"/>
              <w:bottom w:val="single" w:color="auto" w:sz="2" w:space="0"/>
              <w:right w:val="single" w:color="auto" w:sz="2" w:space="0"/>
            </w:tcBorders>
            <w:vAlign w:val="center"/>
          </w:tcPr>
          <w:p w14:paraId="570ABF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以定期存款、结构性存款等方式用闲置募集资金进行现金管理人民币5,000.06万元，其余存放于募集资金专户，按募投项目计划规范使用。存放于募集资金专户，将用于承诺募投项目。</w:t>
            </w:r>
          </w:p>
        </w:tc>
        <w:tc>
          <w:tcPr>
            <w:tcW w:w="0" w:type="auto"/>
            <w:tcBorders>
              <w:top w:val="single" w:color="auto" w:sz="2" w:space="0"/>
              <w:left w:val="single" w:color="auto" w:sz="2" w:space="0"/>
              <w:bottom w:val="single" w:color="auto" w:sz="2" w:space="0"/>
              <w:right w:val="single" w:color="auto" w:sz="2" w:space="0"/>
            </w:tcBorders>
            <w:vAlign w:val="center"/>
          </w:tcPr>
          <w:p w14:paraId="12461F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13,259</w:t>
            </w:r>
          </w:p>
        </w:tc>
      </w:tr>
      <w:tr w14:paraId="298C27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8BAAD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9A627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C3147A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vAlign w:val="center"/>
          </w:tcPr>
          <w:p w14:paraId="0D5863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57,311.75</w:t>
            </w:r>
          </w:p>
        </w:tc>
        <w:tc>
          <w:tcPr>
            <w:tcW w:w="0" w:type="auto"/>
            <w:tcBorders>
              <w:top w:val="single" w:color="auto" w:sz="2" w:space="0"/>
              <w:left w:val="single" w:color="auto" w:sz="2" w:space="0"/>
              <w:bottom w:val="single" w:color="auto" w:sz="2" w:space="0"/>
              <w:right w:val="single" w:color="auto" w:sz="2" w:space="0"/>
            </w:tcBorders>
            <w:vAlign w:val="center"/>
          </w:tcPr>
          <w:p w14:paraId="211A12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51,026.07</w:t>
            </w:r>
          </w:p>
        </w:tc>
        <w:tc>
          <w:tcPr>
            <w:tcW w:w="0" w:type="auto"/>
            <w:tcBorders>
              <w:top w:val="single" w:color="auto" w:sz="2" w:space="0"/>
              <w:left w:val="single" w:color="auto" w:sz="2" w:space="0"/>
              <w:bottom w:val="single" w:color="auto" w:sz="2" w:space="0"/>
              <w:right w:val="single" w:color="auto" w:sz="2" w:space="0"/>
            </w:tcBorders>
            <w:vAlign w:val="center"/>
          </w:tcPr>
          <w:p w14:paraId="4A0191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10,483.76</w:t>
            </w:r>
          </w:p>
        </w:tc>
        <w:tc>
          <w:tcPr>
            <w:tcW w:w="0" w:type="auto"/>
            <w:tcBorders>
              <w:top w:val="single" w:color="auto" w:sz="2" w:space="0"/>
              <w:left w:val="single" w:color="auto" w:sz="2" w:space="0"/>
              <w:bottom w:val="single" w:color="auto" w:sz="2" w:space="0"/>
              <w:right w:val="single" w:color="auto" w:sz="2" w:space="0"/>
            </w:tcBorders>
            <w:vAlign w:val="center"/>
          </w:tcPr>
          <w:p w14:paraId="5DDC55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33,890.7</w:t>
            </w:r>
          </w:p>
        </w:tc>
        <w:tc>
          <w:tcPr>
            <w:tcW w:w="0" w:type="auto"/>
            <w:tcBorders>
              <w:top w:val="single" w:color="auto" w:sz="2" w:space="0"/>
              <w:left w:val="single" w:color="auto" w:sz="2" w:space="0"/>
              <w:bottom w:val="single" w:color="auto" w:sz="2" w:space="0"/>
              <w:right w:val="single" w:color="auto" w:sz="2" w:space="0"/>
            </w:tcBorders>
            <w:vAlign w:val="center"/>
          </w:tcPr>
          <w:p w14:paraId="2DB63F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66.42%</w:t>
            </w:r>
          </w:p>
        </w:tc>
        <w:tc>
          <w:tcPr>
            <w:tcW w:w="0" w:type="auto"/>
            <w:tcBorders>
              <w:top w:val="single" w:color="auto" w:sz="2" w:space="0"/>
              <w:left w:val="single" w:color="auto" w:sz="2" w:space="0"/>
              <w:bottom w:val="single" w:color="auto" w:sz="2" w:space="0"/>
              <w:right w:val="single" w:color="auto" w:sz="2" w:space="0"/>
            </w:tcBorders>
            <w:vAlign w:val="center"/>
          </w:tcPr>
          <w:p w14:paraId="5C6CFC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11,716</w:t>
            </w:r>
          </w:p>
        </w:tc>
        <w:tc>
          <w:tcPr>
            <w:tcW w:w="0" w:type="auto"/>
            <w:tcBorders>
              <w:top w:val="single" w:color="auto" w:sz="2" w:space="0"/>
              <w:left w:val="single" w:color="auto" w:sz="2" w:space="0"/>
              <w:bottom w:val="single" w:color="auto" w:sz="2" w:space="0"/>
              <w:right w:val="single" w:color="auto" w:sz="2" w:space="0"/>
            </w:tcBorders>
            <w:vAlign w:val="center"/>
          </w:tcPr>
          <w:p w14:paraId="570938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17,285.67</w:t>
            </w:r>
          </w:p>
        </w:tc>
        <w:tc>
          <w:tcPr>
            <w:tcW w:w="0" w:type="auto"/>
            <w:tcBorders>
              <w:top w:val="single" w:color="auto" w:sz="2" w:space="0"/>
              <w:left w:val="single" w:color="auto" w:sz="2" w:space="0"/>
              <w:bottom w:val="single" w:color="auto" w:sz="2" w:space="0"/>
              <w:right w:val="single" w:color="auto" w:sz="2" w:space="0"/>
            </w:tcBorders>
            <w:vAlign w:val="center"/>
          </w:tcPr>
          <w:p w14:paraId="0A87AA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33.88%</w:t>
            </w:r>
          </w:p>
        </w:tc>
        <w:tc>
          <w:tcPr>
            <w:tcW w:w="0" w:type="auto"/>
            <w:tcBorders>
              <w:top w:val="single" w:color="auto" w:sz="2" w:space="0"/>
              <w:left w:val="single" w:color="auto" w:sz="2" w:space="0"/>
              <w:bottom w:val="single" w:color="auto" w:sz="2" w:space="0"/>
              <w:right w:val="single" w:color="auto" w:sz="2" w:space="0"/>
            </w:tcBorders>
            <w:vAlign w:val="center"/>
          </w:tcPr>
          <w:p w14:paraId="4AD907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17,135.37</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D601EF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vAlign w:val="center"/>
          </w:tcPr>
          <w:p w14:paraId="18A5D5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13,259</w:t>
            </w:r>
          </w:p>
        </w:tc>
      </w:tr>
      <w:tr w14:paraId="1A4972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14"/>
            <w:tcBorders>
              <w:top w:val="single" w:color="auto" w:sz="2" w:space="0"/>
              <w:left w:val="single" w:color="auto" w:sz="2" w:space="0"/>
              <w:bottom w:val="single" w:color="auto" w:sz="2" w:space="0"/>
              <w:right w:val="single" w:color="auto" w:sz="2" w:space="0"/>
            </w:tcBorders>
            <w:shd w:val="clear" w:color="auto" w:fill="D3D3D3"/>
            <w:vAlign w:val="center"/>
          </w:tcPr>
          <w:p w14:paraId="6A9DF2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募集资金总体使用情况说明</w:t>
            </w:r>
          </w:p>
        </w:tc>
      </w:tr>
      <w:tr w14:paraId="14EAC0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14"/>
            <w:tcBorders>
              <w:top w:val="single" w:color="auto" w:sz="2" w:space="0"/>
              <w:left w:val="single" w:color="auto" w:sz="2" w:space="0"/>
              <w:bottom w:val="single" w:color="auto" w:sz="2" w:space="0"/>
              <w:right w:val="single" w:color="auto" w:sz="2" w:space="0"/>
            </w:tcBorders>
            <w:vAlign w:val="center"/>
          </w:tcPr>
          <w:p w14:paraId="6DAFD81B">
            <w:pPr>
              <w:spacing w:before="156" w:beforeLines="50" w:after="156" w:afterLines="50" w:line="240" w:lineRule="exact"/>
              <w:rPr>
                <w:rFonts w:ascii="Times New Roman" w:hAnsi="Times New Roman" w:cs="Times New Roman" w:eastAsiaTheme="majorEastAsia"/>
                <w:sz w:val="18"/>
                <w:szCs w:val="18"/>
              </w:rPr>
            </w:pPr>
            <w:r>
              <w:rPr>
                <w:rFonts w:hint="eastAsia" w:ascii="宋体" w:hAnsi="宋体" w:eastAsia="宋体" w:cs="宋体"/>
                <w:sz w:val="18"/>
                <w:szCs w:val="18"/>
              </w:rPr>
              <w:t>①</w:t>
            </w:r>
            <w:r>
              <w:rPr>
                <w:rFonts w:ascii="Times New Roman" w:hAnsi="Times New Roman" w:cs="Times New Roman" w:eastAsiaTheme="majorEastAsia"/>
                <w:sz w:val="18"/>
                <w:szCs w:val="18"/>
              </w:rPr>
              <w:t>募集资金基本情况</w:t>
            </w:r>
          </w:p>
          <w:p w14:paraId="6FA814A6">
            <w:pPr>
              <w:spacing w:before="156" w:beforeLines="50" w:after="156" w:afterLines="5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于2021年11月1日采用网上定价方式公开发行人民币普通股（A股）11,778,000.00股，每股面值为人民币1元，每股发行价格为人民币48.66元，募集资金总额573,117,480.00元，实际募集资金净额510,260,652.00元。该项募集资金已于2021年11月5日存入公司募集资金专用账户，并经中审众环会计师事务所（特殊普通合伙）以众环验字（2021）0600012号《验资报告》审验。根据公司《首次公开发行股票并在创业板上市招股说明书》公司拟募集资金279,361,500.00元，本次超募资金为230,899,152.00元。</w:t>
            </w:r>
          </w:p>
          <w:p w14:paraId="5DF56A91">
            <w:pPr>
              <w:spacing w:before="156" w:beforeLines="50" w:after="156" w:afterLines="50" w:line="240" w:lineRule="exact"/>
              <w:rPr>
                <w:rFonts w:ascii="Times New Roman" w:hAnsi="Times New Roman" w:cs="Times New Roman" w:eastAsiaTheme="majorEastAsia"/>
                <w:sz w:val="18"/>
                <w:szCs w:val="18"/>
              </w:rPr>
            </w:pPr>
            <w:r>
              <w:rPr>
                <w:rFonts w:hint="eastAsia" w:ascii="宋体" w:hAnsi="宋体" w:eastAsia="宋体" w:cs="宋体"/>
                <w:sz w:val="18"/>
                <w:szCs w:val="18"/>
              </w:rPr>
              <w:t>②</w:t>
            </w:r>
            <w:r>
              <w:rPr>
                <w:rFonts w:ascii="Times New Roman" w:hAnsi="Times New Roman" w:cs="Times New Roman" w:eastAsiaTheme="majorEastAsia"/>
                <w:sz w:val="18"/>
                <w:szCs w:val="18"/>
              </w:rPr>
              <w:t>报告期内使用情况</w:t>
            </w:r>
          </w:p>
          <w:p w14:paraId="7AA9A925">
            <w:pPr>
              <w:spacing w:before="156" w:beforeLines="50" w:after="156" w:afterLines="5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截至2024年12月31日，公司募集资金专户余额为142,457,077.54元，本年度募投项目使用金额104,837,560.94元，其中：2024年将部分募集资金117,160,000.00元变更用于实施</w:t>
            </w:r>
            <w:r>
              <w:rPr>
                <w:rFonts w:cs="Times New Roman" w:asciiTheme="minorEastAsia" w:hAnsiTheme="minorEastAsia"/>
                <w:sz w:val="18"/>
                <w:szCs w:val="18"/>
              </w:rPr>
              <w:t>“算力集群服务项目”</w:t>
            </w:r>
            <w:r>
              <w:rPr>
                <w:rFonts w:ascii="Times New Roman" w:hAnsi="Times New Roman" w:cs="Times New Roman" w:eastAsiaTheme="majorEastAsia"/>
                <w:sz w:val="18"/>
                <w:szCs w:val="18"/>
              </w:rPr>
              <w:t>，本期实际投入募集资金99,750,000.00元；另本期使用超募资金支付深圳综合运营中心项目5,087,560.94元。报告期末，公司使用60,000,567.31元闲置募集资金进行现金管理，其中10,000,000.00元于2024年12月30日转出至中信银行理财专用结算账户，实际购买定存日期为2025年1月2日。</w:t>
            </w:r>
          </w:p>
        </w:tc>
      </w:tr>
    </w:tbl>
    <w:p w14:paraId="0DA66526">
      <w:pPr>
        <w:keepNext/>
        <w:keepLines/>
        <w:spacing w:before="300" w:after="300" w:line="280" w:lineRule="exact"/>
        <w:outlineLvl w:val="3"/>
        <w:rPr>
          <w:rFonts w:ascii="Times New Roman" w:hAnsi="Times New Roman" w:cs="Times New Roman" w:eastAsiaTheme="majorEastAsia"/>
          <w:b/>
          <w:bCs/>
          <w:sz w:val="18"/>
          <w:szCs w:val="18"/>
        </w:rPr>
      </w:pPr>
      <w:bookmarkStart w:id="44" w:name="_Toc988933"/>
      <w:r>
        <w:rPr>
          <w:rFonts w:ascii="Times New Roman" w:hAnsi="Times New Roman" w:cs="Times New Roman" w:eastAsiaTheme="majorEastAsia"/>
          <w:b/>
          <w:bCs/>
          <w:sz w:val="18"/>
          <w:szCs w:val="18"/>
        </w:rPr>
        <w:t>（2） 募集资金承诺项目情况</w:t>
      </w:r>
      <w:bookmarkEnd w:id="44"/>
    </w:p>
    <w:p w14:paraId="4199C48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6D55333A">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56"/>
        <w:gridCol w:w="1018"/>
        <w:gridCol w:w="961"/>
        <w:gridCol w:w="505"/>
        <w:gridCol w:w="842"/>
        <w:gridCol w:w="1157"/>
        <w:gridCol w:w="1097"/>
        <w:gridCol w:w="1089"/>
        <w:gridCol w:w="1196"/>
        <w:gridCol w:w="1185"/>
        <w:gridCol w:w="953"/>
        <w:gridCol w:w="672"/>
        <w:gridCol w:w="802"/>
        <w:gridCol w:w="638"/>
        <w:gridCol w:w="805"/>
      </w:tblGrid>
      <w:tr w14:paraId="3B0A77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43" w:type="pct"/>
            <w:tcBorders>
              <w:top w:val="single" w:color="auto" w:sz="2" w:space="0"/>
              <w:left w:val="single" w:color="auto" w:sz="2" w:space="0"/>
              <w:bottom w:val="single" w:color="auto" w:sz="2" w:space="0"/>
              <w:right w:val="single" w:color="auto" w:sz="2" w:space="0"/>
            </w:tcBorders>
            <w:shd w:val="clear" w:color="auto" w:fill="D3D3D3"/>
            <w:vAlign w:val="center"/>
          </w:tcPr>
          <w:p w14:paraId="43AC5D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融资项目名称</w:t>
            </w:r>
          </w:p>
        </w:tc>
        <w:tc>
          <w:tcPr>
            <w:tcW w:w="359" w:type="pct"/>
            <w:tcBorders>
              <w:top w:val="single" w:color="auto" w:sz="2" w:space="0"/>
              <w:left w:val="single" w:color="auto" w:sz="2" w:space="0"/>
              <w:bottom w:val="single" w:color="auto" w:sz="2" w:space="0"/>
              <w:right w:val="single" w:color="auto" w:sz="2" w:space="0"/>
            </w:tcBorders>
            <w:shd w:val="clear" w:color="auto" w:fill="D3D3D3"/>
            <w:vAlign w:val="center"/>
          </w:tcPr>
          <w:p w14:paraId="6A9468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证券上市日期</w:t>
            </w:r>
          </w:p>
        </w:tc>
        <w:tc>
          <w:tcPr>
            <w:tcW w:w="339" w:type="pct"/>
            <w:tcBorders>
              <w:top w:val="single" w:color="auto" w:sz="2" w:space="0"/>
              <w:left w:val="single" w:color="auto" w:sz="2" w:space="0"/>
              <w:bottom w:val="single" w:color="auto" w:sz="2" w:space="0"/>
              <w:right w:val="single" w:color="auto" w:sz="2" w:space="0"/>
            </w:tcBorders>
            <w:shd w:val="clear" w:color="auto" w:fill="D3D3D3"/>
            <w:vAlign w:val="center"/>
          </w:tcPr>
          <w:p w14:paraId="012371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承诺投资项目和超募资金投向</w:t>
            </w:r>
          </w:p>
        </w:tc>
        <w:tc>
          <w:tcPr>
            <w:tcW w:w="178" w:type="pct"/>
            <w:tcBorders>
              <w:top w:val="single" w:color="auto" w:sz="2" w:space="0"/>
              <w:left w:val="single" w:color="auto" w:sz="2" w:space="0"/>
              <w:bottom w:val="single" w:color="auto" w:sz="2" w:space="0"/>
              <w:right w:val="single" w:color="auto" w:sz="2" w:space="0"/>
            </w:tcBorders>
            <w:shd w:val="clear" w:color="auto" w:fill="D3D3D3"/>
            <w:vAlign w:val="center"/>
          </w:tcPr>
          <w:p w14:paraId="752F75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项目性质</w:t>
            </w:r>
          </w:p>
        </w:tc>
        <w:tc>
          <w:tcPr>
            <w:tcW w:w="297" w:type="pct"/>
            <w:tcBorders>
              <w:top w:val="single" w:color="auto" w:sz="2" w:space="0"/>
              <w:left w:val="single" w:color="auto" w:sz="2" w:space="0"/>
              <w:bottom w:val="single" w:color="auto" w:sz="2" w:space="0"/>
              <w:right w:val="single" w:color="auto" w:sz="2" w:space="0"/>
            </w:tcBorders>
            <w:shd w:val="clear" w:color="auto" w:fill="D3D3D3"/>
            <w:vAlign w:val="center"/>
          </w:tcPr>
          <w:p w14:paraId="2DEB09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是否已变更项目(含部分变更)</w:t>
            </w:r>
          </w:p>
        </w:tc>
        <w:tc>
          <w:tcPr>
            <w:tcW w:w="408" w:type="pct"/>
            <w:tcBorders>
              <w:top w:val="single" w:color="auto" w:sz="2" w:space="0"/>
              <w:left w:val="single" w:color="auto" w:sz="2" w:space="0"/>
              <w:bottom w:val="single" w:color="auto" w:sz="2" w:space="0"/>
              <w:right w:val="single" w:color="auto" w:sz="2" w:space="0"/>
            </w:tcBorders>
            <w:shd w:val="clear" w:color="auto" w:fill="D3D3D3"/>
            <w:vAlign w:val="center"/>
          </w:tcPr>
          <w:p w14:paraId="77F072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募集资金承诺投资总额</w:t>
            </w:r>
          </w:p>
        </w:tc>
        <w:tc>
          <w:tcPr>
            <w:tcW w:w="387" w:type="pct"/>
            <w:tcBorders>
              <w:top w:val="single" w:color="auto" w:sz="2" w:space="0"/>
              <w:left w:val="single" w:color="auto" w:sz="2" w:space="0"/>
              <w:bottom w:val="single" w:color="auto" w:sz="2" w:space="0"/>
              <w:right w:val="single" w:color="auto" w:sz="2" w:space="0"/>
            </w:tcBorders>
            <w:shd w:val="clear" w:color="auto" w:fill="D3D3D3"/>
            <w:vAlign w:val="center"/>
          </w:tcPr>
          <w:p w14:paraId="7A38403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调整后投资总额(1)</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767025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本报告期投入金额</w:t>
            </w:r>
          </w:p>
        </w:tc>
        <w:tc>
          <w:tcPr>
            <w:tcW w:w="422" w:type="pct"/>
            <w:tcBorders>
              <w:top w:val="single" w:color="auto" w:sz="2" w:space="0"/>
              <w:left w:val="single" w:color="auto" w:sz="2" w:space="0"/>
              <w:bottom w:val="single" w:color="auto" w:sz="2" w:space="0"/>
              <w:right w:val="single" w:color="auto" w:sz="2" w:space="0"/>
            </w:tcBorders>
            <w:shd w:val="clear" w:color="auto" w:fill="D3D3D3"/>
            <w:vAlign w:val="center"/>
          </w:tcPr>
          <w:p w14:paraId="2769B1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截至期末累计投入金额(2)</w:t>
            </w:r>
          </w:p>
        </w:tc>
        <w:tc>
          <w:tcPr>
            <w:tcW w:w="418" w:type="pct"/>
            <w:tcBorders>
              <w:top w:val="single" w:color="auto" w:sz="2" w:space="0"/>
              <w:left w:val="single" w:color="auto" w:sz="2" w:space="0"/>
              <w:bottom w:val="single" w:color="auto" w:sz="2" w:space="0"/>
              <w:right w:val="single" w:color="auto" w:sz="2" w:space="0"/>
            </w:tcBorders>
            <w:shd w:val="clear" w:color="auto" w:fill="D3D3D3"/>
            <w:vAlign w:val="center"/>
          </w:tcPr>
          <w:p w14:paraId="425477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截至期末投资进度(3)＝(2)/(1)</w:t>
            </w:r>
          </w:p>
        </w:tc>
        <w:tc>
          <w:tcPr>
            <w:tcW w:w="336" w:type="pct"/>
            <w:tcBorders>
              <w:top w:val="single" w:color="auto" w:sz="2" w:space="0"/>
              <w:left w:val="single" w:color="auto" w:sz="2" w:space="0"/>
              <w:bottom w:val="single" w:color="auto" w:sz="2" w:space="0"/>
              <w:right w:val="single" w:color="auto" w:sz="2" w:space="0"/>
            </w:tcBorders>
            <w:shd w:val="clear" w:color="auto" w:fill="D3D3D3"/>
            <w:vAlign w:val="center"/>
          </w:tcPr>
          <w:p w14:paraId="49AC8E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项目达到预定可使用状态日期</w:t>
            </w:r>
          </w:p>
        </w:tc>
        <w:tc>
          <w:tcPr>
            <w:tcW w:w="237" w:type="pct"/>
            <w:tcBorders>
              <w:top w:val="single" w:color="auto" w:sz="2" w:space="0"/>
              <w:left w:val="single" w:color="auto" w:sz="2" w:space="0"/>
              <w:bottom w:val="single" w:color="auto" w:sz="2" w:space="0"/>
              <w:right w:val="single" w:color="auto" w:sz="2" w:space="0"/>
            </w:tcBorders>
            <w:shd w:val="clear" w:color="auto" w:fill="D3D3D3"/>
            <w:vAlign w:val="center"/>
          </w:tcPr>
          <w:p w14:paraId="425652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本报告期实现的效益</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1B508C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截止报告期末累计实现的效益</w:t>
            </w:r>
          </w:p>
        </w:tc>
        <w:tc>
          <w:tcPr>
            <w:tcW w:w="225" w:type="pct"/>
            <w:tcBorders>
              <w:top w:val="single" w:color="auto" w:sz="2" w:space="0"/>
              <w:left w:val="single" w:color="auto" w:sz="2" w:space="0"/>
              <w:bottom w:val="single" w:color="auto" w:sz="2" w:space="0"/>
              <w:right w:val="single" w:color="auto" w:sz="2" w:space="0"/>
            </w:tcBorders>
            <w:shd w:val="clear" w:color="auto" w:fill="D3D3D3"/>
            <w:vAlign w:val="center"/>
          </w:tcPr>
          <w:p w14:paraId="0716B0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是否达到预计效益</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061509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项目可行性是否发生重大变化</w:t>
            </w:r>
          </w:p>
        </w:tc>
      </w:tr>
      <w:tr w14:paraId="39C834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5F8A89B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承诺投资项目</w:t>
            </w:r>
          </w:p>
        </w:tc>
      </w:tr>
      <w:tr w14:paraId="519330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28ECF2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0773FF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5D201E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1、智慧城市综合解决方案升级项目</w:t>
            </w:r>
          </w:p>
        </w:tc>
        <w:tc>
          <w:tcPr>
            <w:tcW w:w="178" w:type="pct"/>
            <w:tcBorders>
              <w:top w:val="single" w:color="auto" w:sz="2" w:space="0"/>
              <w:left w:val="single" w:color="auto" w:sz="2" w:space="0"/>
              <w:bottom w:val="single" w:color="auto" w:sz="2" w:space="0"/>
              <w:right w:val="single" w:color="auto" w:sz="2" w:space="0"/>
            </w:tcBorders>
            <w:vAlign w:val="center"/>
          </w:tcPr>
          <w:p w14:paraId="1B82EF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生产建设</w:t>
            </w:r>
          </w:p>
        </w:tc>
        <w:tc>
          <w:tcPr>
            <w:tcW w:w="297" w:type="pct"/>
            <w:tcBorders>
              <w:top w:val="single" w:color="auto" w:sz="2" w:space="0"/>
              <w:left w:val="single" w:color="auto" w:sz="2" w:space="0"/>
              <w:bottom w:val="single" w:color="auto" w:sz="2" w:space="0"/>
              <w:right w:val="single" w:color="auto" w:sz="2" w:space="0"/>
            </w:tcBorders>
            <w:vAlign w:val="center"/>
          </w:tcPr>
          <w:p w14:paraId="6B0D56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408" w:type="pct"/>
            <w:tcBorders>
              <w:top w:val="single" w:color="auto" w:sz="2" w:space="0"/>
              <w:left w:val="single" w:color="auto" w:sz="2" w:space="0"/>
              <w:bottom w:val="single" w:color="auto" w:sz="2" w:space="0"/>
              <w:right w:val="single" w:color="auto" w:sz="2" w:space="0"/>
            </w:tcBorders>
            <w:vAlign w:val="center"/>
          </w:tcPr>
          <w:p w14:paraId="78DB1C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12,572.7</w:t>
            </w:r>
          </w:p>
        </w:tc>
        <w:tc>
          <w:tcPr>
            <w:tcW w:w="387" w:type="pct"/>
            <w:tcBorders>
              <w:top w:val="single" w:color="auto" w:sz="2" w:space="0"/>
              <w:left w:val="single" w:color="auto" w:sz="2" w:space="0"/>
              <w:bottom w:val="single" w:color="auto" w:sz="2" w:space="0"/>
              <w:right w:val="single" w:color="auto" w:sz="2" w:space="0"/>
            </w:tcBorders>
            <w:vAlign w:val="center"/>
          </w:tcPr>
          <w:p w14:paraId="7724A0A3">
            <w:pPr>
              <w:spacing w:line="240" w:lineRule="exact"/>
              <w:jc w:val="right"/>
              <w:rPr>
                <w:rFonts w:ascii="Times New Roman" w:hAnsi="Times New Roman" w:cs="Times New Roman" w:eastAsiaTheme="majorEastAsia"/>
                <w:sz w:val="18"/>
                <w:szCs w:val="18"/>
              </w:rPr>
            </w:pPr>
          </w:p>
        </w:tc>
        <w:tc>
          <w:tcPr>
            <w:tcW w:w="384" w:type="pct"/>
            <w:tcBorders>
              <w:top w:val="single" w:color="auto" w:sz="2" w:space="0"/>
              <w:left w:val="single" w:color="auto" w:sz="2" w:space="0"/>
              <w:bottom w:val="single" w:color="auto" w:sz="2" w:space="0"/>
              <w:right w:val="single" w:color="auto" w:sz="2" w:space="0"/>
            </w:tcBorders>
            <w:vAlign w:val="center"/>
          </w:tcPr>
          <w:p w14:paraId="53EECCF3">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3CDB0596">
            <w:pPr>
              <w:spacing w:line="240" w:lineRule="exact"/>
              <w:jc w:val="right"/>
              <w:rPr>
                <w:rFonts w:ascii="Times New Roman" w:hAnsi="Times New Roman" w:cs="Times New Roman" w:eastAsiaTheme="majorEastAsia"/>
                <w:sz w:val="18"/>
                <w:szCs w:val="18"/>
              </w:rPr>
            </w:pPr>
          </w:p>
        </w:tc>
        <w:tc>
          <w:tcPr>
            <w:tcW w:w="418" w:type="pct"/>
            <w:tcBorders>
              <w:top w:val="single" w:color="auto" w:sz="2" w:space="0"/>
              <w:left w:val="single" w:color="auto" w:sz="2" w:space="0"/>
              <w:bottom w:val="single" w:color="auto" w:sz="2" w:space="0"/>
              <w:right w:val="single" w:color="auto" w:sz="2" w:space="0"/>
            </w:tcBorders>
            <w:vAlign w:val="center"/>
          </w:tcPr>
          <w:p w14:paraId="07A50961">
            <w:pPr>
              <w:spacing w:line="240" w:lineRule="exact"/>
              <w:jc w:val="right"/>
              <w:rPr>
                <w:rFonts w:ascii="Times New Roman" w:hAnsi="Times New Roman" w:cs="Times New Roman" w:eastAsiaTheme="majorEastAsia"/>
                <w:sz w:val="18"/>
                <w:szCs w:val="18"/>
              </w:rPr>
            </w:pPr>
          </w:p>
        </w:tc>
        <w:tc>
          <w:tcPr>
            <w:tcW w:w="336" w:type="pct"/>
            <w:tcBorders>
              <w:top w:val="single" w:color="auto" w:sz="2" w:space="0"/>
              <w:left w:val="single" w:color="auto" w:sz="2" w:space="0"/>
              <w:bottom w:val="single" w:color="auto" w:sz="2" w:space="0"/>
              <w:right w:val="single" w:color="auto" w:sz="2" w:space="0"/>
            </w:tcBorders>
            <w:vAlign w:val="center"/>
          </w:tcPr>
          <w:p w14:paraId="625167AE">
            <w:pPr>
              <w:spacing w:line="240" w:lineRule="exact"/>
              <w:rPr>
                <w:rFonts w:ascii="Times New Roman" w:hAnsi="Times New Roman" w:cs="Times New Roman" w:eastAsiaTheme="majorEastAsia"/>
                <w:sz w:val="18"/>
                <w:szCs w:val="18"/>
              </w:rPr>
            </w:pPr>
          </w:p>
        </w:tc>
        <w:tc>
          <w:tcPr>
            <w:tcW w:w="237" w:type="pct"/>
            <w:tcBorders>
              <w:top w:val="single" w:color="auto" w:sz="2" w:space="0"/>
              <w:left w:val="single" w:color="auto" w:sz="2" w:space="0"/>
              <w:bottom w:val="single" w:color="auto" w:sz="2" w:space="0"/>
              <w:right w:val="single" w:color="auto" w:sz="2" w:space="0"/>
            </w:tcBorders>
            <w:vAlign w:val="center"/>
          </w:tcPr>
          <w:p w14:paraId="45CE7F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637BA8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08234B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3403E6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36E5F8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44243C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4322D7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382DA9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2、大数据应用技术中心建设项目</w:t>
            </w:r>
          </w:p>
        </w:tc>
        <w:tc>
          <w:tcPr>
            <w:tcW w:w="178" w:type="pct"/>
            <w:tcBorders>
              <w:top w:val="single" w:color="auto" w:sz="2" w:space="0"/>
              <w:left w:val="single" w:color="auto" w:sz="2" w:space="0"/>
              <w:bottom w:val="single" w:color="auto" w:sz="2" w:space="0"/>
              <w:right w:val="single" w:color="auto" w:sz="2" w:space="0"/>
            </w:tcBorders>
            <w:vAlign w:val="center"/>
          </w:tcPr>
          <w:p w14:paraId="252069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研发项目</w:t>
            </w:r>
          </w:p>
        </w:tc>
        <w:tc>
          <w:tcPr>
            <w:tcW w:w="297" w:type="pct"/>
            <w:tcBorders>
              <w:top w:val="single" w:color="auto" w:sz="2" w:space="0"/>
              <w:left w:val="single" w:color="auto" w:sz="2" w:space="0"/>
              <w:bottom w:val="single" w:color="auto" w:sz="2" w:space="0"/>
              <w:right w:val="single" w:color="auto" w:sz="2" w:space="0"/>
            </w:tcBorders>
            <w:vAlign w:val="center"/>
          </w:tcPr>
          <w:p w14:paraId="4BF7C34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408" w:type="pct"/>
            <w:tcBorders>
              <w:top w:val="single" w:color="auto" w:sz="2" w:space="0"/>
              <w:left w:val="single" w:color="auto" w:sz="2" w:space="0"/>
              <w:bottom w:val="single" w:color="auto" w:sz="2" w:space="0"/>
              <w:right w:val="single" w:color="auto" w:sz="2" w:space="0"/>
            </w:tcBorders>
            <w:vAlign w:val="center"/>
          </w:tcPr>
          <w:p w14:paraId="359838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3,763.6</w:t>
            </w:r>
          </w:p>
        </w:tc>
        <w:tc>
          <w:tcPr>
            <w:tcW w:w="387" w:type="pct"/>
            <w:tcBorders>
              <w:top w:val="single" w:color="auto" w:sz="2" w:space="0"/>
              <w:left w:val="single" w:color="auto" w:sz="2" w:space="0"/>
              <w:bottom w:val="single" w:color="auto" w:sz="2" w:space="0"/>
              <w:right w:val="single" w:color="auto" w:sz="2" w:space="0"/>
            </w:tcBorders>
            <w:vAlign w:val="center"/>
          </w:tcPr>
          <w:p w14:paraId="7FF07553">
            <w:pPr>
              <w:spacing w:line="240" w:lineRule="exact"/>
              <w:jc w:val="right"/>
              <w:rPr>
                <w:rFonts w:ascii="Times New Roman" w:hAnsi="Times New Roman" w:cs="Times New Roman" w:eastAsiaTheme="majorEastAsia"/>
                <w:sz w:val="18"/>
                <w:szCs w:val="18"/>
              </w:rPr>
            </w:pPr>
          </w:p>
        </w:tc>
        <w:tc>
          <w:tcPr>
            <w:tcW w:w="384" w:type="pct"/>
            <w:tcBorders>
              <w:top w:val="single" w:color="auto" w:sz="2" w:space="0"/>
              <w:left w:val="single" w:color="auto" w:sz="2" w:space="0"/>
              <w:bottom w:val="single" w:color="auto" w:sz="2" w:space="0"/>
              <w:right w:val="single" w:color="auto" w:sz="2" w:space="0"/>
            </w:tcBorders>
            <w:vAlign w:val="center"/>
          </w:tcPr>
          <w:p w14:paraId="3529CC6E">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6EFDAD88">
            <w:pPr>
              <w:spacing w:line="240" w:lineRule="exact"/>
              <w:jc w:val="right"/>
              <w:rPr>
                <w:rFonts w:ascii="Times New Roman" w:hAnsi="Times New Roman" w:cs="Times New Roman" w:eastAsiaTheme="majorEastAsia"/>
                <w:sz w:val="18"/>
                <w:szCs w:val="18"/>
              </w:rPr>
            </w:pPr>
          </w:p>
        </w:tc>
        <w:tc>
          <w:tcPr>
            <w:tcW w:w="418" w:type="pct"/>
            <w:tcBorders>
              <w:top w:val="single" w:color="auto" w:sz="2" w:space="0"/>
              <w:left w:val="single" w:color="auto" w:sz="2" w:space="0"/>
              <w:bottom w:val="single" w:color="auto" w:sz="2" w:space="0"/>
              <w:right w:val="single" w:color="auto" w:sz="2" w:space="0"/>
            </w:tcBorders>
            <w:vAlign w:val="center"/>
          </w:tcPr>
          <w:p w14:paraId="3D104F06">
            <w:pPr>
              <w:spacing w:line="240" w:lineRule="exact"/>
              <w:jc w:val="right"/>
              <w:rPr>
                <w:rFonts w:ascii="Times New Roman" w:hAnsi="Times New Roman" w:cs="Times New Roman" w:eastAsiaTheme="majorEastAsia"/>
                <w:sz w:val="18"/>
                <w:szCs w:val="18"/>
              </w:rPr>
            </w:pPr>
          </w:p>
        </w:tc>
        <w:tc>
          <w:tcPr>
            <w:tcW w:w="336" w:type="pct"/>
            <w:tcBorders>
              <w:top w:val="single" w:color="auto" w:sz="2" w:space="0"/>
              <w:left w:val="single" w:color="auto" w:sz="2" w:space="0"/>
              <w:bottom w:val="single" w:color="auto" w:sz="2" w:space="0"/>
              <w:right w:val="single" w:color="auto" w:sz="2" w:space="0"/>
            </w:tcBorders>
            <w:vAlign w:val="center"/>
          </w:tcPr>
          <w:p w14:paraId="52C5DCB0">
            <w:pPr>
              <w:spacing w:line="240" w:lineRule="exact"/>
              <w:rPr>
                <w:rFonts w:ascii="Times New Roman" w:hAnsi="Times New Roman" w:cs="Times New Roman" w:eastAsiaTheme="majorEastAsia"/>
                <w:sz w:val="18"/>
                <w:szCs w:val="18"/>
              </w:rPr>
            </w:pPr>
          </w:p>
        </w:tc>
        <w:tc>
          <w:tcPr>
            <w:tcW w:w="237" w:type="pct"/>
            <w:tcBorders>
              <w:top w:val="single" w:color="auto" w:sz="2" w:space="0"/>
              <w:left w:val="single" w:color="auto" w:sz="2" w:space="0"/>
              <w:bottom w:val="single" w:color="auto" w:sz="2" w:space="0"/>
              <w:right w:val="single" w:color="auto" w:sz="2" w:space="0"/>
            </w:tcBorders>
            <w:vAlign w:val="center"/>
          </w:tcPr>
          <w:p w14:paraId="1EFDFF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0E3D46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5924C8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166952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24864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37A5DB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49C1AA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517FDE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3、营销服务体系升级建设项目</w:t>
            </w:r>
          </w:p>
        </w:tc>
        <w:tc>
          <w:tcPr>
            <w:tcW w:w="178" w:type="pct"/>
            <w:tcBorders>
              <w:top w:val="single" w:color="auto" w:sz="2" w:space="0"/>
              <w:left w:val="single" w:color="auto" w:sz="2" w:space="0"/>
              <w:bottom w:val="single" w:color="auto" w:sz="2" w:space="0"/>
              <w:right w:val="single" w:color="auto" w:sz="2" w:space="0"/>
            </w:tcBorders>
            <w:vAlign w:val="center"/>
          </w:tcPr>
          <w:p w14:paraId="169AF3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运营管理</w:t>
            </w:r>
          </w:p>
        </w:tc>
        <w:tc>
          <w:tcPr>
            <w:tcW w:w="297" w:type="pct"/>
            <w:tcBorders>
              <w:top w:val="single" w:color="auto" w:sz="2" w:space="0"/>
              <w:left w:val="single" w:color="auto" w:sz="2" w:space="0"/>
              <w:bottom w:val="single" w:color="auto" w:sz="2" w:space="0"/>
              <w:right w:val="single" w:color="auto" w:sz="2" w:space="0"/>
            </w:tcBorders>
            <w:vAlign w:val="center"/>
          </w:tcPr>
          <w:p w14:paraId="764C6E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c>
          <w:tcPr>
            <w:tcW w:w="408" w:type="pct"/>
            <w:tcBorders>
              <w:top w:val="single" w:color="auto" w:sz="2" w:space="0"/>
              <w:left w:val="single" w:color="auto" w:sz="2" w:space="0"/>
              <w:bottom w:val="single" w:color="auto" w:sz="2" w:space="0"/>
              <w:right w:val="single" w:color="auto" w:sz="2" w:space="0"/>
            </w:tcBorders>
            <w:vAlign w:val="center"/>
          </w:tcPr>
          <w:p w14:paraId="186D73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1,599.85</w:t>
            </w:r>
          </w:p>
        </w:tc>
        <w:tc>
          <w:tcPr>
            <w:tcW w:w="387" w:type="pct"/>
            <w:tcBorders>
              <w:top w:val="single" w:color="auto" w:sz="2" w:space="0"/>
              <w:left w:val="single" w:color="auto" w:sz="2" w:space="0"/>
              <w:bottom w:val="single" w:color="auto" w:sz="2" w:space="0"/>
              <w:right w:val="single" w:color="auto" w:sz="2" w:space="0"/>
            </w:tcBorders>
            <w:vAlign w:val="center"/>
          </w:tcPr>
          <w:p w14:paraId="2FC6C2F2">
            <w:pPr>
              <w:spacing w:line="240" w:lineRule="exact"/>
              <w:jc w:val="right"/>
              <w:rPr>
                <w:rFonts w:ascii="Times New Roman" w:hAnsi="Times New Roman" w:cs="Times New Roman" w:eastAsiaTheme="majorEastAsia"/>
                <w:sz w:val="18"/>
                <w:szCs w:val="18"/>
              </w:rPr>
            </w:pPr>
          </w:p>
        </w:tc>
        <w:tc>
          <w:tcPr>
            <w:tcW w:w="384" w:type="pct"/>
            <w:tcBorders>
              <w:top w:val="single" w:color="auto" w:sz="2" w:space="0"/>
              <w:left w:val="single" w:color="auto" w:sz="2" w:space="0"/>
              <w:bottom w:val="single" w:color="auto" w:sz="2" w:space="0"/>
              <w:right w:val="single" w:color="auto" w:sz="2" w:space="0"/>
            </w:tcBorders>
            <w:vAlign w:val="center"/>
          </w:tcPr>
          <w:p w14:paraId="016B5428">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5B33D3C9">
            <w:pPr>
              <w:spacing w:line="240" w:lineRule="exact"/>
              <w:jc w:val="right"/>
              <w:rPr>
                <w:rFonts w:ascii="Times New Roman" w:hAnsi="Times New Roman" w:cs="Times New Roman" w:eastAsiaTheme="majorEastAsia"/>
                <w:sz w:val="18"/>
                <w:szCs w:val="18"/>
              </w:rPr>
            </w:pPr>
          </w:p>
        </w:tc>
        <w:tc>
          <w:tcPr>
            <w:tcW w:w="418" w:type="pct"/>
            <w:tcBorders>
              <w:top w:val="single" w:color="auto" w:sz="2" w:space="0"/>
              <w:left w:val="single" w:color="auto" w:sz="2" w:space="0"/>
              <w:bottom w:val="single" w:color="auto" w:sz="2" w:space="0"/>
              <w:right w:val="single" w:color="auto" w:sz="2" w:space="0"/>
            </w:tcBorders>
            <w:vAlign w:val="center"/>
          </w:tcPr>
          <w:p w14:paraId="5A8F834D">
            <w:pPr>
              <w:spacing w:line="240" w:lineRule="exact"/>
              <w:jc w:val="right"/>
              <w:rPr>
                <w:rFonts w:ascii="Times New Roman" w:hAnsi="Times New Roman" w:cs="Times New Roman" w:eastAsiaTheme="majorEastAsia"/>
                <w:sz w:val="18"/>
                <w:szCs w:val="18"/>
              </w:rPr>
            </w:pPr>
          </w:p>
        </w:tc>
        <w:tc>
          <w:tcPr>
            <w:tcW w:w="336" w:type="pct"/>
            <w:tcBorders>
              <w:top w:val="single" w:color="auto" w:sz="2" w:space="0"/>
              <w:left w:val="single" w:color="auto" w:sz="2" w:space="0"/>
              <w:bottom w:val="single" w:color="auto" w:sz="2" w:space="0"/>
              <w:right w:val="single" w:color="auto" w:sz="2" w:space="0"/>
            </w:tcBorders>
            <w:vAlign w:val="center"/>
          </w:tcPr>
          <w:p w14:paraId="14E3D413">
            <w:pPr>
              <w:spacing w:line="240" w:lineRule="exact"/>
              <w:rPr>
                <w:rFonts w:ascii="Times New Roman" w:hAnsi="Times New Roman" w:cs="Times New Roman" w:eastAsiaTheme="majorEastAsia"/>
                <w:sz w:val="18"/>
                <w:szCs w:val="18"/>
              </w:rPr>
            </w:pPr>
          </w:p>
        </w:tc>
        <w:tc>
          <w:tcPr>
            <w:tcW w:w="237" w:type="pct"/>
            <w:tcBorders>
              <w:top w:val="single" w:color="auto" w:sz="2" w:space="0"/>
              <w:left w:val="single" w:color="auto" w:sz="2" w:space="0"/>
              <w:bottom w:val="single" w:color="auto" w:sz="2" w:space="0"/>
              <w:right w:val="single" w:color="auto" w:sz="2" w:space="0"/>
            </w:tcBorders>
            <w:vAlign w:val="center"/>
          </w:tcPr>
          <w:p w14:paraId="7CE4D3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C0207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61742F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3E96F4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34C153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65984B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2E8005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788D6E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4、深圳综合运营中心项目</w:t>
            </w:r>
          </w:p>
        </w:tc>
        <w:tc>
          <w:tcPr>
            <w:tcW w:w="178" w:type="pct"/>
            <w:tcBorders>
              <w:top w:val="single" w:color="auto" w:sz="2" w:space="0"/>
              <w:left w:val="single" w:color="auto" w:sz="2" w:space="0"/>
              <w:bottom w:val="single" w:color="auto" w:sz="2" w:space="0"/>
              <w:right w:val="single" w:color="auto" w:sz="2" w:space="0"/>
            </w:tcBorders>
            <w:vAlign w:val="center"/>
          </w:tcPr>
          <w:p w14:paraId="2A524D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生产建设</w:t>
            </w:r>
          </w:p>
        </w:tc>
        <w:tc>
          <w:tcPr>
            <w:tcW w:w="297" w:type="pct"/>
            <w:tcBorders>
              <w:top w:val="single" w:color="auto" w:sz="2" w:space="0"/>
              <w:left w:val="single" w:color="auto" w:sz="2" w:space="0"/>
              <w:bottom w:val="single" w:color="auto" w:sz="2" w:space="0"/>
              <w:right w:val="single" w:color="auto" w:sz="2" w:space="0"/>
            </w:tcBorders>
            <w:vAlign w:val="center"/>
          </w:tcPr>
          <w:p w14:paraId="192ACF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408" w:type="pct"/>
            <w:tcBorders>
              <w:top w:val="single" w:color="auto" w:sz="2" w:space="0"/>
              <w:left w:val="single" w:color="auto" w:sz="2" w:space="0"/>
              <w:bottom w:val="single" w:color="auto" w:sz="2" w:space="0"/>
              <w:right w:val="single" w:color="auto" w:sz="2" w:space="0"/>
            </w:tcBorders>
            <w:vAlign w:val="center"/>
          </w:tcPr>
          <w:p w14:paraId="335E98FE">
            <w:pPr>
              <w:spacing w:line="240" w:lineRule="exact"/>
              <w:jc w:val="right"/>
              <w:rPr>
                <w:rFonts w:ascii="Times New Roman" w:hAnsi="Times New Roman" w:cs="Times New Roman" w:eastAsiaTheme="majorEastAsia"/>
                <w:sz w:val="18"/>
                <w:szCs w:val="18"/>
              </w:rPr>
            </w:pPr>
          </w:p>
        </w:tc>
        <w:tc>
          <w:tcPr>
            <w:tcW w:w="387" w:type="pct"/>
            <w:tcBorders>
              <w:top w:val="single" w:color="auto" w:sz="2" w:space="0"/>
              <w:left w:val="single" w:color="auto" w:sz="2" w:space="0"/>
              <w:bottom w:val="single" w:color="auto" w:sz="2" w:space="0"/>
              <w:right w:val="single" w:color="auto" w:sz="2" w:space="0"/>
            </w:tcBorders>
            <w:vAlign w:val="center"/>
          </w:tcPr>
          <w:p w14:paraId="472F30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5,569.67</w:t>
            </w:r>
          </w:p>
        </w:tc>
        <w:tc>
          <w:tcPr>
            <w:tcW w:w="384" w:type="pct"/>
            <w:tcBorders>
              <w:top w:val="single" w:color="auto" w:sz="2" w:space="0"/>
              <w:left w:val="single" w:color="auto" w:sz="2" w:space="0"/>
              <w:bottom w:val="single" w:color="auto" w:sz="2" w:space="0"/>
              <w:right w:val="single" w:color="auto" w:sz="2" w:space="0"/>
            </w:tcBorders>
            <w:vAlign w:val="center"/>
          </w:tcPr>
          <w:p w14:paraId="62803B17">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3F6110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5,569.67</w:t>
            </w:r>
          </w:p>
        </w:tc>
        <w:tc>
          <w:tcPr>
            <w:tcW w:w="418" w:type="pct"/>
            <w:tcBorders>
              <w:top w:val="single" w:color="auto" w:sz="2" w:space="0"/>
              <w:left w:val="single" w:color="auto" w:sz="2" w:space="0"/>
              <w:bottom w:val="single" w:color="auto" w:sz="2" w:space="0"/>
              <w:right w:val="single" w:color="auto" w:sz="2" w:space="0"/>
            </w:tcBorders>
            <w:vAlign w:val="center"/>
          </w:tcPr>
          <w:p w14:paraId="3D1863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336" w:type="pct"/>
            <w:tcBorders>
              <w:top w:val="single" w:color="auto" w:sz="2" w:space="0"/>
              <w:left w:val="single" w:color="auto" w:sz="2" w:space="0"/>
              <w:bottom w:val="single" w:color="auto" w:sz="2" w:space="0"/>
              <w:right w:val="single" w:color="auto" w:sz="2" w:space="0"/>
            </w:tcBorders>
            <w:vAlign w:val="center"/>
          </w:tcPr>
          <w:p w14:paraId="3262CF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2025年08月24日</w:t>
            </w:r>
          </w:p>
        </w:tc>
        <w:tc>
          <w:tcPr>
            <w:tcW w:w="237" w:type="pct"/>
            <w:tcBorders>
              <w:top w:val="single" w:color="auto" w:sz="2" w:space="0"/>
              <w:left w:val="single" w:color="auto" w:sz="2" w:space="0"/>
              <w:bottom w:val="single" w:color="auto" w:sz="2" w:space="0"/>
              <w:right w:val="single" w:color="auto" w:sz="2" w:space="0"/>
            </w:tcBorders>
            <w:vAlign w:val="center"/>
          </w:tcPr>
          <w:p w14:paraId="10010B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38B19E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55D77E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738D3A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E5F4C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09812C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1C1B18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3BFC77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5、算力集群服务项目</w:t>
            </w:r>
          </w:p>
        </w:tc>
        <w:tc>
          <w:tcPr>
            <w:tcW w:w="178" w:type="pct"/>
            <w:tcBorders>
              <w:top w:val="single" w:color="auto" w:sz="2" w:space="0"/>
              <w:left w:val="single" w:color="auto" w:sz="2" w:space="0"/>
              <w:bottom w:val="single" w:color="auto" w:sz="2" w:space="0"/>
              <w:right w:val="single" w:color="auto" w:sz="2" w:space="0"/>
            </w:tcBorders>
            <w:vAlign w:val="center"/>
          </w:tcPr>
          <w:p w14:paraId="0B99C8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生产建设</w:t>
            </w:r>
          </w:p>
        </w:tc>
        <w:tc>
          <w:tcPr>
            <w:tcW w:w="297" w:type="pct"/>
            <w:tcBorders>
              <w:top w:val="single" w:color="auto" w:sz="2" w:space="0"/>
              <w:left w:val="single" w:color="auto" w:sz="2" w:space="0"/>
              <w:bottom w:val="single" w:color="auto" w:sz="2" w:space="0"/>
              <w:right w:val="single" w:color="auto" w:sz="2" w:space="0"/>
            </w:tcBorders>
            <w:vAlign w:val="center"/>
          </w:tcPr>
          <w:p w14:paraId="6301F7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408" w:type="pct"/>
            <w:tcBorders>
              <w:top w:val="single" w:color="auto" w:sz="2" w:space="0"/>
              <w:left w:val="single" w:color="auto" w:sz="2" w:space="0"/>
              <w:bottom w:val="single" w:color="auto" w:sz="2" w:space="0"/>
              <w:right w:val="single" w:color="auto" w:sz="2" w:space="0"/>
            </w:tcBorders>
            <w:vAlign w:val="center"/>
          </w:tcPr>
          <w:p w14:paraId="72C292FD">
            <w:pPr>
              <w:spacing w:line="240" w:lineRule="exact"/>
              <w:jc w:val="right"/>
              <w:rPr>
                <w:rFonts w:ascii="Times New Roman" w:hAnsi="Times New Roman" w:cs="Times New Roman" w:eastAsiaTheme="majorEastAsia"/>
                <w:sz w:val="18"/>
                <w:szCs w:val="18"/>
              </w:rPr>
            </w:pPr>
          </w:p>
        </w:tc>
        <w:tc>
          <w:tcPr>
            <w:tcW w:w="387" w:type="pct"/>
            <w:tcBorders>
              <w:top w:val="single" w:color="auto" w:sz="2" w:space="0"/>
              <w:left w:val="single" w:color="auto" w:sz="2" w:space="0"/>
              <w:bottom w:val="single" w:color="auto" w:sz="2" w:space="0"/>
              <w:right w:val="single" w:color="auto" w:sz="2" w:space="0"/>
            </w:tcBorders>
            <w:vAlign w:val="center"/>
          </w:tcPr>
          <w:p w14:paraId="1065EE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11,716</w:t>
            </w:r>
          </w:p>
        </w:tc>
        <w:tc>
          <w:tcPr>
            <w:tcW w:w="384" w:type="pct"/>
            <w:tcBorders>
              <w:top w:val="single" w:color="auto" w:sz="2" w:space="0"/>
              <w:left w:val="single" w:color="auto" w:sz="2" w:space="0"/>
              <w:bottom w:val="single" w:color="auto" w:sz="2" w:space="0"/>
              <w:right w:val="single" w:color="auto" w:sz="2" w:space="0"/>
            </w:tcBorders>
            <w:vAlign w:val="center"/>
          </w:tcPr>
          <w:p w14:paraId="1AF9D4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9,975</w:t>
            </w:r>
          </w:p>
        </w:tc>
        <w:tc>
          <w:tcPr>
            <w:tcW w:w="422" w:type="pct"/>
            <w:tcBorders>
              <w:top w:val="single" w:color="auto" w:sz="2" w:space="0"/>
              <w:left w:val="single" w:color="auto" w:sz="2" w:space="0"/>
              <w:bottom w:val="single" w:color="auto" w:sz="2" w:space="0"/>
              <w:right w:val="single" w:color="auto" w:sz="2" w:space="0"/>
            </w:tcBorders>
            <w:vAlign w:val="center"/>
          </w:tcPr>
          <w:p w14:paraId="6128CD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9,975</w:t>
            </w:r>
          </w:p>
        </w:tc>
        <w:tc>
          <w:tcPr>
            <w:tcW w:w="418" w:type="pct"/>
            <w:tcBorders>
              <w:top w:val="single" w:color="auto" w:sz="2" w:space="0"/>
              <w:left w:val="single" w:color="auto" w:sz="2" w:space="0"/>
              <w:bottom w:val="single" w:color="auto" w:sz="2" w:space="0"/>
              <w:right w:val="single" w:color="auto" w:sz="2" w:space="0"/>
            </w:tcBorders>
            <w:vAlign w:val="center"/>
          </w:tcPr>
          <w:p w14:paraId="643865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85.14%</w:t>
            </w:r>
          </w:p>
        </w:tc>
        <w:tc>
          <w:tcPr>
            <w:tcW w:w="336" w:type="pct"/>
            <w:tcBorders>
              <w:top w:val="single" w:color="auto" w:sz="2" w:space="0"/>
              <w:left w:val="single" w:color="auto" w:sz="2" w:space="0"/>
              <w:bottom w:val="single" w:color="auto" w:sz="2" w:space="0"/>
              <w:right w:val="single" w:color="auto" w:sz="2" w:space="0"/>
            </w:tcBorders>
            <w:vAlign w:val="center"/>
          </w:tcPr>
          <w:p w14:paraId="2AD3F7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2025年01月26日</w:t>
            </w:r>
          </w:p>
        </w:tc>
        <w:tc>
          <w:tcPr>
            <w:tcW w:w="237" w:type="pct"/>
            <w:tcBorders>
              <w:top w:val="single" w:color="auto" w:sz="2" w:space="0"/>
              <w:left w:val="single" w:color="auto" w:sz="2" w:space="0"/>
              <w:bottom w:val="single" w:color="auto" w:sz="2" w:space="0"/>
              <w:right w:val="single" w:color="auto" w:sz="2" w:space="0"/>
            </w:tcBorders>
            <w:vAlign w:val="center"/>
          </w:tcPr>
          <w:p w14:paraId="19CF0A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06CCEE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7B8AFE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695167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5FC0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1B18E5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102882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33A602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6、补充流动资金</w:t>
            </w:r>
          </w:p>
        </w:tc>
        <w:tc>
          <w:tcPr>
            <w:tcW w:w="178" w:type="pct"/>
            <w:tcBorders>
              <w:top w:val="single" w:color="auto" w:sz="2" w:space="0"/>
              <w:left w:val="single" w:color="auto" w:sz="2" w:space="0"/>
              <w:bottom w:val="single" w:color="auto" w:sz="2" w:space="0"/>
              <w:right w:val="single" w:color="auto" w:sz="2" w:space="0"/>
            </w:tcBorders>
            <w:vAlign w:val="center"/>
          </w:tcPr>
          <w:p w14:paraId="49180F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补流</w:t>
            </w:r>
          </w:p>
        </w:tc>
        <w:tc>
          <w:tcPr>
            <w:tcW w:w="297" w:type="pct"/>
            <w:tcBorders>
              <w:top w:val="single" w:color="auto" w:sz="2" w:space="0"/>
              <w:left w:val="single" w:color="auto" w:sz="2" w:space="0"/>
              <w:bottom w:val="single" w:color="auto" w:sz="2" w:space="0"/>
              <w:right w:val="single" w:color="auto" w:sz="2" w:space="0"/>
            </w:tcBorders>
            <w:vAlign w:val="center"/>
          </w:tcPr>
          <w:p w14:paraId="49CDAD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408" w:type="pct"/>
            <w:tcBorders>
              <w:top w:val="single" w:color="auto" w:sz="2" w:space="0"/>
              <w:left w:val="single" w:color="auto" w:sz="2" w:space="0"/>
              <w:bottom w:val="single" w:color="auto" w:sz="2" w:space="0"/>
              <w:right w:val="single" w:color="auto" w:sz="2" w:space="0"/>
            </w:tcBorders>
            <w:vAlign w:val="center"/>
          </w:tcPr>
          <w:p w14:paraId="28466B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387" w:type="pct"/>
            <w:tcBorders>
              <w:top w:val="single" w:color="auto" w:sz="2" w:space="0"/>
              <w:left w:val="single" w:color="auto" w:sz="2" w:space="0"/>
              <w:bottom w:val="single" w:color="auto" w:sz="2" w:space="0"/>
              <w:right w:val="single" w:color="auto" w:sz="2" w:space="0"/>
            </w:tcBorders>
            <w:vAlign w:val="center"/>
          </w:tcPr>
          <w:p w14:paraId="4FA16C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384" w:type="pct"/>
            <w:tcBorders>
              <w:top w:val="single" w:color="auto" w:sz="2" w:space="0"/>
              <w:left w:val="single" w:color="auto" w:sz="2" w:space="0"/>
              <w:bottom w:val="single" w:color="auto" w:sz="2" w:space="0"/>
              <w:right w:val="single" w:color="auto" w:sz="2" w:space="0"/>
            </w:tcBorders>
            <w:vAlign w:val="center"/>
          </w:tcPr>
          <w:p w14:paraId="7C91E70C">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498B29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10,017.48</w:t>
            </w:r>
          </w:p>
        </w:tc>
        <w:tc>
          <w:tcPr>
            <w:tcW w:w="418" w:type="pct"/>
            <w:tcBorders>
              <w:top w:val="single" w:color="auto" w:sz="2" w:space="0"/>
              <w:left w:val="single" w:color="auto" w:sz="2" w:space="0"/>
              <w:bottom w:val="single" w:color="auto" w:sz="2" w:space="0"/>
              <w:right w:val="single" w:color="auto" w:sz="2" w:space="0"/>
            </w:tcBorders>
            <w:vAlign w:val="center"/>
          </w:tcPr>
          <w:p w14:paraId="647F78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100.17%</w:t>
            </w:r>
          </w:p>
        </w:tc>
        <w:tc>
          <w:tcPr>
            <w:tcW w:w="336" w:type="pct"/>
            <w:tcBorders>
              <w:top w:val="single" w:color="auto" w:sz="2" w:space="0"/>
              <w:left w:val="single" w:color="auto" w:sz="2" w:space="0"/>
              <w:bottom w:val="single" w:color="auto" w:sz="2" w:space="0"/>
              <w:right w:val="single" w:color="auto" w:sz="2" w:space="0"/>
            </w:tcBorders>
            <w:vAlign w:val="center"/>
          </w:tcPr>
          <w:p w14:paraId="3CE28435">
            <w:pPr>
              <w:spacing w:line="240" w:lineRule="exact"/>
              <w:rPr>
                <w:rFonts w:ascii="Times New Roman" w:hAnsi="Times New Roman" w:cs="Times New Roman" w:eastAsiaTheme="majorEastAsia"/>
                <w:sz w:val="18"/>
                <w:szCs w:val="18"/>
              </w:rPr>
            </w:pPr>
          </w:p>
        </w:tc>
        <w:tc>
          <w:tcPr>
            <w:tcW w:w="237" w:type="pct"/>
            <w:tcBorders>
              <w:top w:val="single" w:color="auto" w:sz="2" w:space="0"/>
              <w:left w:val="single" w:color="auto" w:sz="2" w:space="0"/>
              <w:bottom w:val="single" w:color="auto" w:sz="2" w:space="0"/>
              <w:right w:val="single" w:color="auto" w:sz="2" w:space="0"/>
            </w:tcBorders>
            <w:vAlign w:val="center"/>
          </w:tcPr>
          <w:p w14:paraId="029C4A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262773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6FAEDF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0FF0DF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A8D0D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9"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A0E8A4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承诺投资项目小计</w:t>
            </w:r>
          </w:p>
        </w:tc>
        <w:tc>
          <w:tcPr>
            <w:tcW w:w="297" w:type="pct"/>
            <w:tcBorders>
              <w:top w:val="single" w:color="auto" w:sz="2" w:space="0"/>
              <w:left w:val="single" w:color="auto" w:sz="2" w:space="0"/>
              <w:bottom w:val="single" w:color="auto" w:sz="2" w:space="0"/>
              <w:right w:val="single" w:color="auto" w:sz="2" w:space="0"/>
            </w:tcBorders>
            <w:shd w:val="clear" w:color="auto" w:fill="D3D3D3"/>
            <w:vAlign w:val="center"/>
          </w:tcPr>
          <w:p w14:paraId="0A4D3B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408" w:type="pct"/>
            <w:tcBorders>
              <w:top w:val="single" w:color="auto" w:sz="2" w:space="0"/>
              <w:left w:val="single" w:color="auto" w:sz="2" w:space="0"/>
              <w:bottom w:val="single" w:color="auto" w:sz="2" w:space="0"/>
              <w:right w:val="single" w:color="auto" w:sz="2" w:space="0"/>
            </w:tcBorders>
            <w:vAlign w:val="center"/>
          </w:tcPr>
          <w:p w14:paraId="7A9E94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27,936.15</w:t>
            </w:r>
          </w:p>
        </w:tc>
        <w:tc>
          <w:tcPr>
            <w:tcW w:w="387" w:type="pct"/>
            <w:tcBorders>
              <w:top w:val="single" w:color="auto" w:sz="2" w:space="0"/>
              <w:left w:val="single" w:color="auto" w:sz="2" w:space="0"/>
              <w:bottom w:val="single" w:color="auto" w:sz="2" w:space="0"/>
              <w:right w:val="single" w:color="auto" w:sz="2" w:space="0"/>
            </w:tcBorders>
            <w:vAlign w:val="center"/>
          </w:tcPr>
          <w:p w14:paraId="6E3D0D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27,285.67</w:t>
            </w:r>
          </w:p>
        </w:tc>
        <w:tc>
          <w:tcPr>
            <w:tcW w:w="384" w:type="pct"/>
            <w:tcBorders>
              <w:top w:val="single" w:color="auto" w:sz="2" w:space="0"/>
              <w:left w:val="single" w:color="auto" w:sz="2" w:space="0"/>
              <w:bottom w:val="single" w:color="auto" w:sz="2" w:space="0"/>
              <w:right w:val="single" w:color="auto" w:sz="2" w:space="0"/>
            </w:tcBorders>
            <w:vAlign w:val="center"/>
          </w:tcPr>
          <w:p w14:paraId="76B48D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9,975</w:t>
            </w:r>
          </w:p>
        </w:tc>
        <w:tc>
          <w:tcPr>
            <w:tcW w:w="422" w:type="pct"/>
            <w:tcBorders>
              <w:top w:val="single" w:color="auto" w:sz="2" w:space="0"/>
              <w:left w:val="single" w:color="auto" w:sz="2" w:space="0"/>
              <w:bottom w:val="single" w:color="auto" w:sz="2" w:space="0"/>
              <w:right w:val="single" w:color="auto" w:sz="2" w:space="0"/>
            </w:tcBorders>
            <w:vAlign w:val="center"/>
          </w:tcPr>
          <w:p w14:paraId="19A7DC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25,562.15</w:t>
            </w:r>
          </w:p>
        </w:tc>
        <w:tc>
          <w:tcPr>
            <w:tcW w:w="418" w:type="pct"/>
            <w:tcBorders>
              <w:top w:val="single" w:color="auto" w:sz="2" w:space="0"/>
              <w:left w:val="single" w:color="auto" w:sz="2" w:space="0"/>
              <w:bottom w:val="single" w:color="auto" w:sz="2" w:space="0"/>
              <w:right w:val="single" w:color="auto" w:sz="2" w:space="0"/>
            </w:tcBorders>
            <w:shd w:val="clear" w:color="auto" w:fill="D3D3D3"/>
            <w:vAlign w:val="center"/>
          </w:tcPr>
          <w:p w14:paraId="051A07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36" w:type="pct"/>
            <w:tcBorders>
              <w:top w:val="single" w:color="auto" w:sz="2" w:space="0"/>
              <w:left w:val="single" w:color="auto" w:sz="2" w:space="0"/>
              <w:bottom w:val="single" w:color="auto" w:sz="2" w:space="0"/>
              <w:right w:val="single" w:color="auto" w:sz="2" w:space="0"/>
            </w:tcBorders>
            <w:shd w:val="clear" w:color="auto" w:fill="D3D3D3"/>
            <w:vAlign w:val="center"/>
          </w:tcPr>
          <w:p w14:paraId="453589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37" w:type="pct"/>
            <w:tcBorders>
              <w:top w:val="single" w:color="auto" w:sz="2" w:space="0"/>
              <w:left w:val="single" w:color="auto" w:sz="2" w:space="0"/>
              <w:bottom w:val="single" w:color="auto" w:sz="2" w:space="0"/>
              <w:right w:val="single" w:color="auto" w:sz="2" w:space="0"/>
            </w:tcBorders>
            <w:vAlign w:val="center"/>
          </w:tcPr>
          <w:p w14:paraId="327FB3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848B1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shd w:val="clear" w:color="auto" w:fill="D3D3D3"/>
            <w:vAlign w:val="center"/>
          </w:tcPr>
          <w:p w14:paraId="19DE899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261EC0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4420CB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1BEC9D6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超募资金投向</w:t>
            </w:r>
          </w:p>
        </w:tc>
      </w:tr>
      <w:tr w14:paraId="086FA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4C82AE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2627BA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28D2B0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1、未明确流向</w:t>
            </w:r>
          </w:p>
        </w:tc>
        <w:tc>
          <w:tcPr>
            <w:tcW w:w="178" w:type="pct"/>
            <w:tcBorders>
              <w:top w:val="single" w:color="auto" w:sz="2" w:space="0"/>
              <w:left w:val="single" w:color="auto" w:sz="2" w:space="0"/>
              <w:bottom w:val="single" w:color="auto" w:sz="2" w:space="0"/>
              <w:right w:val="single" w:color="auto" w:sz="2" w:space="0"/>
            </w:tcBorders>
            <w:vAlign w:val="center"/>
          </w:tcPr>
          <w:p w14:paraId="158F5F3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297" w:type="pct"/>
            <w:tcBorders>
              <w:top w:val="single" w:color="auto" w:sz="2" w:space="0"/>
              <w:left w:val="single" w:color="auto" w:sz="2" w:space="0"/>
              <w:bottom w:val="single" w:color="auto" w:sz="2" w:space="0"/>
              <w:right w:val="single" w:color="auto" w:sz="2" w:space="0"/>
            </w:tcBorders>
            <w:vAlign w:val="center"/>
          </w:tcPr>
          <w:p w14:paraId="04695C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408" w:type="pct"/>
            <w:tcBorders>
              <w:top w:val="single" w:color="auto" w:sz="2" w:space="0"/>
              <w:left w:val="single" w:color="auto" w:sz="2" w:space="0"/>
              <w:bottom w:val="single" w:color="auto" w:sz="2" w:space="0"/>
              <w:right w:val="single" w:color="auto" w:sz="2" w:space="0"/>
            </w:tcBorders>
            <w:vAlign w:val="center"/>
          </w:tcPr>
          <w:p w14:paraId="46C8E7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5,603.22</w:t>
            </w:r>
          </w:p>
        </w:tc>
        <w:tc>
          <w:tcPr>
            <w:tcW w:w="387" w:type="pct"/>
            <w:tcBorders>
              <w:top w:val="single" w:color="auto" w:sz="2" w:space="0"/>
              <w:left w:val="single" w:color="auto" w:sz="2" w:space="0"/>
              <w:bottom w:val="single" w:color="auto" w:sz="2" w:space="0"/>
              <w:right w:val="single" w:color="auto" w:sz="2" w:space="0"/>
            </w:tcBorders>
            <w:vAlign w:val="center"/>
          </w:tcPr>
          <w:p w14:paraId="4E072D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5,603.22</w:t>
            </w:r>
          </w:p>
        </w:tc>
        <w:tc>
          <w:tcPr>
            <w:tcW w:w="384" w:type="pct"/>
            <w:tcBorders>
              <w:top w:val="single" w:color="auto" w:sz="2" w:space="0"/>
              <w:left w:val="single" w:color="auto" w:sz="2" w:space="0"/>
              <w:bottom w:val="single" w:color="auto" w:sz="2" w:space="0"/>
              <w:right w:val="single" w:color="auto" w:sz="2" w:space="0"/>
            </w:tcBorders>
            <w:vAlign w:val="center"/>
          </w:tcPr>
          <w:p w14:paraId="21855E41">
            <w:pPr>
              <w:spacing w:line="240" w:lineRule="exact"/>
              <w:jc w:val="right"/>
              <w:rPr>
                <w:rFonts w:ascii="Times New Roman" w:hAnsi="Times New Roman" w:cs="Times New Roman" w:eastAsiaTheme="majorEastAsia"/>
                <w:sz w:val="18"/>
                <w:szCs w:val="18"/>
              </w:rPr>
            </w:pPr>
          </w:p>
        </w:tc>
        <w:tc>
          <w:tcPr>
            <w:tcW w:w="422" w:type="pct"/>
            <w:tcBorders>
              <w:top w:val="single" w:color="auto" w:sz="2" w:space="0"/>
              <w:left w:val="single" w:color="auto" w:sz="2" w:space="0"/>
              <w:bottom w:val="single" w:color="auto" w:sz="2" w:space="0"/>
              <w:right w:val="single" w:color="auto" w:sz="2" w:space="0"/>
            </w:tcBorders>
            <w:vAlign w:val="center"/>
          </w:tcPr>
          <w:p w14:paraId="2A432977">
            <w:pPr>
              <w:spacing w:line="240" w:lineRule="exact"/>
              <w:jc w:val="right"/>
              <w:rPr>
                <w:rFonts w:ascii="Times New Roman" w:hAnsi="Times New Roman" w:cs="Times New Roman" w:eastAsiaTheme="majorEastAsia"/>
                <w:sz w:val="18"/>
                <w:szCs w:val="18"/>
              </w:rPr>
            </w:pPr>
          </w:p>
        </w:tc>
        <w:tc>
          <w:tcPr>
            <w:tcW w:w="418" w:type="pct"/>
            <w:tcBorders>
              <w:top w:val="single" w:color="auto" w:sz="2" w:space="0"/>
              <w:left w:val="single" w:color="auto" w:sz="2" w:space="0"/>
              <w:bottom w:val="single" w:color="auto" w:sz="2" w:space="0"/>
              <w:right w:val="single" w:color="auto" w:sz="2" w:space="0"/>
            </w:tcBorders>
            <w:vAlign w:val="center"/>
          </w:tcPr>
          <w:p w14:paraId="05E606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336" w:type="pct"/>
            <w:tcBorders>
              <w:top w:val="single" w:color="auto" w:sz="2" w:space="0"/>
              <w:left w:val="single" w:color="auto" w:sz="2" w:space="0"/>
              <w:bottom w:val="single" w:color="auto" w:sz="2" w:space="0"/>
              <w:right w:val="single" w:color="auto" w:sz="2" w:space="0"/>
            </w:tcBorders>
            <w:vAlign w:val="center"/>
          </w:tcPr>
          <w:p w14:paraId="01C4E4FA">
            <w:pPr>
              <w:spacing w:line="240" w:lineRule="exact"/>
              <w:rPr>
                <w:rFonts w:ascii="Times New Roman" w:hAnsi="Times New Roman" w:cs="Times New Roman" w:eastAsiaTheme="majorEastAsia"/>
                <w:sz w:val="18"/>
                <w:szCs w:val="18"/>
              </w:rPr>
            </w:pPr>
          </w:p>
        </w:tc>
        <w:tc>
          <w:tcPr>
            <w:tcW w:w="237" w:type="pct"/>
            <w:tcBorders>
              <w:top w:val="single" w:color="auto" w:sz="2" w:space="0"/>
              <w:left w:val="single" w:color="auto" w:sz="2" w:space="0"/>
              <w:bottom w:val="single" w:color="auto" w:sz="2" w:space="0"/>
              <w:right w:val="single" w:color="auto" w:sz="2" w:space="0"/>
            </w:tcBorders>
            <w:vAlign w:val="center"/>
          </w:tcPr>
          <w:p w14:paraId="182C3C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0E3CF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78F6999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4E2987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28AF7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43" w:type="pct"/>
            <w:tcBorders>
              <w:top w:val="single" w:color="auto" w:sz="2" w:space="0"/>
              <w:left w:val="single" w:color="auto" w:sz="2" w:space="0"/>
              <w:bottom w:val="single" w:color="auto" w:sz="2" w:space="0"/>
              <w:right w:val="single" w:color="auto" w:sz="2" w:space="0"/>
            </w:tcBorders>
            <w:vAlign w:val="center"/>
          </w:tcPr>
          <w:p w14:paraId="52A7F5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2021年度首次公开发行证券</w:t>
            </w:r>
          </w:p>
        </w:tc>
        <w:tc>
          <w:tcPr>
            <w:tcW w:w="359" w:type="pct"/>
            <w:tcBorders>
              <w:top w:val="single" w:color="auto" w:sz="2" w:space="0"/>
              <w:left w:val="single" w:color="auto" w:sz="2" w:space="0"/>
              <w:bottom w:val="single" w:color="auto" w:sz="2" w:space="0"/>
              <w:right w:val="single" w:color="auto" w:sz="2" w:space="0"/>
            </w:tcBorders>
            <w:vAlign w:val="center"/>
          </w:tcPr>
          <w:p w14:paraId="065A52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2021年11月12日</w:t>
            </w:r>
          </w:p>
        </w:tc>
        <w:tc>
          <w:tcPr>
            <w:tcW w:w="339" w:type="pct"/>
            <w:tcBorders>
              <w:top w:val="single" w:color="auto" w:sz="2" w:space="0"/>
              <w:left w:val="single" w:color="auto" w:sz="2" w:space="0"/>
              <w:bottom w:val="single" w:color="auto" w:sz="2" w:space="0"/>
              <w:right w:val="single" w:color="auto" w:sz="2" w:space="0"/>
            </w:tcBorders>
            <w:vAlign w:val="center"/>
          </w:tcPr>
          <w:p w14:paraId="066DDA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2、深圳综合运营中心项目</w:t>
            </w:r>
          </w:p>
        </w:tc>
        <w:tc>
          <w:tcPr>
            <w:tcW w:w="178" w:type="pct"/>
            <w:tcBorders>
              <w:top w:val="single" w:color="auto" w:sz="2" w:space="0"/>
              <w:left w:val="single" w:color="auto" w:sz="2" w:space="0"/>
              <w:bottom w:val="single" w:color="auto" w:sz="2" w:space="0"/>
              <w:right w:val="single" w:color="auto" w:sz="2" w:space="0"/>
            </w:tcBorders>
            <w:vAlign w:val="center"/>
          </w:tcPr>
          <w:p w14:paraId="6A14EB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生产建设</w:t>
            </w:r>
          </w:p>
        </w:tc>
        <w:tc>
          <w:tcPr>
            <w:tcW w:w="297" w:type="pct"/>
            <w:tcBorders>
              <w:top w:val="single" w:color="auto" w:sz="2" w:space="0"/>
              <w:left w:val="single" w:color="auto" w:sz="2" w:space="0"/>
              <w:bottom w:val="single" w:color="auto" w:sz="2" w:space="0"/>
              <w:right w:val="single" w:color="auto" w:sz="2" w:space="0"/>
            </w:tcBorders>
            <w:vAlign w:val="center"/>
          </w:tcPr>
          <w:p w14:paraId="2EFC043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408" w:type="pct"/>
            <w:tcBorders>
              <w:top w:val="single" w:color="auto" w:sz="2" w:space="0"/>
              <w:left w:val="single" w:color="auto" w:sz="2" w:space="0"/>
              <w:bottom w:val="single" w:color="auto" w:sz="2" w:space="0"/>
              <w:right w:val="single" w:color="auto" w:sz="2" w:space="0"/>
            </w:tcBorders>
            <w:vAlign w:val="center"/>
          </w:tcPr>
          <w:p w14:paraId="377454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4,186.69</w:t>
            </w:r>
          </w:p>
        </w:tc>
        <w:tc>
          <w:tcPr>
            <w:tcW w:w="387" w:type="pct"/>
            <w:tcBorders>
              <w:top w:val="single" w:color="auto" w:sz="2" w:space="0"/>
              <w:left w:val="single" w:color="auto" w:sz="2" w:space="0"/>
              <w:bottom w:val="single" w:color="auto" w:sz="2" w:space="0"/>
              <w:right w:val="single" w:color="auto" w:sz="2" w:space="0"/>
            </w:tcBorders>
            <w:vAlign w:val="center"/>
          </w:tcPr>
          <w:p w14:paraId="1BBBE6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4,186.69</w:t>
            </w:r>
          </w:p>
        </w:tc>
        <w:tc>
          <w:tcPr>
            <w:tcW w:w="384" w:type="pct"/>
            <w:tcBorders>
              <w:top w:val="single" w:color="auto" w:sz="2" w:space="0"/>
              <w:left w:val="single" w:color="auto" w:sz="2" w:space="0"/>
              <w:bottom w:val="single" w:color="auto" w:sz="2" w:space="0"/>
              <w:right w:val="single" w:color="auto" w:sz="2" w:space="0"/>
            </w:tcBorders>
            <w:vAlign w:val="center"/>
          </w:tcPr>
          <w:p w14:paraId="7FA95C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508.76</w:t>
            </w:r>
          </w:p>
        </w:tc>
        <w:tc>
          <w:tcPr>
            <w:tcW w:w="422" w:type="pct"/>
            <w:tcBorders>
              <w:top w:val="single" w:color="auto" w:sz="2" w:space="0"/>
              <w:left w:val="single" w:color="auto" w:sz="2" w:space="0"/>
              <w:bottom w:val="single" w:color="auto" w:sz="2" w:space="0"/>
              <w:right w:val="single" w:color="auto" w:sz="2" w:space="0"/>
            </w:tcBorders>
            <w:vAlign w:val="center"/>
          </w:tcPr>
          <w:p w14:paraId="0723FA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1,828.55</w:t>
            </w:r>
          </w:p>
        </w:tc>
        <w:tc>
          <w:tcPr>
            <w:tcW w:w="418" w:type="pct"/>
            <w:tcBorders>
              <w:top w:val="single" w:color="auto" w:sz="2" w:space="0"/>
              <w:left w:val="single" w:color="auto" w:sz="2" w:space="0"/>
              <w:bottom w:val="single" w:color="auto" w:sz="2" w:space="0"/>
              <w:right w:val="single" w:color="auto" w:sz="2" w:space="0"/>
            </w:tcBorders>
            <w:vAlign w:val="center"/>
          </w:tcPr>
          <w:p w14:paraId="52B976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43.68%</w:t>
            </w:r>
          </w:p>
        </w:tc>
        <w:tc>
          <w:tcPr>
            <w:tcW w:w="336" w:type="pct"/>
            <w:tcBorders>
              <w:top w:val="single" w:color="auto" w:sz="2" w:space="0"/>
              <w:left w:val="single" w:color="auto" w:sz="2" w:space="0"/>
              <w:bottom w:val="single" w:color="auto" w:sz="2" w:space="0"/>
              <w:right w:val="single" w:color="auto" w:sz="2" w:space="0"/>
            </w:tcBorders>
            <w:vAlign w:val="center"/>
          </w:tcPr>
          <w:p w14:paraId="22304B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2025年08月24日</w:t>
            </w:r>
          </w:p>
        </w:tc>
        <w:tc>
          <w:tcPr>
            <w:tcW w:w="237" w:type="pct"/>
            <w:tcBorders>
              <w:top w:val="single" w:color="auto" w:sz="2" w:space="0"/>
              <w:left w:val="single" w:color="auto" w:sz="2" w:space="0"/>
              <w:bottom w:val="single" w:color="auto" w:sz="2" w:space="0"/>
              <w:right w:val="single" w:color="auto" w:sz="2" w:space="0"/>
            </w:tcBorders>
            <w:vAlign w:val="center"/>
          </w:tcPr>
          <w:p w14:paraId="491FA0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2854C2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vAlign w:val="center"/>
          </w:tcPr>
          <w:p w14:paraId="18FFE5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83" w:type="pct"/>
            <w:tcBorders>
              <w:top w:val="single" w:color="auto" w:sz="2" w:space="0"/>
              <w:left w:val="single" w:color="auto" w:sz="2" w:space="0"/>
              <w:bottom w:val="single" w:color="auto" w:sz="2" w:space="0"/>
              <w:right w:val="single" w:color="auto" w:sz="2" w:space="0"/>
            </w:tcBorders>
            <w:vAlign w:val="center"/>
          </w:tcPr>
          <w:p w14:paraId="609D56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5FD715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9"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3BE06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补充流动资金（如有）</w:t>
            </w:r>
          </w:p>
        </w:tc>
        <w:tc>
          <w:tcPr>
            <w:tcW w:w="297" w:type="pct"/>
            <w:tcBorders>
              <w:top w:val="single" w:color="auto" w:sz="2" w:space="0"/>
              <w:left w:val="single" w:color="auto" w:sz="2" w:space="0"/>
              <w:bottom w:val="single" w:color="auto" w:sz="2" w:space="0"/>
              <w:right w:val="single" w:color="auto" w:sz="2" w:space="0"/>
            </w:tcBorders>
            <w:shd w:val="clear" w:color="auto" w:fill="D3D3D3"/>
            <w:vAlign w:val="center"/>
          </w:tcPr>
          <w:p w14:paraId="71D54E9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408" w:type="pct"/>
            <w:tcBorders>
              <w:top w:val="single" w:color="auto" w:sz="2" w:space="0"/>
              <w:left w:val="single" w:color="auto" w:sz="2" w:space="0"/>
              <w:bottom w:val="single" w:color="auto" w:sz="2" w:space="0"/>
              <w:right w:val="single" w:color="auto" w:sz="2" w:space="0"/>
            </w:tcBorders>
            <w:vAlign w:val="center"/>
          </w:tcPr>
          <w:p w14:paraId="1C5ACD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13,300</w:t>
            </w:r>
          </w:p>
        </w:tc>
        <w:tc>
          <w:tcPr>
            <w:tcW w:w="387" w:type="pct"/>
            <w:tcBorders>
              <w:top w:val="single" w:color="auto" w:sz="2" w:space="0"/>
              <w:left w:val="single" w:color="auto" w:sz="2" w:space="0"/>
              <w:bottom w:val="single" w:color="auto" w:sz="2" w:space="0"/>
              <w:right w:val="single" w:color="auto" w:sz="2" w:space="0"/>
            </w:tcBorders>
            <w:vAlign w:val="center"/>
          </w:tcPr>
          <w:p w14:paraId="0D9B4F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13,300</w:t>
            </w:r>
          </w:p>
        </w:tc>
        <w:tc>
          <w:tcPr>
            <w:tcW w:w="384" w:type="pct"/>
            <w:tcBorders>
              <w:top w:val="single" w:color="auto" w:sz="2" w:space="0"/>
              <w:left w:val="single" w:color="auto" w:sz="2" w:space="0"/>
              <w:bottom w:val="single" w:color="auto" w:sz="2" w:space="0"/>
              <w:right w:val="single" w:color="auto" w:sz="2" w:space="0"/>
            </w:tcBorders>
            <w:vAlign w:val="center"/>
          </w:tcPr>
          <w:p w14:paraId="0843EE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22" w:type="pct"/>
            <w:tcBorders>
              <w:top w:val="single" w:color="auto" w:sz="2" w:space="0"/>
              <w:left w:val="single" w:color="auto" w:sz="2" w:space="0"/>
              <w:bottom w:val="single" w:color="auto" w:sz="2" w:space="0"/>
              <w:right w:val="single" w:color="auto" w:sz="2" w:space="0"/>
            </w:tcBorders>
            <w:vAlign w:val="center"/>
          </w:tcPr>
          <w:p w14:paraId="7B65F9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6,500</w:t>
            </w:r>
          </w:p>
        </w:tc>
        <w:tc>
          <w:tcPr>
            <w:tcW w:w="418" w:type="pct"/>
            <w:tcBorders>
              <w:top w:val="single" w:color="auto" w:sz="2" w:space="0"/>
              <w:left w:val="single" w:color="auto" w:sz="2" w:space="0"/>
              <w:bottom w:val="single" w:color="auto" w:sz="2" w:space="0"/>
              <w:right w:val="single" w:color="auto" w:sz="2" w:space="0"/>
            </w:tcBorders>
            <w:vAlign w:val="center"/>
          </w:tcPr>
          <w:p w14:paraId="62F1FE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48.87%</w:t>
            </w:r>
          </w:p>
        </w:tc>
        <w:tc>
          <w:tcPr>
            <w:tcW w:w="336" w:type="pct"/>
            <w:tcBorders>
              <w:top w:val="single" w:color="auto" w:sz="2" w:space="0"/>
              <w:left w:val="single" w:color="auto" w:sz="2" w:space="0"/>
              <w:bottom w:val="single" w:color="auto" w:sz="2" w:space="0"/>
              <w:right w:val="single" w:color="auto" w:sz="2" w:space="0"/>
            </w:tcBorders>
            <w:shd w:val="clear" w:color="auto" w:fill="D3D3D3"/>
            <w:vAlign w:val="center"/>
          </w:tcPr>
          <w:p w14:paraId="600C05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37" w:type="pct"/>
            <w:tcBorders>
              <w:top w:val="single" w:color="auto" w:sz="2" w:space="0"/>
              <w:left w:val="single" w:color="auto" w:sz="2" w:space="0"/>
              <w:bottom w:val="single" w:color="auto" w:sz="2" w:space="0"/>
              <w:right w:val="single" w:color="auto" w:sz="2" w:space="0"/>
            </w:tcBorders>
            <w:shd w:val="clear" w:color="auto" w:fill="D3D3D3"/>
            <w:vAlign w:val="center"/>
          </w:tcPr>
          <w:p w14:paraId="6F33F0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54FA95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25" w:type="pct"/>
            <w:tcBorders>
              <w:top w:val="single" w:color="auto" w:sz="2" w:space="0"/>
              <w:left w:val="single" w:color="auto" w:sz="2" w:space="0"/>
              <w:bottom w:val="single" w:color="auto" w:sz="2" w:space="0"/>
              <w:right w:val="single" w:color="auto" w:sz="2" w:space="0"/>
            </w:tcBorders>
            <w:shd w:val="clear" w:color="auto" w:fill="D3D3D3"/>
            <w:vAlign w:val="center"/>
          </w:tcPr>
          <w:p w14:paraId="091C77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244F4D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2972F7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9"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332C90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超募资金投向小计</w:t>
            </w:r>
          </w:p>
        </w:tc>
        <w:tc>
          <w:tcPr>
            <w:tcW w:w="297" w:type="pct"/>
            <w:tcBorders>
              <w:top w:val="single" w:color="auto" w:sz="2" w:space="0"/>
              <w:left w:val="single" w:color="auto" w:sz="2" w:space="0"/>
              <w:bottom w:val="single" w:color="auto" w:sz="2" w:space="0"/>
              <w:right w:val="single" w:color="auto" w:sz="2" w:space="0"/>
            </w:tcBorders>
            <w:shd w:val="clear" w:color="auto" w:fill="D3D3D3"/>
            <w:vAlign w:val="center"/>
          </w:tcPr>
          <w:p w14:paraId="61B35F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408" w:type="pct"/>
            <w:tcBorders>
              <w:top w:val="single" w:color="auto" w:sz="2" w:space="0"/>
              <w:left w:val="single" w:color="auto" w:sz="2" w:space="0"/>
              <w:bottom w:val="single" w:color="auto" w:sz="2" w:space="0"/>
              <w:right w:val="single" w:color="auto" w:sz="2" w:space="0"/>
            </w:tcBorders>
            <w:vAlign w:val="center"/>
          </w:tcPr>
          <w:p w14:paraId="04ECFD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23,089.91</w:t>
            </w:r>
          </w:p>
        </w:tc>
        <w:tc>
          <w:tcPr>
            <w:tcW w:w="387" w:type="pct"/>
            <w:tcBorders>
              <w:top w:val="single" w:color="auto" w:sz="2" w:space="0"/>
              <w:left w:val="single" w:color="auto" w:sz="2" w:space="0"/>
              <w:bottom w:val="single" w:color="auto" w:sz="2" w:space="0"/>
              <w:right w:val="single" w:color="auto" w:sz="2" w:space="0"/>
            </w:tcBorders>
            <w:vAlign w:val="center"/>
          </w:tcPr>
          <w:p w14:paraId="404981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23,089.91</w:t>
            </w:r>
          </w:p>
        </w:tc>
        <w:tc>
          <w:tcPr>
            <w:tcW w:w="384" w:type="pct"/>
            <w:tcBorders>
              <w:top w:val="single" w:color="auto" w:sz="2" w:space="0"/>
              <w:left w:val="single" w:color="auto" w:sz="2" w:space="0"/>
              <w:bottom w:val="single" w:color="auto" w:sz="2" w:space="0"/>
              <w:right w:val="single" w:color="auto" w:sz="2" w:space="0"/>
            </w:tcBorders>
            <w:vAlign w:val="center"/>
          </w:tcPr>
          <w:p w14:paraId="24FCFE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508.76</w:t>
            </w:r>
          </w:p>
        </w:tc>
        <w:tc>
          <w:tcPr>
            <w:tcW w:w="422" w:type="pct"/>
            <w:tcBorders>
              <w:top w:val="single" w:color="auto" w:sz="2" w:space="0"/>
              <w:left w:val="single" w:color="auto" w:sz="2" w:space="0"/>
              <w:bottom w:val="single" w:color="auto" w:sz="2" w:space="0"/>
              <w:right w:val="single" w:color="auto" w:sz="2" w:space="0"/>
            </w:tcBorders>
            <w:vAlign w:val="center"/>
          </w:tcPr>
          <w:p w14:paraId="04E986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8,328.55</w:t>
            </w:r>
          </w:p>
        </w:tc>
        <w:tc>
          <w:tcPr>
            <w:tcW w:w="418" w:type="pct"/>
            <w:tcBorders>
              <w:top w:val="single" w:color="auto" w:sz="2" w:space="0"/>
              <w:left w:val="single" w:color="auto" w:sz="2" w:space="0"/>
              <w:bottom w:val="single" w:color="auto" w:sz="2" w:space="0"/>
              <w:right w:val="single" w:color="auto" w:sz="2" w:space="0"/>
            </w:tcBorders>
            <w:shd w:val="clear" w:color="auto" w:fill="D3D3D3"/>
            <w:vAlign w:val="center"/>
          </w:tcPr>
          <w:p w14:paraId="1FB22E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36" w:type="pct"/>
            <w:tcBorders>
              <w:top w:val="single" w:color="auto" w:sz="2" w:space="0"/>
              <w:left w:val="single" w:color="auto" w:sz="2" w:space="0"/>
              <w:bottom w:val="single" w:color="auto" w:sz="2" w:space="0"/>
              <w:right w:val="single" w:color="auto" w:sz="2" w:space="0"/>
            </w:tcBorders>
            <w:shd w:val="clear" w:color="auto" w:fill="D3D3D3"/>
            <w:vAlign w:val="center"/>
          </w:tcPr>
          <w:p w14:paraId="302C0B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37" w:type="pct"/>
            <w:tcBorders>
              <w:top w:val="single" w:color="auto" w:sz="2" w:space="0"/>
              <w:left w:val="single" w:color="auto" w:sz="2" w:space="0"/>
              <w:bottom w:val="single" w:color="auto" w:sz="2" w:space="0"/>
              <w:right w:val="single" w:color="auto" w:sz="2" w:space="0"/>
            </w:tcBorders>
            <w:vAlign w:val="center"/>
          </w:tcPr>
          <w:p w14:paraId="31389F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692CAE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shd w:val="clear" w:color="auto" w:fill="D3D3D3"/>
            <w:vAlign w:val="center"/>
          </w:tcPr>
          <w:p w14:paraId="383D04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3F9CCD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18E199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9"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C7B5D7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97" w:type="pct"/>
            <w:tcBorders>
              <w:top w:val="single" w:color="auto" w:sz="2" w:space="0"/>
              <w:left w:val="single" w:color="auto" w:sz="2" w:space="0"/>
              <w:bottom w:val="single" w:color="auto" w:sz="2" w:space="0"/>
              <w:right w:val="single" w:color="auto" w:sz="2" w:space="0"/>
            </w:tcBorders>
            <w:shd w:val="clear" w:color="auto" w:fill="D3D3D3"/>
            <w:vAlign w:val="center"/>
          </w:tcPr>
          <w:p w14:paraId="1F2218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408" w:type="pct"/>
            <w:tcBorders>
              <w:top w:val="single" w:color="auto" w:sz="2" w:space="0"/>
              <w:left w:val="single" w:color="auto" w:sz="2" w:space="0"/>
              <w:bottom w:val="single" w:color="auto" w:sz="2" w:space="0"/>
              <w:right w:val="single" w:color="auto" w:sz="2" w:space="0"/>
            </w:tcBorders>
            <w:vAlign w:val="center"/>
          </w:tcPr>
          <w:p w14:paraId="4C0865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51,026.06</w:t>
            </w:r>
          </w:p>
        </w:tc>
        <w:tc>
          <w:tcPr>
            <w:tcW w:w="387" w:type="pct"/>
            <w:tcBorders>
              <w:top w:val="single" w:color="auto" w:sz="2" w:space="0"/>
              <w:left w:val="single" w:color="auto" w:sz="2" w:space="0"/>
              <w:bottom w:val="single" w:color="auto" w:sz="2" w:space="0"/>
              <w:right w:val="single" w:color="auto" w:sz="2" w:space="0"/>
            </w:tcBorders>
            <w:vAlign w:val="center"/>
          </w:tcPr>
          <w:p w14:paraId="004BDC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50,375.58</w:t>
            </w:r>
          </w:p>
        </w:tc>
        <w:tc>
          <w:tcPr>
            <w:tcW w:w="384" w:type="pct"/>
            <w:tcBorders>
              <w:top w:val="single" w:color="auto" w:sz="2" w:space="0"/>
              <w:left w:val="single" w:color="auto" w:sz="2" w:space="0"/>
              <w:bottom w:val="single" w:color="auto" w:sz="2" w:space="0"/>
              <w:right w:val="single" w:color="auto" w:sz="2" w:space="0"/>
            </w:tcBorders>
            <w:vAlign w:val="center"/>
          </w:tcPr>
          <w:p w14:paraId="1E1E77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10,483.76</w:t>
            </w:r>
          </w:p>
        </w:tc>
        <w:tc>
          <w:tcPr>
            <w:tcW w:w="422" w:type="pct"/>
            <w:tcBorders>
              <w:top w:val="single" w:color="auto" w:sz="2" w:space="0"/>
              <w:left w:val="single" w:color="auto" w:sz="2" w:space="0"/>
              <w:bottom w:val="single" w:color="auto" w:sz="2" w:space="0"/>
              <w:right w:val="single" w:color="auto" w:sz="2" w:space="0"/>
            </w:tcBorders>
            <w:vAlign w:val="center"/>
          </w:tcPr>
          <w:p w14:paraId="2C3507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33,890.7</w:t>
            </w:r>
          </w:p>
        </w:tc>
        <w:tc>
          <w:tcPr>
            <w:tcW w:w="418" w:type="pct"/>
            <w:tcBorders>
              <w:top w:val="single" w:color="auto" w:sz="2" w:space="0"/>
              <w:left w:val="single" w:color="auto" w:sz="2" w:space="0"/>
              <w:bottom w:val="single" w:color="auto" w:sz="2" w:space="0"/>
              <w:right w:val="single" w:color="auto" w:sz="2" w:space="0"/>
            </w:tcBorders>
            <w:shd w:val="clear" w:color="auto" w:fill="D3D3D3"/>
            <w:vAlign w:val="center"/>
          </w:tcPr>
          <w:p w14:paraId="40A43E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336" w:type="pct"/>
            <w:tcBorders>
              <w:top w:val="single" w:color="auto" w:sz="2" w:space="0"/>
              <w:left w:val="single" w:color="auto" w:sz="2" w:space="0"/>
              <w:bottom w:val="single" w:color="auto" w:sz="2" w:space="0"/>
              <w:right w:val="single" w:color="auto" w:sz="2" w:space="0"/>
            </w:tcBorders>
            <w:shd w:val="clear" w:color="auto" w:fill="D3D3D3"/>
            <w:vAlign w:val="center"/>
          </w:tcPr>
          <w:p w14:paraId="4EEE50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37" w:type="pct"/>
            <w:tcBorders>
              <w:top w:val="single" w:color="auto" w:sz="2" w:space="0"/>
              <w:left w:val="single" w:color="auto" w:sz="2" w:space="0"/>
              <w:bottom w:val="single" w:color="auto" w:sz="2" w:space="0"/>
              <w:right w:val="single" w:color="auto" w:sz="2" w:space="0"/>
            </w:tcBorders>
            <w:vAlign w:val="center"/>
          </w:tcPr>
          <w:p w14:paraId="51FA18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DE44D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25" w:type="pct"/>
            <w:tcBorders>
              <w:top w:val="single" w:color="auto" w:sz="2" w:space="0"/>
              <w:left w:val="single" w:color="auto" w:sz="2" w:space="0"/>
              <w:bottom w:val="single" w:color="auto" w:sz="2" w:space="0"/>
              <w:right w:val="single" w:color="auto" w:sz="2" w:space="0"/>
            </w:tcBorders>
            <w:shd w:val="clear" w:color="auto" w:fill="D3D3D3"/>
            <w:vAlign w:val="center"/>
          </w:tcPr>
          <w:p w14:paraId="3FCA01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110AB6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271447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DCBD45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分项目说明未达到计划进度、预计收益的情况和原因（含“是否达到预计效益”选择“不适用”的原因）</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7E736C07">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（1）智慧城市综合解决方案升级项目</w:t>
            </w:r>
          </w:p>
          <w:p w14:paraId="14D93F38">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14:paraId="3AAD8401">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公司于2024年12月11日召开了第三届董事会第二十六次会议和第三届监事会第二十四次会议，并于2024年12月27日召开2024年第四次临时股东会，审议通过了《关于变更部分募集资金用途的议案》，同意终止原募投项目</w:t>
            </w:r>
            <w:r>
              <w:rPr>
                <w:rFonts w:cs="Times New Roman" w:asciiTheme="minorEastAsia" w:hAnsiTheme="minorEastAsia"/>
                <w:sz w:val="18"/>
                <w:szCs w:val="18"/>
              </w:rPr>
              <w:t>“智慧城市综合解决方案升级项目”</w:t>
            </w:r>
            <w:r>
              <w:rPr>
                <w:rFonts w:ascii="Times New Roman" w:hAnsi="Times New Roman" w:cs="Times New Roman" w:eastAsiaTheme="majorEastAsia"/>
                <w:sz w:val="18"/>
                <w:szCs w:val="18"/>
              </w:rPr>
              <w:t>，将其部分募集资金11,716.00万元变更用于</w:t>
            </w:r>
            <w:r>
              <w:rPr>
                <w:rFonts w:cs="Times New Roman" w:asciiTheme="minorEastAsia" w:hAnsiTheme="minorEastAsia"/>
                <w:sz w:val="18"/>
                <w:szCs w:val="18"/>
              </w:rPr>
              <w:t>实施“算力集群服务项目”，</w:t>
            </w:r>
            <w:r>
              <w:rPr>
                <w:rFonts w:ascii="Times New Roman" w:hAnsi="Times New Roman" w:cs="Times New Roman" w:eastAsiaTheme="majorEastAsia"/>
                <w:sz w:val="18"/>
                <w:szCs w:val="18"/>
              </w:rPr>
              <w:t>剩余募集资金及其孳息将根据公司未来经营需要，适时投入其他项目建设或其他用途。公司监事会及保荐机构就该事项发表同意意见。</w:t>
            </w:r>
          </w:p>
          <w:p w14:paraId="15A63AAD">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（2）深圳综合运营中心项目</w:t>
            </w:r>
          </w:p>
          <w:p w14:paraId="6B889594">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cs="Times New Roman" w:asciiTheme="minorEastAsia" w:hAnsiTheme="minorEastAsia"/>
                <w:sz w:val="18"/>
                <w:szCs w:val="18"/>
              </w:rPr>
              <w:t>“深圳综合运营中心”项</w:t>
            </w:r>
            <w:r>
              <w:rPr>
                <w:rFonts w:ascii="Times New Roman" w:hAnsi="Times New Roman" w:cs="Times New Roman" w:eastAsiaTheme="majorEastAsia"/>
                <w:sz w:val="18"/>
                <w:szCs w:val="18"/>
              </w:rPr>
              <w:t>目建设内容为购置办公场地，引进优秀人才，建立深圳运营中心、研发中心和展示中心，加强公司的研发设计和营销服务等综合能力。该项目原计划建设周期为12个月，涵盖场地购置、配套设施建设、硬件设备配置、人员调动及招募多阶段实施建设。该项目计划新增81人，公司原计划通过专场招聘、高端技术人才引进等渠道进行团队建设。为控制整体投入成本，公司对人才引进渠道、招聘办法加以调整，该部分投入进度放缓。</w:t>
            </w:r>
          </w:p>
          <w:p w14:paraId="4E020A99">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公司于2024年8月28日召开了第三届董事会第二十四次会议和第三届监事会第二十二次会议审议通过《关于部分募集资金投资项目延期的议案》，对项目进度规划进行调整，</w:t>
            </w:r>
            <w:r>
              <w:rPr>
                <w:rFonts w:ascii="Times New Roman" w:hAnsi="Times New Roman" w:cs="Times New Roman"/>
                <w:sz w:val="18"/>
                <w:szCs w:val="18"/>
              </w:rPr>
              <w:t>将“深圳综合运营中心项目”达到预定可使用状态</w:t>
            </w:r>
            <w:r>
              <w:rPr>
                <w:rFonts w:ascii="Times New Roman" w:hAnsi="Times New Roman" w:cs="Times New Roman" w:eastAsiaTheme="majorEastAsia"/>
                <w:sz w:val="18"/>
                <w:szCs w:val="18"/>
              </w:rPr>
              <w:t>时间由2024年8月25日延长至2025年8月24日。公司监事会、保荐机构就该事项发表了同意意见。</w:t>
            </w:r>
          </w:p>
        </w:tc>
      </w:tr>
      <w:tr w14:paraId="5A574C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B0A458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项目可行性发生重大变化的情况说明</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2F3157DA">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（1）大数据应用技术中心建设项目</w:t>
            </w:r>
          </w:p>
          <w:p w14:paraId="7C3F18B5">
            <w:pPr>
              <w:spacing w:before="156" w:beforeLines="50" w:after="156" w:afterLines="50" w:line="288" w:lineRule="auto"/>
              <w:ind w:firstLine="360" w:firstLineChars="200"/>
              <w:jc w:val="both"/>
              <w:rPr>
                <w:rFonts w:ascii="Times New Roman" w:hAnsi="Times New Roman" w:cs="Times New Roman"/>
                <w:sz w:val="18"/>
                <w:szCs w:val="18"/>
              </w:rPr>
            </w:pPr>
            <w:r>
              <w:rPr>
                <w:rFonts w:cs="Times New Roman" w:asciiTheme="minorEastAsia" w:hAnsiTheme="minorEastAsia"/>
                <w:sz w:val="18"/>
                <w:szCs w:val="18"/>
              </w:rPr>
              <w:t>“大数据应用技术中心建设项目”建设内</w:t>
            </w:r>
            <w:r>
              <w:rPr>
                <w:rFonts w:ascii="Times New Roman" w:hAnsi="Times New Roman" w:cs="Times New Roman"/>
                <w:sz w:val="18"/>
                <w:szCs w:val="18"/>
              </w:rPr>
              <w:t>容主要是购置研发办公场地和相关软硬件设备，引进优秀的研发人才，开展大数据应用技术相关研发。此前受房地产市场环境变化影响，公司基于谨慎原则未购置场所，招聘工作也相应延后开展，导致项目搁置。截至2023年8月2日，公司原有的深圳办公场所已不能满足公司现有的办公及展示需求，同时考虑房地产市场趋于稳定，为保证募投项目实施场地的合理性，提高募集资金的使用效率，更好地满足公司的运营、研发及商务展示等相关需求，经审慎考虑，公司决定购置办公场地并扩展升级原募投项目为“深圳综合运营中心项目”，建设公司位于深圳的运营中心、研发中心及展示中心。同时，鉴于变更后的“深圳综合运营中心项目”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2023年8月3日披露了《关于变更募投项目实施主体、实施地点及部分募集资金用途的公告》，本次变更募投项目事项已经公司2023年8月21日召开的2023年第三次临时股东大会审议通过。</w:t>
            </w:r>
          </w:p>
          <w:p w14:paraId="2BE17048">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（2）营销服务体系升级建设项目</w:t>
            </w:r>
          </w:p>
          <w:p w14:paraId="2BB5EFC3">
            <w:pPr>
              <w:spacing w:before="156" w:beforeLines="50" w:after="156" w:afterLines="50" w:line="288" w:lineRule="auto"/>
              <w:ind w:firstLine="360" w:firstLineChars="200"/>
              <w:jc w:val="both"/>
              <w:rPr>
                <w:rFonts w:ascii="Times New Roman" w:hAnsi="Times New Roman" w:cs="Times New Roman"/>
                <w:sz w:val="18"/>
                <w:szCs w:val="18"/>
              </w:rPr>
            </w:pPr>
            <w:r>
              <w:rPr>
                <w:rFonts w:cs="Times New Roman" w:asciiTheme="minorEastAsia" w:hAnsiTheme="minorEastAsia"/>
                <w:sz w:val="18"/>
                <w:szCs w:val="18"/>
              </w:rPr>
              <w:t>“营销</w:t>
            </w:r>
            <w:r>
              <w:rPr>
                <w:rFonts w:ascii="Times New Roman" w:hAnsi="Times New Roman" w:cs="Times New Roman"/>
                <w:sz w:val="18"/>
                <w:szCs w:val="18"/>
              </w:rPr>
              <w:t>服务体系升级建设项</w:t>
            </w:r>
            <w:r>
              <w:rPr>
                <w:rFonts w:cs="Times New Roman" w:asciiTheme="minorEastAsia" w:hAnsiTheme="minorEastAsia"/>
                <w:sz w:val="18"/>
                <w:szCs w:val="18"/>
              </w:rPr>
              <w:t>目”原</w:t>
            </w:r>
            <w:r>
              <w:rPr>
                <w:rFonts w:ascii="Times New Roman" w:hAnsi="Times New Roman" w:cs="Times New Roman"/>
                <w:sz w:val="18"/>
                <w:szCs w:val="18"/>
              </w:rPr>
              <w:t>计划用于公司营销网点的场地租赁和装修、购置基础办公设备、营销人员的费用及市场推广费等。受市场环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2023年8月3日披露了《关于变更募投项目实施主体、实施地点及部分募集资金用途的公告》，本次变更募投项目事项已经公司2023年8月21日召开的2023年第三次临时股东大会审议通过。</w:t>
            </w:r>
          </w:p>
          <w:p w14:paraId="7B49FB7B">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（3）智慧城市综合解决方案升级项目</w:t>
            </w:r>
          </w:p>
          <w:p w14:paraId="0FF38086">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w:t>
            </w:r>
            <w:r>
              <w:rPr>
                <w:rFonts w:cs="Times New Roman" w:asciiTheme="minorEastAsia" w:hAnsiTheme="minorEastAsia"/>
                <w:sz w:val="18"/>
                <w:szCs w:val="18"/>
              </w:rPr>
              <w:t>“智</w:t>
            </w:r>
            <w:r>
              <w:rPr>
                <w:rFonts w:ascii="Times New Roman" w:hAnsi="Times New Roman" w:cs="Times New Roman"/>
                <w:sz w:val="18"/>
                <w:szCs w:val="18"/>
              </w:rPr>
              <w:t>慧城市综合解决方案升级项</w:t>
            </w:r>
            <w:r>
              <w:rPr>
                <w:rFonts w:cs="Times New Roman" w:asciiTheme="minorEastAsia" w:hAnsiTheme="minorEastAsia"/>
                <w:sz w:val="18"/>
                <w:szCs w:val="18"/>
              </w:rPr>
              <w:t>目”，</w:t>
            </w:r>
            <w:r>
              <w:rPr>
                <w:rFonts w:ascii="Times New Roman" w:hAnsi="Times New Roman" w:cs="Times New Roman"/>
                <w:sz w:val="18"/>
                <w:szCs w:val="18"/>
              </w:rPr>
              <w:t>将其部分募集资金变更用于实施“算力集群服务项目”，剩余募集资金及其孳息将根据公司未来经营需要适时投入其他项目建设或其他用途</w:t>
            </w:r>
            <w:r>
              <w:rPr>
                <w:rFonts w:cs="Times New Roman" w:asciiTheme="minorEastAsia" w:hAnsiTheme="minorEastAsia"/>
                <w:sz w:val="18"/>
                <w:szCs w:val="18"/>
              </w:rPr>
              <w:t>。“算力</w:t>
            </w:r>
            <w:r>
              <w:rPr>
                <w:rFonts w:ascii="Times New Roman" w:hAnsi="Times New Roman" w:cs="Times New Roman"/>
                <w:sz w:val="18"/>
                <w:szCs w:val="18"/>
              </w:rPr>
              <w:t>集群服务项</w:t>
            </w:r>
            <w:r>
              <w:rPr>
                <w:rFonts w:cs="Times New Roman" w:asciiTheme="minorEastAsia" w:hAnsiTheme="minorEastAsia"/>
                <w:sz w:val="18"/>
                <w:szCs w:val="18"/>
              </w:rPr>
              <w:t>目”计</w:t>
            </w:r>
            <w:r>
              <w:rPr>
                <w:rFonts w:ascii="Times New Roman" w:hAnsi="Times New Roman" w:cs="Times New Roman"/>
                <w:sz w:val="18"/>
                <w:szCs w:val="18"/>
              </w:rPr>
              <w:t>划总投资额36,229.00万元，其中使用原募投项目募集资金11,716.00万元。该项目由公司在深圳市实施建设，项目周期为5年。</w:t>
            </w:r>
          </w:p>
          <w:p w14:paraId="20890CED">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sz w:val="18"/>
                <w:szCs w:val="18"/>
              </w:rPr>
              <w:t>公司已于2024年12月12日披露了《关于变更部分募集资金用途的公告》，本次变更募投项目事项已经公司2024年第四次临时股东会审议通过。</w:t>
            </w:r>
          </w:p>
        </w:tc>
      </w:tr>
      <w:tr w14:paraId="267354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2117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超募资金的金额、用途及使用进展情况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2CB87E8A">
            <w:pPr>
              <w:spacing w:line="288" w:lineRule="auto"/>
              <w:rPr>
                <w:rFonts w:ascii="Times New Roman" w:hAnsi="Times New Roman" w:cs="Times New Roman" w:eastAsiaTheme="majorEastAsia"/>
                <w:sz w:val="18"/>
                <w:szCs w:val="18"/>
              </w:rPr>
            </w:pPr>
            <w:r>
              <w:rPr>
                <w:rFonts w:ascii="Times New Roman" w:hAnsi="Times New Roman" w:cs="Times New Roman" w:eastAsiaTheme="majorEastAsia"/>
                <w:sz w:val="18"/>
                <w:szCs w:val="18"/>
              </w:rPr>
              <w:t>适用</w:t>
            </w:r>
          </w:p>
        </w:tc>
      </w:tr>
      <w:tr w14:paraId="0490F8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E8C7710">
            <w:pPr>
              <w:rPr>
                <w:rFonts w:ascii="Times New Roman" w:hAnsi="Times New Roman" w:cs="Times New Roman" w:eastAsiaTheme="majorEastAsia"/>
              </w:rPr>
            </w:pP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1BDE9A0B">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（1）超募资金的金额</w:t>
            </w:r>
          </w:p>
          <w:p w14:paraId="29F820B3">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公司首次公开发行股票实际募集资金净额510,260,652.00元，根据《招股说明书》拟募集资金279,361,500.00元，本次超募资金为230,899,152.00元。</w:t>
            </w:r>
          </w:p>
          <w:p w14:paraId="16E6B76D">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（2）超募资金的用途及使用进展情况</w:t>
            </w:r>
          </w:p>
          <w:p w14:paraId="5A901F2F">
            <w:pPr>
              <w:spacing w:before="156" w:beforeLines="50" w:after="156" w:afterLines="50" w:line="288" w:lineRule="auto"/>
              <w:ind w:firstLine="360" w:firstLineChars="200"/>
              <w:jc w:val="both"/>
              <w:rPr>
                <w:rFonts w:ascii="Times New Roman" w:hAnsi="Times New Roman" w:cs="Times New Roman"/>
                <w:sz w:val="18"/>
                <w:szCs w:val="18"/>
              </w:rPr>
            </w:pPr>
            <w:r>
              <w:rPr>
                <w:rFonts w:hint="eastAsia" w:ascii="宋体" w:hAnsi="宋体" w:eastAsia="宋体" w:cs="宋体"/>
                <w:sz w:val="18"/>
                <w:szCs w:val="18"/>
              </w:rPr>
              <w:t>①</w:t>
            </w:r>
            <w:r>
              <w:rPr>
                <w:rFonts w:ascii="Times New Roman" w:hAnsi="Times New Roman" w:cs="Times New Roman"/>
                <w:sz w:val="18"/>
                <w:szCs w:val="18"/>
              </w:rPr>
              <w:t>本报告期内永久补充流动资金情况</w:t>
            </w:r>
          </w:p>
          <w:p w14:paraId="3A367867">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公司于2024年12月12日召开了第三届董事会第二十六次会议和第三届监事会第二十四次会议，并于2024年12月27日召开2024年第四次临时股东会，审议通过了《关于使用部分超募资金永久补充流动资金的议案》，同意公司使用不超过6,800万元的超募资金永久性补充流动资金（占超募资金总额的29.45%），用于主营业务相关的生产经营活动。公司监事会、保荐机构就该事项发表同意意见。</w:t>
            </w:r>
          </w:p>
          <w:p w14:paraId="1DB301FF">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公司于2025年1月2日完成6,800万元超募资金永久性补充流动资金的资金划转。</w:t>
            </w:r>
          </w:p>
          <w:p w14:paraId="1678452E">
            <w:pPr>
              <w:spacing w:before="156" w:beforeLines="50" w:after="156" w:afterLines="50" w:line="288" w:lineRule="auto"/>
              <w:ind w:firstLine="360" w:firstLineChars="200"/>
              <w:jc w:val="both"/>
              <w:rPr>
                <w:rFonts w:ascii="Times New Roman" w:hAnsi="Times New Roman" w:cs="Times New Roman"/>
                <w:sz w:val="18"/>
                <w:szCs w:val="18"/>
              </w:rPr>
            </w:pPr>
            <w:r>
              <w:rPr>
                <w:rFonts w:hint="eastAsia" w:ascii="宋体" w:hAnsi="宋体" w:eastAsia="宋体" w:cs="宋体"/>
                <w:sz w:val="18"/>
                <w:szCs w:val="18"/>
              </w:rPr>
              <w:t>②</w:t>
            </w:r>
            <w:r>
              <w:rPr>
                <w:rFonts w:ascii="Times New Roman" w:hAnsi="Times New Roman" w:cs="Times New Roman"/>
                <w:sz w:val="18"/>
                <w:szCs w:val="18"/>
              </w:rPr>
              <w:t>其他投向</w:t>
            </w:r>
          </w:p>
          <w:p w14:paraId="02F8B04E">
            <w:pPr>
              <w:spacing w:before="156" w:beforeLines="50" w:after="156" w:afterLines="50" w:line="288" w:lineRule="auto"/>
              <w:ind w:firstLine="360" w:firstLineChars="200"/>
              <w:jc w:val="both"/>
              <w:rPr>
                <w:rFonts w:ascii="Times New Roman" w:hAnsi="Times New Roman" w:cs="Times New Roman" w:eastAsiaTheme="majorEastAsia"/>
                <w:sz w:val="18"/>
                <w:szCs w:val="18"/>
              </w:rPr>
            </w:pPr>
            <w:r>
              <w:rPr>
                <w:rFonts w:ascii="Times New Roman" w:hAnsi="Times New Roman" w:cs="Times New Roman"/>
                <w:sz w:val="18"/>
                <w:szCs w:val="18"/>
              </w:rPr>
              <w:t>截至2024年12月31日，超募资金余额中5,603.22万元尚未确定具体投向。</w:t>
            </w:r>
          </w:p>
        </w:tc>
      </w:tr>
      <w:tr w14:paraId="6F5CE6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A13E65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募集资金投资项目实施地点变更情况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596CBB1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4F2611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FC8EEA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募集资金投资项目实施方式调整情况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726A03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042D88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90946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募集资金投资项目先期投入及置换情况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1DBAD4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2C418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8533B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用闲置募集资金暂时补充流动资金情况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551C8D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21C5AC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4B044F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项目实施出现募集资金结余的金额及原因</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60E4F7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100663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708855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尚未使用的募集资金用途及去向</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05CE3DC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存放于募集资金专户，将用于承诺募投项目。</w:t>
            </w:r>
          </w:p>
        </w:tc>
      </w:tr>
      <w:tr w14:paraId="2388E5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01"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FA794A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募集资金使用及披露中存在的问题或其他情况</w:t>
            </w:r>
          </w:p>
        </w:tc>
        <w:tc>
          <w:tcPr>
            <w:tcW w:w="4199" w:type="pct"/>
            <w:gridSpan w:val="13"/>
            <w:tcBorders>
              <w:top w:val="single" w:color="auto" w:sz="2" w:space="0"/>
              <w:left w:val="single" w:color="auto" w:sz="2" w:space="0"/>
              <w:bottom w:val="single" w:color="auto" w:sz="2" w:space="0"/>
              <w:right w:val="single" w:color="auto" w:sz="2" w:space="0"/>
            </w:tcBorders>
            <w:vAlign w:val="center"/>
          </w:tcPr>
          <w:p w14:paraId="5C0EEE4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1742710C">
      <w:pPr>
        <w:keepNext/>
        <w:keepLines/>
        <w:spacing w:before="300" w:after="300" w:line="280" w:lineRule="exact"/>
        <w:outlineLvl w:val="3"/>
        <w:rPr>
          <w:rFonts w:ascii="Times New Roman" w:hAnsi="Times New Roman" w:cs="Times New Roman" w:eastAsiaTheme="majorEastAsia"/>
          <w:b/>
          <w:bCs/>
          <w:sz w:val="18"/>
          <w:szCs w:val="18"/>
        </w:rPr>
      </w:pPr>
      <w:bookmarkStart w:id="45" w:name="_Toc988934"/>
      <w:r>
        <w:rPr>
          <w:rFonts w:ascii="Times New Roman" w:hAnsi="Times New Roman" w:cs="Times New Roman" w:eastAsiaTheme="majorEastAsia"/>
          <w:b/>
          <w:bCs/>
          <w:sz w:val="18"/>
          <w:szCs w:val="18"/>
        </w:rPr>
        <w:t>（3） 募集资金变更项目情况</w:t>
      </w:r>
      <w:bookmarkEnd w:id="45"/>
    </w:p>
    <w:p w14:paraId="6FE8D60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292B15F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47"/>
        <w:gridCol w:w="597"/>
        <w:gridCol w:w="759"/>
        <w:gridCol w:w="1884"/>
        <w:gridCol w:w="1591"/>
        <w:gridCol w:w="1318"/>
        <w:gridCol w:w="1485"/>
        <w:gridCol w:w="1490"/>
        <w:gridCol w:w="1197"/>
        <w:gridCol w:w="846"/>
        <w:gridCol w:w="793"/>
        <w:gridCol w:w="1269"/>
      </w:tblGrid>
      <w:tr w14:paraId="74174F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1FBE1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融资项目名称</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1B2DBD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募集方式</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123E2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变更后的项目</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9DB4B7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对应的原承诺项目</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C77EBC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变更后项目拟投入募集资金总额(1)</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48D2E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本报告期实际投入金额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A6462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截至期末实际累计投入金额(2)</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26CBE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截至期末投资进度(3)=(2)/(1)</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0E043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项目达到预定可使用状态日期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D4F0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本报告期实现的效益</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1AE33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是否达到预计效益</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9E865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变更后的项目可行性是否发生重大变化</w:t>
            </w:r>
          </w:p>
        </w:tc>
      </w:tr>
      <w:tr w14:paraId="4B967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9050D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2021年首次公开发行股票</w:t>
            </w:r>
          </w:p>
        </w:tc>
        <w:tc>
          <w:tcPr>
            <w:tcW w:w="0" w:type="auto"/>
            <w:tcBorders>
              <w:top w:val="single" w:color="auto" w:sz="2" w:space="0"/>
              <w:left w:val="single" w:color="auto" w:sz="2" w:space="0"/>
              <w:bottom w:val="single" w:color="auto" w:sz="2" w:space="0"/>
              <w:right w:val="single" w:color="auto" w:sz="2" w:space="0"/>
            </w:tcBorders>
            <w:vAlign w:val="center"/>
          </w:tcPr>
          <w:p w14:paraId="0BDA7D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w:t>
            </w:r>
          </w:p>
        </w:tc>
        <w:tc>
          <w:tcPr>
            <w:tcW w:w="0" w:type="auto"/>
            <w:tcBorders>
              <w:top w:val="single" w:color="auto" w:sz="2" w:space="0"/>
              <w:left w:val="single" w:color="auto" w:sz="2" w:space="0"/>
              <w:bottom w:val="single" w:color="auto" w:sz="2" w:space="0"/>
              <w:right w:val="single" w:color="auto" w:sz="2" w:space="0"/>
            </w:tcBorders>
            <w:vAlign w:val="center"/>
          </w:tcPr>
          <w:p w14:paraId="4956AD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深圳综合运营中心项目</w:t>
            </w:r>
          </w:p>
        </w:tc>
        <w:tc>
          <w:tcPr>
            <w:tcW w:w="0" w:type="auto"/>
            <w:tcBorders>
              <w:top w:val="single" w:color="auto" w:sz="2" w:space="0"/>
              <w:left w:val="single" w:color="auto" w:sz="2" w:space="0"/>
              <w:bottom w:val="single" w:color="auto" w:sz="2" w:space="0"/>
              <w:right w:val="single" w:color="auto" w:sz="2" w:space="0"/>
            </w:tcBorders>
            <w:vAlign w:val="center"/>
          </w:tcPr>
          <w:p w14:paraId="032AA4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大数据应用技术中心建设项目、营销服务体系升级建设项目</w:t>
            </w:r>
          </w:p>
        </w:tc>
        <w:tc>
          <w:tcPr>
            <w:tcW w:w="0" w:type="auto"/>
            <w:tcBorders>
              <w:top w:val="single" w:color="auto" w:sz="2" w:space="0"/>
              <w:left w:val="single" w:color="auto" w:sz="2" w:space="0"/>
              <w:bottom w:val="single" w:color="auto" w:sz="2" w:space="0"/>
              <w:right w:val="single" w:color="auto" w:sz="2" w:space="0"/>
            </w:tcBorders>
            <w:vAlign w:val="center"/>
          </w:tcPr>
          <w:p w14:paraId="1F09EBB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9,756.36</w:t>
            </w:r>
          </w:p>
        </w:tc>
        <w:tc>
          <w:tcPr>
            <w:tcW w:w="0" w:type="auto"/>
            <w:tcBorders>
              <w:top w:val="single" w:color="auto" w:sz="2" w:space="0"/>
              <w:left w:val="single" w:color="auto" w:sz="2" w:space="0"/>
              <w:bottom w:val="single" w:color="auto" w:sz="2" w:space="0"/>
              <w:right w:val="single" w:color="auto" w:sz="2" w:space="0"/>
            </w:tcBorders>
            <w:vAlign w:val="center"/>
          </w:tcPr>
          <w:p w14:paraId="477DF4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508.76</w:t>
            </w:r>
          </w:p>
        </w:tc>
        <w:tc>
          <w:tcPr>
            <w:tcW w:w="0" w:type="auto"/>
            <w:tcBorders>
              <w:top w:val="single" w:color="auto" w:sz="2" w:space="0"/>
              <w:left w:val="single" w:color="auto" w:sz="2" w:space="0"/>
              <w:bottom w:val="single" w:color="auto" w:sz="2" w:space="0"/>
              <w:right w:val="single" w:color="auto" w:sz="2" w:space="0"/>
            </w:tcBorders>
            <w:vAlign w:val="center"/>
          </w:tcPr>
          <w:p w14:paraId="68B882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7,398.22</w:t>
            </w:r>
          </w:p>
        </w:tc>
        <w:tc>
          <w:tcPr>
            <w:tcW w:w="0" w:type="auto"/>
            <w:tcBorders>
              <w:top w:val="single" w:color="auto" w:sz="2" w:space="0"/>
              <w:left w:val="single" w:color="auto" w:sz="2" w:space="0"/>
              <w:bottom w:val="single" w:color="auto" w:sz="2" w:space="0"/>
              <w:right w:val="single" w:color="auto" w:sz="2" w:space="0"/>
            </w:tcBorders>
            <w:vAlign w:val="center"/>
          </w:tcPr>
          <w:p w14:paraId="153151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75.83%</w:t>
            </w:r>
          </w:p>
        </w:tc>
        <w:tc>
          <w:tcPr>
            <w:tcW w:w="0" w:type="auto"/>
            <w:tcBorders>
              <w:top w:val="single" w:color="auto" w:sz="2" w:space="0"/>
              <w:left w:val="single" w:color="auto" w:sz="2" w:space="0"/>
              <w:bottom w:val="single" w:color="auto" w:sz="2" w:space="0"/>
              <w:right w:val="single" w:color="auto" w:sz="2" w:space="0"/>
            </w:tcBorders>
            <w:vAlign w:val="center"/>
          </w:tcPr>
          <w:p w14:paraId="0930DE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2025年08月24日</w:t>
            </w:r>
          </w:p>
        </w:tc>
        <w:tc>
          <w:tcPr>
            <w:tcW w:w="0" w:type="auto"/>
            <w:tcBorders>
              <w:top w:val="single" w:color="auto" w:sz="2" w:space="0"/>
              <w:left w:val="single" w:color="auto" w:sz="2" w:space="0"/>
              <w:bottom w:val="single" w:color="auto" w:sz="2" w:space="0"/>
              <w:right w:val="single" w:color="auto" w:sz="2" w:space="0"/>
            </w:tcBorders>
            <w:vAlign w:val="center"/>
          </w:tcPr>
          <w:p w14:paraId="7F63F2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DF028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0" w:type="auto"/>
            <w:tcBorders>
              <w:top w:val="single" w:color="auto" w:sz="2" w:space="0"/>
              <w:left w:val="single" w:color="auto" w:sz="2" w:space="0"/>
              <w:bottom w:val="single" w:color="auto" w:sz="2" w:space="0"/>
              <w:right w:val="single" w:color="auto" w:sz="2" w:space="0"/>
            </w:tcBorders>
            <w:vAlign w:val="center"/>
          </w:tcPr>
          <w:p w14:paraId="451BC3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DEF27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099D1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2021年首次公开发行股票</w:t>
            </w:r>
          </w:p>
        </w:tc>
        <w:tc>
          <w:tcPr>
            <w:tcW w:w="0" w:type="auto"/>
            <w:tcBorders>
              <w:top w:val="single" w:color="auto" w:sz="2" w:space="0"/>
              <w:left w:val="single" w:color="auto" w:sz="2" w:space="0"/>
              <w:bottom w:val="single" w:color="auto" w:sz="2" w:space="0"/>
              <w:right w:val="single" w:color="auto" w:sz="2" w:space="0"/>
            </w:tcBorders>
            <w:vAlign w:val="center"/>
          </w:tcPr>
          <w:p w14:paraId="002C42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w:t>
            </w:r>
          </w:p>
        </w:tc>
        <w:tc>
          <w:tcPr>
            <w:tcW w:w="0" w:type="auto"/>
            <w:tcBorders>
              <w:top w:val="single" w:color="auto" w:sz="2" w:space="0"/>
              <w:left w:val="single" w:color="auto" w:sz="2" w:space="0"/>
              <w:bottom w:val="single" w:color="auto" w:sz="2" w:space="0"/>
              <w:right w:val="single" w:color="auto" w:sz="2" w:space="0"/>
            </w:tcBorders>
            <w:vAlign w:val="center"/>
          </w:tcPr>
          <w:p w14:paraId="68B751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算力集群服务项目</w:t>
            </w:r>
          </w:p>
        </w:tc>
        <w:tc>
          <w:tcPr>
            <w:tcW w:w="0" w:type="auto"/>
            <w:tcBorders>
              <w:top w:val="single" w:color="auto" w:sz="2" w:space="0"/>
              <w:left w:val="single" w:color="auto" w:sz="2" w:space="0"/>
              <w:bottom w:val="single" w:color="auto" w:sz="2" w:space="0"/>
              <w:right w:val="single" w:color="auto" w:sz="2" w:space="0"/>
            </w:tcBorders>
            <w:vAlign w:val="center"/>
          </w:tcPr>
          <w:p w14:paraId="502A00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智慧城市综合解决方案升级项目</w:t>
            </w:r>
          </w:p>
        </w:tc>
        <w:tc>
          <w:tcPr>
            <w:tcW w:w="0" w:type="auto"/>
            <w:tcBorders>
              <w:top w:val="single" w:color="auto" w:sz="2" w:space="0"/>
              <w:left w:val="single" w:color="auto" w:sz="2" w:space="0"/>
              <w:bottom w:val="single" w:color="auto" w:sz="2" w:space="0"/>
              <w:right w:val="single" w:color="auto" w:sz="2" w:space="0"/>
            </w:tcBorders>
            <w:vAlign w:val="center"/>
          </w:tcPr>
          <w:p w14:paraId="79DFAF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11,716</w:t>
            </w:r>
          </w:p>
        </w:tc>
        <w:tc>
          <w:tcPr>
            <w:tcW w:w="0" w:type="auto"/>
            <w:tcBorders>
              <w:top w:val="single" w:color="auto" w:sz="2" w:space="0"/>
              <w:left w:val="single" w:color="auto" w:sz="2" w:space="0"/>
              <w:bottom w:val="single" w:color="auto" w:sz="2" w:space="0"/>
              <w:right w:val="single" w:color="auto" w:sz="2" w:space="0"/>
            </w:tcBorders>
            <w:vAlign w:val="center"/>
          </w:tcPr>
          <w:p w14:paraId="36B903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9,975</w:t>
            </w:r>
          </w:p>
        </w:tc>
        <w:tc>
          <w:tcPr>
            <w:tcW w:w="0" w:type="auto"/>
            <w:tcBorders>
              <w:top w:val="single" w:color="auto" w:sz="2" w:space="0"/>
              <w:left w:val="single" w:color="auto" w:sz="2" w:space="0"/>
              <w:bottom w:val="single" w:color="auto" w:sz="2" w:space="0"/>
              <w:right w:val="single" w:color="auto" w:sz="2" w:space="0"/>
            </w:tcBorders>
            <w:vAlign w:val="center"/>
          </w:tcPr>
          <w:p w14:paraId="031C88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9,975</w:t>
            </w:r>
          </w:p>
        </w:tc>
        <w:tc>
          <w:tcPr>
            <w:tcW w:w="0" w:type="auto"/>
            <w:tcBorders>
              <w:top w:val="single" w:color="auto" w:sz="2" w:space="0"/>
              <w:left w:val="single" w:color="auto" w:sz="2" w:space="0"/>
              <w:bottom w:val="single" w:color="auto" w:sz="2" w:space="0"/>
              <w:right w:val="single" w:color="auto" w:sz="2" w:space="0"/>
            </w:tcBorders>
            <w:vAlign w:val="center"/>
          </w:tcPr>
          <w:p w14:paraId="4922AC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85.14%</w:t>
            </w:r>
          </w:p>
        </w:tc>
        <w:tc>
          <w:tcPr>
            <w:tcW w:w="0" w:type="auto"/>
            <w:tcBorders>
              <w:top w:val="single" w:color="auto" w:sz="2" w:space="0"/>
              <w:left w:val="single" w:color="auto" w:sz="2" w:space="0"/>
              <w:bottom w:val="single" w:color="auto" w:sz="2" w:space="0"/>
              <w:right w:val="single" w:color="auto" w:sz="2" w:space="0"/>
            </w:tcBorders>
            <w:vAlign w:val="center"/>
          </w:tcPr>
          <w:p w14:paraId="09D586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2025年02月01日</w:t>
            </w:r>
          </w:p>
        </w:tc>
        <w:tc>
          <w:tcPr>
            <w:tcW w:w="0" w:type="auto"/>
            <w:tcBorders>
              <w:top w:val="single" w:color="auto" w:sz="2" w:space="0"/>
              <w:left w:val="single" w:color="auto" w:sz="2" w:space="0"/>
              <w:bottom w:val="single" w:color="auto" w:sz="2" w:space="0"/>
              <w:right w:val="single" w:color="auto" w:sz="2" w:space="0"/>
            </w:tcBorders>
            <w:vAlign w:val="center"/>
          </w:tcPr>
          <w:p w14:paraId="439E72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4362C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0" w:type="auto"/>
            <w:tcBorders>
              <w:top w:val="single" w:color="auto" w:sz="2" w:space="0"/>
              <w:left w:val="single" w:color="auto" w:sz="2" w:space="0"/>
              <w:bottom w:val="single" w:color="auto" w:sz="2" w:space="0"/>
              <w:right w:val="single" w:color="auto" w:sz="2" w:space="0"/>
            </w:tcBorders>
            <w:vAlign w:val="center"/>
          </w:tcPr>
          <w:p w14:paraId="6612F2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4BCCA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1C4121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B1F79A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F35A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41179D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vAlign w:val="center"/>
          </w:tcPr>
          <w:p w14:paraId="146A5F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21,472.36</w:t>
            </w:r>
          </w:p>
        </w:tc>
        <w:tc>
          <w:tcPr>
            <w:tcW w:w="0" w:type="auto"/>
            <w:tcBorders>
              <w:top w:val="single" w:color="auto" w:sz="2" w:space="0"/>
              <w:left w:val="single" w:color="auto" w:sz="2" w:space="0"/>
              <w:bottom w:val="single" w:color="auto" w:sz="2" w:space="0"/>
              <w:right w:val="single" w:color="auto" w:sz="2" w:space="0"/>
            </w:tcBorders>
            <w:vAlign w:val="center"/>
          </w:tcPr>
          <w:p w14:paraId="517196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10,483.76</w:t>
            </w:r>
          </w:p>
        </w:tc>
        <w:tc>
          <w:tcPr>
            <w:tcW w:w="0" w:type="auto"/>
            <w:tcBorders>
              <w:top w:val="single" w:color="auto" w:sz="2" w:space="0"/>
              <w:left w:val="single" w:color="auto" w:sz="2" w:space="0"/>
              <w:bottom w:val="single" w:color="auto" w:sz="2" w:space="0"/>
              <w:right w:val="single" w:color="auto" w:sz="2" w:space="0"/>
            </w:tcBorders>
            <w:vAlign w:val="center"/>
          </w:tcPr>
          <w:p w14:paraId="61748E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17,373.22</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D1DA8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AB06D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vAlign w:val="center"/>
          </w:tcPr>
          <w:p w14:paraId="33634D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EA07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C03EF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2174C6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DC6594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变更原因、决策程序及信息披露情况说明(分具体项目)</w:t>
            </w:r>
          </w:p>
        </w:tc>
        <w:tc>
          <w:tcPr>
            <w:tcW w:w="0" w:type="auto"/>
            <w:gridSpan w:val="9"/>
            <w:tcBorders>
              <w:top w:val="single" w:color="auto" w:sz="2" w:space="0"/>
              <w:left w:val="single" w:color="auto" w:sz="2" w:space="0"/>
              <w:bottom w:val="single" w:color="auto" w:sz="2" w:space="0"/>
              <w:right w:val="single" w:color="auto" w:sz="2" w:space="0"/>
            </w:tcBorders>
            <w:vAlign w:val="center"/>
          </w:tcPr>
          <w:p w14:paraId="63BBB3F6">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1.深圳综合运营中心项目</w:t>
            </w:r>
          </w:p>
          <w:p w14:paraId="725A26E5">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为保证募投项目实施场地的合理性，提高募集资金的使用效率，更好地满足公司的运营、研发及商务展示等相关需求，公司于2023年8月2日召开第三届董事会第十四次会议和第三届监事会第十二次会议，并于2023年8月21日召开2023年第三次临时股东大会，审议通过了《关于变更募投项目实施主体、实施地点及部分募集资金用途的议案》，将原募</w:t>
            </w:r>
            <w:r>
              <w:rPr>
                <w:rFonts w:cs="Times New Roman" w:asciiTheme="minorEastAsia" w:hAnsiTheme="minorEastAsia"/>
                <w:sz w:val="18"/>
                <w:szCs w:val="18"/>
              </w:rPr>
              <w:t>投项“</w:t>
            </w:r>
            <w:r>
              <w:rPr>
                <w:rFonts w:ascii="Times New Roman" w:hAnsi="Times New Roman" w:cs="Times New Roman"/>
                <w:sz w:val="18"/>
                <w:szCs w:val="18"/>
              </w:rPr>
              <w:t>大数据应用技术中心建</w:t>
            </w:r>
            <w:r>
              <w:rPr>
                <w:rFonts w:cs="Times New Roman" w:asciiTheme="minorEastAsia" w:hAnsiTheme="minorEastAsia"/>
                <w:sz w:val="18"/>
                <w:szCs w:val="18"/>
              </w:rPr>
              <w:t>设项目”扩展</w:t>
            </w:r>
            <w:r>
              <w:rPr>
                <w:rFonts w:ascii="Times New Roman" w:hAnsi="Times New Roman" w:cs="Times New Roman"/>
                <w:sz w:val="18"/>
                <w:szCs w:val="18"/>
              </w:rPr>
              <w:t>升级为</w:t>
            </w:r>
            <w:r>
              <w:rPr>
                <w:rFonts w:cs="Times New Roman" w:asciiTheme="minorEastAsia" w:hAnsiTheme="minorEastAsia"/>
                <w:sz w:val="18"/>
                <w:szCs w:val="18"/>
              </w:rPr>
              <w:t>“深圳综合运营中心项目”</w:t>
            </w:r>
            <w:r>
              <w:rPr>
                <w:rFonts w:ascii="Times New Roman" w:hAnsi="Times New Roman" w:cs="Times New Roman"/>
                <w:sz w:val="18"/>
                <w:szCs w:val="18"/>
              </w:rPr>
              <w:t>，将实施地点变更为深圳市南山区。同时取消</w:t>
            </w:r>
            <w:r>
              <w:rPr>
                <w:rFonts w:cs="Times New Roman" w:asciiTheme="minorEastAsia" w:hAnsiTheme="minorEastAsia"/>
                <w:sz w:val="18"/>
                <w:szCs w:val="18"/>
              </w:rPr>
              <w:t>原“营销服务体系升级建设项目”并将其</w:t>
            </w:r>
            <w:r>
              <w:rPr>
                <w:rFonts w:ascii="Times New Roman" w:hAnsi="Times New Roman" w:cs="Times New Roman"/>
                <w:sz w:val="18"/>
                <w:szCs w:val="18"/>
              </w:rPr>
              <w:t>募集资</w:t>
            </w:r>
            <w:r>
              <w:rPr>
                <w:rFonts w:cs="Times New Roman" w:asciiTheme="minorEastAsia" w:hAnsiTheme="minorEastAsia"/>
                <w:sz w:val="18"/>
                <w:szCs w:val="18"/>
              </w:rPr>
              <w:t>金合并用于“深圳综合运营中心项目”的</w:t>
            </w:r>
            <w:r>
              <w:rPr>
                <w:rFonts w:ascii="Times New Roman" w:hAnsi="Times New Roman" w:cs="Times New Roman"/>
                <w:sz w:val="18"/>
                <w:szCs w:val="18"/>
              </w:rPr>
              <w:t>建设。</w:t>
            </w:r>
            <w:r>
              <w:rPr>
                <w:rFonts w:cs="Times New Roman" w:asciiTheme="minorEastAsia" w:hAnsiTheme="minorEastAsia"/>
                <w:sz w:val="18"/>
                <w:szCs w:val="18"/>
              </w:rPr>
              <w:t>“深圳</w:t>
            </w:r>
            <w:r>
              <w:rPr>
                <w:rFonts w:ascii="Times New Roman" w:hAnsi="Times New Roman" w:cs="Times New Roman"/>
                <w:sz w:val="18"/>
                <w:szCs w:val="18"/>
              </w:rPr>
              <w:t>综合运营</w:t>
            </w:r>
            <w:r>
              <w:rPr>
                <w:rFonts w:cs="Times New Roman" w:asciiTheme="minorEastAsia" w:hAnsiTheme="minorEastAsia"/>
                <w:sz w:val="18"/>
                <w:szCs w:val="18"/>
              </w:rPr>
              <w:t>中心项目”拟用超募资</w:t>
            </w:r>
            <w:r>
              <w:rPr>
                <w:rFonts w:ascii="Times New Roman" w:hAnsi="Times New Roman" w:cs="Times New Roman"/>
                <w:sz w:val="18"/>
                <w:szCs w:val="18"/>
              </w:rPr>
              <w:t>金不超过4,193.71万元占超募资金总额的18.16%。公司独立董事、监事会及保荐机构就该事项发表同意意见。公司于2023年8月3日在巨潮资讯网等法定披露媒体发布以上公告。</w:t>
            </w:r>
          </w:p>
          <w:p w14:paraId="76FF262D">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截至2024年12月31日，该项目已使用超募资金1,828.55万元。</w:t>
            </w:r>
          </w:p>
          <w:p w14:paraId="165301C6">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2.算力集群服务项目</w:t>
            </w:r>
          </w:p>
          <w:p w14:paraId="3B965B06">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近年来，数字经济正逐渐成为国家经济发展、构筑国家竞争新优势的重要驱动力。人工智能、边缘计算、大数据、自然语言编程等技术接连取得突破，为技术升级、产品创新提供源源动力。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14:paraId="019771A0">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公司于2024年12月11日召开了第三届董事会第二十六次会议和第三届监事会第二十四次会议，并于2024年12月27日召开2024年第四次临时股东会，审议通过了《关于变更部分募集资金用途的议案》，同意终止原募投项目“智慧城市综合解决方案升级项目”，将其部分募集资金11,716.00万元变更用于实施“算力集群服务项目”，剩余募集资金及其孳息将根据公司未来经营需要，适时投入其他项目建设或其他用途。公司监事会及保荐机构就该事项发表同意意见。</w:t>
            </w:r>
          </w:p>
          <w:p w14:paraId="0D7CBACB">
            <w:pPr>
              <w:spacing w:before="156" w:beforeLines="50" w:after="156" w:afterLines="50" w:line="288" w:lineRule="auto"/>
              <w:ind w:firstLine="360" w:firstLineChars="200"/>
              <w:jc w:val="both"/>
              <w:rPr>
                <w:rFonts w:ascii="Times New Roman" w:hAnsi="Times New Roman" w:cs="Times New Roman"/>
                <w:sz w:val="18"/>
                <w:szCs w:val="18"/>
              </w:rPr>
            </w:pPr>
            <w:r>
              <w:rPr>
                <w:rFonts w:ascii="Times New Roman" w:hAnsi="Times New Roman" w:cs="Times New Roman"/>
                <w:sz w:val="18"/>
                <w:szCs w:val="18"/>
              </w:rPr>
              <w:t>公司于2024年12月12日在巨潮资讯网等法定披露媒体发布以上公告。</w:t>
            </w:r>
          </w:p>
        </w:tc>
      </w:tr>
      <w:tr w14:paraId="2A4B8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310EFB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未达到计划进度或预计收益的情况和原因(分具体项目)</w:t>
            </w:r>
          </w:p>
        </w:tc>
        <w:tc>
          <w:tcPr>
            <w:tcW w:w="0" w:type="auto"/>
            <w:gridSpan w:val="9"/>
            <w:tcBorders>
              <w:top w:val="single" w:color="auto" w:sz="2" w:space="0"/>
              <w:left w:val="single" w:color="auto" w:sz="2" w:space="0"/>
              <w:bottom w:val="single" w:color="auto" w:sz="2" w:space="0"/>
              <w:right w:val="single" w:color="auto" w:sz="2" w:space="0"/>
            </w:tcBorders>
            <w:vAlign w:val="center"/>
          </w:tcPr>
          <w:p w14:paraId="69CC20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4B0F9E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A96B0D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变更后的项目可行性发生重大变化的情况说明</w:t>
            </w:r>
          </w:p>
        </w:tc>
        <w:tc>
          <w:tcPr>
            <w:tcW w:w="0" w:type="auto"/>
            <w:gridSpan w:val="9"/>
            <w:tcBorders>
              <w:top w:val="single" w:color="auto" w:sz="2" w:space="0"/>
              <w:left w:val="single" w:color="auto" w:sz="2" w:space="0"/>
              <w:bottom w:val="single" w:color="auto" w:sz="2" w:space="0"/>
              <w:right w:val="single" w:color="auto" w:sz="2" w:space="0"/>
            </w:tcBorders>
            <w:vAlign w:val="center"/>
          </w:tcPr>
          <w:p w14:paraId="2B47B3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1CFA89BC">
      <w:pPr>
        <w:pStyle w:val="2"/>
        <w:spacing w:before="300" w:after="300" w:line="320" w:lineRule="exact"/>
        <w:rPr>
          <w:rFonts w:ascii="Times New Roman" w:hAnsi="Times New Roman" w:cs="Times New Roman" w:eastAsiaTheme="majorEastAsia"/>
          <w:b/>
          <w:bCs/>
          <w:sz w:val="24"/>
          <w:szCs w:val="24"/>
        </w:rPr>
        <w:sectPr>
          <w:pgSz w:w="16840" w:h="11905" w:orient="landscape"/>
          <w:pgMar w:top="1134" w:right="1440" w:bottom="1134" w:left="1440" w:header="850" w:footer="992" w:gutter="0"/>
          <w:cols w:space="720" w:num="1"/>
          <w:docGrid w:type="linesAndChars" w:linePitch="312" w:charSpace="0"/>
        </w:sectPr>
      </w:pPr>
      <w:bookmarkStart w:id="46" w:name="_Toc988935"/>
    </w:p>
    <w:p w14:paraId="269CA1FC">
      <w:pPr>
        <w:pStyle w:val="2"/>
        <w:spacing w:before="300" w:after="300" w:line="320" w:lineRule="exact"/>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八、重大资产和股权出售</w:t>
      </w:r>
      <w:bookmarkEnd w:id="46"/>
    </w:p>
    <w:p w14:paraId="1188C290">
      <w:pPr>
        <w:pStyle w:val="3"/>
        <w:spacing w:line="280" w:lineRule="exact"/>
        <w:jc w:val="left"/>
        <w:rPr>
          <w:rFonts w:ascii="Times New Roman" w:hAnsi="Times New Roman" w:cs="Times New Roman" w:eastAsiaTheme="majorEastAsia"/>
          <w:b/>
          <w:bCs/>
        </w:rPr>
      </w:pPr>
      <w:bookmarkStart w:id="47" w:name="_Toc988936"/>
      <w:r>
        <w:rPr>
          <w:rFonts w:ascii="Times New Roman" w:hAnsi="Times New Roman" w:cs="Times New Roman" w:eastAsiaTheme="majorEastAsia"/>
          <w:b/>
          <w:bCs/>
        </w:rPr>
        <w:t>1、出售重大资产情况</w:t>
      </w:r>
      <w:bookmarkEnd w:id="47"/>
    </w:p>
    <w:p w14:paraId="5937737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B97073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公司报告期未出售重大资产。</w:t>
      </w:r>
    </w:p>
    <w:p w14:paraId="4799843E">
      <w:pPr>
        <w:pStyle w:val="3"/>
        <w:spacing w:line="280" w:lineRule="exact"/>
        <w:jc w:val="left"/>
        <w:rPr>
          <w:rFonts w:ascii="Times New Roman" w:hAnsi="Times New Roman" w:cs="Times New Roman" w:eastAsiaTheme="majorEastAsia"/>
          <w:b/>
          <w:bCs/>
        </w:rPr>
      </w:pPr>
      <w:bookmarkStart w:id="48" w:name="_Toc988937"/>
      <w:r>
        <w:rPr>
          <w:rFonts w:ascii="Times New Roman" w:hAnsi="Times New Roman" w:cs="Times New Roman" w:eastAsiaTheme="majorEastAsia"/>
          <w:b/>
          <w:bCs/>
        </w:rPr>
        <w:t>2、出售重大股权情况</w:t>
      </w:r>
      <w:bookmarkEnd w:id="48"/>
    </w:p>
    <w:p w14:paraId="6D0B1CC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404918D">
      <w:pPr>
        <w:pStyle w:val="2"/>
        <w:spacing w:before="300" w:after="300" w:line="320" w:lineRule="exact"/>
        <w:rPr>
          <w:rFonts w:ascii="Times New Roman" w:hAnsi="Times New Roman" w:cs="Times New Roman" w:eastAsiaTheme="majorEastAsia"/>
          <w:b/>
          <w:bCs/>
          <w:sz w:val="24"/>
          <w:szCs w:val="24"/>
        </w:rPr>
      </w:pPr>
      <w:bookmarkStart w:id="49" w:name="_Toc988938"/>
      <w:r>
        <w:rPr>
          <w:rFonts w:ascii="Times New Roman" w:hAnsi="Times New Roman" w:cs="Times New Roman" w:eastAsiaTheme="majorEastAsia"/>
          <w:b/>
          <w:bCs/>
          <w:sz w:val="24"/>
          <w:szCs w:val="24"/>
        </w:rPr>
        <w:t>九、主要控股参股公司分析</w:t>
      </w:r>
      <w:bookmarkEnd w:id="49"/>
    </w:p>
    <w:p w14:paraId="560C767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275C584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主要子公司及对公司净利润影响达10%以上的参股公司情况</w:t>
      </w:r>
    </w:p>
    <w:p w14:paraId="0B1B7F2D">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738"/>
        <w:gridCol w:w="1404"/>
        <w:gridCol w:w="864"/>
        <w:gridCol w:w="1134"/>
        <w:gridCol w:w="1215"/>
        <w:gridCol w:w="1071"/>
        <w:gridCol w:w="1071"/>
        <w:gridCol w:w="1071"/>
      </w:tblGrid>
      <w:tr w14:paraId="658EF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39B2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公司名称</w:t>
            </w:r>
          </w:p>
        </w:tc>
        <w:tc>
          <w:tcPr>
            <w:tcW w:w="738" w:type="dxa"/>
            <w:tcBorders>
              <w:top w:val="single" w:color="auto" w:sz="2" w:space="0"/>
              <w:left w:val="single" w:color="auto" w:sz="2" w:space="0"/>
              <w:bottom w:val="single" w:color="auto" w:sz="2" w:space="0"/>
              <w:right w:val="single" w:color="auto" w:sz="2" w:space="0"/>
            </w:tcBorders>
            <w:shd w:val="clear" w:color="auto" w:fill="D3D3D3"/>
            <w:vAlign w:val="center"/>
          </w:tcPr>
          <w:p w14:paraId="7EA31B0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公司类型</w:t>
            </w:r>
          </w:p>
        </w:tc>
        <w:tc>
          <w:tcPr>
            <w:tcW w:w="1404" w:type="dxa"/>
            <w:tcBorders>
              <w:top w:val="single" w:color="auto" w:sz="2" w:space="0"/>
              <w:left w:val="single" w:color="auto" w:sz="2" w:space="0"/>
              <w:bottom w:val="single" w:color="auto" w:sz="2" w:space="0"/>
              <w:right w:val="single" w:color="auto" w:sz="2" w:space="0"/>
            </w:tcBorders>
            <w:shd w:val="clear" w:color="auto" w:fill="D3D3D3"/>
            <w:vAlign w:val="center"/>
          </w:tcPr>
          <w:p w14:paraId="680354D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主要业务</w:t>
            </w:r>
          </w:p>
        </w:tc>
        <w:tc>
          <w:tcPr>
            <w:tcW w:w="864" w:type="dxa"/>
            <w:tcBorders>
              <w:top w:val="single" w:color="auto" w:sz="2" w:space="0"/>
              <w:left w:val="single" w:color="auto" w:sz="2" w:space="0"/>
              <w:bottom w:val="single" w:color="auto" w:sz="2" w:space="0"/>
              <w:right w:val="single" w:color="auto" w:sz="2" w:space="0"/>
            </w:tcBorders>
            <w:shd w:val="clear" w:color="auto" w:fill="D3D3D3"/>
            <w:vAlign w:val="center"/>
          </w:tcPr>
          <w:p w14:paraId="3D7E3C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注册资本</w:t>
            </w:r>
          </w:p>
        </w:tc>
        <w:tc>
          <w:tcPr>
            <w:tcW w:w="1134" w:type="dxa"/>
            <w:tcBorders>
              <w:top w:val="single" w:color="auto" w:sz="2" w:space="0"/>
              <w:left w:val="single" w:color="auto" w:sz="2" w:space="0"/>
              <w:bottom w:val="single" w:color="auto" w:sz="2" w:space="0"/>
              <w:right w:val="single" w:color="auto" w:sz="2" w:space="0"/>
            </w:tcBorders>
            <w:shd w:val="clear" w:color="auto" w:fill="D3D3D3"/>
            <w:vAlign w:val="center"/>
          </w:tcPr>
          <w:p w14:paraId="565E16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总资产</w:t>
            </w:r>
          </w:p>
        </w:tc>
        <w:tc>
          <w:tcPr>
            <w:tcW w:w="1215" w:type="dxa"/>
            <w:tcBorders>
              <w:top w:val="single" w:color="auto" w:sz="2" w:space="0"/>
              <w:left w:val="single" w:color="auto" w:sz="2" w:space="0"/>
              <w:bottom w:val="single" w:color="auto" w:sz="2" w:space="0"/>
              <w:right w:val="single" w:color="auto" w:sz="2" w:space="0"/>
            </w:tcBorders>
            <w:shd w:val="clear" w:color="auto" w:fill="D3D3D3"/>
            <w:vAlign w:val="center"/>
          </w:tcPr>
          <w:p w14:paraId="744C8A5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净资产</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F8A4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085A9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EC239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净利润</w:t>
            </w:r>
          </w:p>
        </w:tc>
      </w:tr>
      <w:tr w14:paraId="2C7A01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F4E7F6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w:t>
            </w:r>
          </w:p>
          <w:p w14:paraId="29D8D90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w:t>
            </w:r>
          </w:p>
          <w:p w14:paraId="167D9AD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科技有限</w:t>
            </w:r>
          </w:p>
          <w:p w14:paraId="355EC53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公司-注2</w:t>
            </w:r>
          </w:p>
        </w:tc>
        <w:tc>
          <w:tcPr>
            <w:tcW w:w="738" w:type="dxa"/>
            <w:tcBorders>
              <w:top w:val="single" w:color="auto" w:sz="2" w:space="0"/>
              <w:left w:val="single" w:color="auto" w:sz="2" w:space="0"/>
              <w:bottom w:val="single" w:color="auto" w:sz="2" w:space="0"/>
              <w:right w:val="single" w:color="auto" w:sz="2" w:space="0"/>
            </w:tcBorders>
            <w:vAlign w:val="center"/>
          </w:tcPr>
          <w:p w14:paraId="115596C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314AE5D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w:t>
            </w:r>
          </w:p>
          <w:p w14:paraId="54683E3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息技术</w:t>
            </w:r>
          </w:p>
          <w:p w14:paraId="0576B4D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服务</w:t>
            </w:r>
          </w:p>
        </w:tc>
        <w:tc>
          <w:tcPr>
            <w:tcW w:w="864" w:type="dxa"/>
            <w:tcBorders>
              <w:top w:val="single" w:color="auto" w:sz="2" w:space="0"/>
              <w:left w:val="single" w:color="auto" w:sz="2" w:space="0"/>
              <w:bottom w:val="single" w:color="auto" w:sz="2" w:space="0"/>
              <w:right w:val="single" w:color="auto" w:sz="2" w:space="0"/>
            </w:tcBorders>
            <w:vAlign w:val="center"/>
          </w:tcPr>
          <w:p w14:paraId="17ED6E33">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1,000.00</w:t>
            </w:r>
          </w:p>
          <w:p w14:paraId="49F1B14D">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万元</w:t>
            </w:r>
          </w:p>
        </w:tc>
        <w:tc>
          <w:tcPr>
            <w:tcW w:w="1134" w:type="dxa"/>
            <w:tcBorders>
              <w:top w:val="single" w:color="auto" w:sz="2" w:space="0"/>
              <w:left w:val="single" w:color="auto" w:sz="2" w:space="0"/>
              <w:bottom w:val="single" w:color="auto" w:sz="2" w:space="0"/>
              <w:right w:val="single" w:color="auto" w:sz="2" w:space="0"/>
            </w:tcBorders>
            <w:vAlign w:val="center"/>
          </w:tcPr>
          <w:p w14:paraId="03531CE5">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19,236,296.61</w:t>
            </w:r>
          </w:p>
        </w:tc>
        <w:tc>
          <w:tcPr>
            <w:tcW w:w="1215" w:type="dxa"/>
            <w:tcBorders>
              <w:top w:val="single" w:color="auto" w:sz="2" w:space="0"/>
              <w:left w:val="single" w:color="auto" w:sz="2" w:space="0"/>
              <w:bottom w:val="single" w:color="auto" w:sz="2" w:space="0"/>
              <w:right w:val="single" w:color="auto" w:sz="2" w:space="0"/>
            </w:tcBorders>
            <w:vAlign w:val="center"/>
          </w:tcPr>
          <w:p w14:paraId="410249B6">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-4,503,035.58</w:t>
            </w:r>
          </w:p>
        </w:tc>
        <w:tc>
          <w:tcPr>
            <w:tcW w:w="1071" w:type="dxa"/>
            <w:tcBorders>
              <w:top w:val="single" w:color="auto" w:sz="2" w:space="0"/>
              <w:left w:val="single" w:color="auto" w:sz="2" w:space="0"/>
              <w:bottom w:val="single" w:color="auto" w:sz="2" w:space="0"/>
              <w:right w:val="single" w:color="auto" w:sz="2" w:space="0"/>
            </w:tcBorders>
            <w:vAlign w:val="center"/>
          </w:tcPr>
          <w:p w14:paraId="3CB11CEC">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8,138,699.56</w:t>
            </w:r>
          </w:p>
        </w:tc>
        <w:tc>
          <w:tcPr>
            <w:tcW w:w="1071" w:type="dxa"/>
            <w:tcBorders>
              <w:top w:val="single" w:color="auto" w:sz="2" w:space="0"/>
              <w:left w:val="single" w:color="auto" w:sz="2" w:space="0"/>
              <w:bottom w:val="single" w:color="auto" w:sz="2" w:space="0"/>
              <w:right w:val="single" w:color="auto" w:sz="2" w:space="0"/>
            </w:tcBorders>
            <w:vAlign w:val="center"/>
          </w:tcPr>
          <w:p w14:paraId="5C1C212C">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-8,870,627.15</w:t>
            </w:r>
          </w:p>
        </w:tc>
        <w:tc>
          <w:tcPr>
            <w:tcW w:w="1071" w:type="dxa"/>
            <w:tcBorders>
              <w:top w:val="single" w:color="auto" w:sz="2" w:space="0"/>
              <w:left w:val="single" w:color="auto" w:sz="2" w:space="0"/>
              <w:bottom w:val="single" w:color="auto" w:sz="2" w:space="0"/>
              <w:right w:val="single" w:color="auto" w:sz="2" w:space="0"/>
            </w:tcBorders>
            <w:vAlign w:val="center"/>
          </w:tcPr>
          <w:p w14:paraId="1FC791CA">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-6,985,403.55</w:t>
            </w:r>
          </w:p>
        </w:tc>
      </w:tr>
      <w:tr w14:paraId="224F2E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EA0E4A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738" w:type="dxa"/>
            <w:tcBorders>
              <w:top w:val="single" w:color="auto" w:sz="2" w:space="0"/>
              <w:left w:val="single" w:color="auto" w:sz="2" w:space="0"/>
              <w:bottom w:val="single" w:color="auto" w:sz="2" w:space="0"/>
              <w:right w:val="single" w:color="auto" w:sz="2" w:space="0"/>
            </w:tcBorders>
            <w:vAlign w:val="center"/>
          </w:tcPr>
          <w:p w14:paraId="1D94305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0AB04DF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信息系统集成服务、软件开发与技术服务、信息设备销售、信息系统运维服务</w:t>
            </w:r>
          </w:p>
        </w:tc>
        <w:tc>
          <w:tcPr>
            <w:tcW w:w="864" w:type="dxa"/>
            <w:tcBorders>
              <w:top w:val="single" w:color="auto" w:sz="2" w:space="0"/>
              <w:left w:val="single" w:color="auto" w:sz="2" w:space="0"/>
              <w:bottom w:val="single" w:color="auto" w:sz="2" w:space="0"/>
              <w:right w:val="single" w:color="auto" w:sz="2" w:space="0"/>
            </w:tcBorders>
            <w:vAlign w:val="center"/>
          </w:tcPr>
          <w:p w14:paraId="311F9F05">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5,000.00万元</w:t>
            </w:r>
          </w:p>
        </w:tc>
        <w:tc>
          <w:tcPr>
            <w:tcW w:w="1134" w:type="dxa"/>
            <w:tcBorders>
              <w:top w:val="single" w:color="auto" w:sz="2" w:space="0"/>
              <w:left w:val="single" w:color="auto" w:sz="2" w:space="0"/>
              <w:bottom w:val="single" w:color="auto" w:sz="2" w:space="0"/>
              <w:right w:val="single" w:color="auto" w:sz="2" w:space="0"/>
            </w:tcBorders>
            <w:vAlign w:val="center"/>
          </w:tcPr>
          <w:p w14:paraId="7AF137AE">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125,692,112.48</w:t>
            </w:r>
          </w:p>
        </w:tc>
        <w:tc>
          <w:tcPr>
            <w:tcW w:w="1215" w:type="dxa"/>
            <w:tcBorders>
              <w:top w:val="single" w:color="auto" w:sz="2" w:space="0"/>
              <w:left w:val="single" w:color="auto" w:sz="2" w:space="0"/>
              <w:bottom w:val="single" w:color="auto" w:sz="2" w:space="0"/>
              <w:right w:val="single" w:color="auto" w:sz="2" w:space="0"/>
            </w:tcBorders>
            <w:vAlign w:val="center"/>
          </w:tcPr>
          <w:p w14:paraId="60531E16">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55,964,665.24</w:t>
            </w:r>
          </w:p>
        </w:tc>
        <w:tc>
          <w:tcPr>
            <w:tcW w:w="1071" w:type="dxa"/>
            <w:tcBorders>
              <w:top w:val="single" w:color="auto" w:sz="2" w:space="0"/>
              <w:left w:val="single" w:color="auto" w:sz="2" w:space="0"/>
              <w:bottom w:val="single" w:color="auto" w:sz="2" w:space="0"/>
              <w:right w:val="single" w:color="auto" w:sz="2" w:space="0"/>
            </w:tcBorders>
            <w:vAlign w:val="center"/>
          </w:tcPr>
          <w:p w14:paraId="03476787">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14,322,765.77</w:t>
            </w:r>
          </w:p>
        </w:tc>
        <w:tc>
          <w:tcPr>
            <w:tcW w:w="1071" w:type="dxa"/>
            <w:tcBorders>
              <w:top w:val="single" w:color="auto" w:sz="2" w:space="0"/>
              <w:left w:val="single" w:color="auto" w:sz="2" w:space="0"/>
              <w:bottom w:val="single" w:color="auto" w:sz="2" w:space="0"/>
              <w:right w:val="single" w:color="auto" w:sz="2" w:space="0"/>
            </w:tcBorders>
            <w:vAlign w:val="center"/>
          </w:tcPr>
          <w:p w14:paraId="70675D86">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-3,598,947.04</w:t>
            </w:r>
          </w:p>
        </w:tc>
        <w:tc>
          <w:tcPr>
            <w:tcW w:w="1071" w:type="dxa"/>
            <w:tcBorders>
              <w:top w:val="single" w:color="auto" w:sz="2" w:space="0"/>
              <w:left w:val="single" w:color="auto" w:sz="2" w:space="0"/>
              <w:bottom w:val="single" w:color="auto" w:sz="2" w:space="0"/>
              <w:right w:val="single" w:color="auto" w:sz="2" w:space="0"/>
            </w:tcBorders>
            <w:vAlign w:val="center"/>
          </w:tcPr>
          <w:p w14:paraId="46113450">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-4,689,320.97</w:t>
            </w:r>
          </w:p>
        </w:tc>
      </w:tr>
      <w:tr w14:paraId="7D758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E814CF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深圳市互联精英信息技术有限公司-注3</w:t>
            </w:r>
          </w:p>
        </w:tc>
        <w:tc>
          <w:tcPr>
            <w:tcW w:w="738" w:type="dxa"/>
            <w:tcBorders>
              <w:top w:val="single" w:color="auto" w:sz="2" w:space="0"/>
              <w:left w:val="single" w:color="auto" w:sz="2" w:space="0"/>
              <w:bottom w:val="single" w:color="auto" w:sz="2" w:space="0"/>
              <w:right w:val="single" w:color="auto" w:sz="2" w:space="0"/>
            </w:tcBorders>
            <w:vAlign w:val="center"/>
          </w:tcPr>
          <w:p w14:paraId="0EAE283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3C9323C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信息系统集成服务、软件开发与技</w:t>
            </w:r>
          </w:p>
        </w:tc>
        <w:tc>
          <w:tcPr>
            <w:tcW w:w="864" w:type="dxa"/>
            <w:tcBorders>
              <w:top w:val="single" w:color="auto" w:sz="2" w:space="0"/>
              <w:left w:val="single" w:color="auto" w:sz="2" w:space="0"/>
              <w:bottom w:val="single" w:color="auto" w:sz="2" w:space="0"/>
              <w:right w:val="single" w:color="auto" w:sz="2" w:space="0"/>
            </w:tcBorders>
            <w:vAlign w:val="center"/>
          </w:tcPr>
          <w:p w14:paraId="3060F95B">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5,390.00万元</w:t>
            </w:r>
          </w:p>
        </w:tc>
        <w:tc>
          <w:tcPr>
            <w:tcW w:w="1134" w:type="dxa"/>
            <w:tcBorders>
              <w:top w:val="single" w:color="auto" w:sz="2" w:space="0"/>
              <w:left w:val="single" w:color="auto" w:sz="2" w:space="0"/>
              <w:bottom w:val="single" w:color="auto" w:sz="2" w:space="0"/>
              <w:right w:val="single" w:color="auto" w:sz="2" w:space="0"/>
            </w:tcBorders>
            <w:vAlign w:val="center"/>
          </w:tcPr>
          <w:p w14:paraId="34927E58">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170,595,827.64</w:t>
            </w:r>
          </w:p>
        </w:tc>
        <w:tc>
          <w:tcPr>
            <w:tcW w:w="1215" w:type="dxa"/>
            <w:tcBorders>
              <w:top w:val="single" w:color="auto" w:sz="2" w:space="0"/>
              <w:left w:val="single" w:color="auto" w:sz="2" w:space="0"/>
              <w:bottom w:val="single" w:color="auto" w:sz="2" w:space="0"/>
              <w:right w:val="single" w:color="auto" w:sz="2" w:space="0"/>
            </w:tcBorders>
            <w:vAlign w:val="center"/>
          </w:tcPr>
          <w:p w14:paraId="60331423">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122,297,412.45</w:t>
            </w:r>
          </w:p>
        </w:tc>
        <w:tc>
          <w:tcPr>
            <w:tcW w:w="1071" w:type="dxa"/>
            <w:tcBorders>
              <w:top w:val="single" w:color="auto" w:sz="2" w:space="0"/>
              <w:left w:val="single" w:color="auto" w:sz="2" w:space="0"/>
              <w:bottom w:val="single" w:color="auto" w:sz="2" w:space="0"/>
              <w:right w:val="single" w:color="auto" w:sz="2" w:space="0"/>
            </w:tcBorders>
            <w:vAlign w:val="center"/>
          </w:tcPr>
          <w:p w14:paraId="3974B052">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15,567,533.92</w:t>
            </w:r>
          </w:p>
        </w:tc>
        <w:tc>
          <w:tcPr>
            <w:tcW w:w="1071" w:type="dxa"/>
            <w:tcBorders>
              <w:top w:val="single" w:color="auto" w:sz="2" w:space="0"/>
              <w:left w:val="single" w:color="auto" w:sz="2" w:space="0"/>
              <w:bottom w:val="single" w:color="auto" w:sz="2" w:space="0"/>
              <w:right w:val="single" w:color="auto" w:sz="2" w:space="0"/>
            </w:tcBorders>
            <w:vAlign w:val="center"/>
          </w:tcPr>
          <w:p w14:paraId="7977996D">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-5,115,362.58</w:t>
            </w:r>
          </w:p>
        </w:tc>
        <w:tc>
          <w:tcPr>
            <w:tcW w:w="1071" w:type="dxa"/>
            <w:tcBorders>
              <w:top w:val="single" w:color="auto" w:sz="2" w:space="0"/>
              <w:left w:val="single" w:color="auto" w:sz="2" w:space="0"/>
              <w:bottom w:val="single" w:color="auto" w:sz="2" w:space="0"/>
              <w:right w:val="single" w:color="auto" w:sz="2" w:space="0"/>
            </w:tcBorders>
            <w:vAlign w:val="center"/>
          </w:tcPr>
          <w:p w14:paraId="37F4ED91">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-3,562,419.97</w:t>
            </w:r>
          </w:p>
        </w:tc>
      </w:tr>
      <w:tr w14:paraId="1DDF1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3C23987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c>
          <w:tcPr>
            <w:tcW w:w="738" w:type="dxa"/>
            <w:tcBorders>
              <w:top w:val="single" w:color="auto" w:sz="2" w:space="0"/>
              <w:left w:val="single" w:color="auto" w:sz="2" w:space="0"/>
              <w:bottom w:val="single" w:color="auto" w:sz="2" w:space="0"/>
              <w:right w:val="single" w:color="auto" w:sz="2" w:space="0"/>
            </w:tcBorders>
            <w:vAlign w:val="center"/>
          </w:tcPr>
          <w:p w14:paraId="5DBF938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296D9C1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信息系统集成服务、软件开发与技术服务、信息设备销售、信息系统运维服务</w:t>
            </w:r>
          </w:p>
        </w:tc>
        <w:tc>
          <w:tcPr>
            <w:tcW w:w="864" w:type="dxa"/>
            <w:tcBorders>
              <w:top w:val="single" w:color="auto" w:sz="2" w:space="0"/>
              <w:left w:val="single" w:color="auto" w:sz="2" w:space="0"/>
              <w:bottom w:val="single" w:color="auto" w:sz="2" w:space="0"/>
              <w:right w:val="single" w:color="auto" w:sz="2" w:space="0"/>
            </w:tcBorders>
            <w:vAlign w:val="center"/>
          </w:tcPr>
          <w:p w14:paraId="0EDD17A3">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1,000.00万元</w:t>
            </w:r>
          </w:p>
        </w:tc>
        <w:tc>
          <w:tcPr>
            <w:tcW w:w="1134" w:type="dxa"/>
            <w:tcBorders>
              <w:top w:val="single" w:color="auto" w:sz="2" w:space="0"/>
              <w:left w:val="single" w:color="auto" w:sz="2" w:space="0"/>
              <w:bottom w:val="single" w:color="auto" w:sz="2" w:space="0"/>
              <w:right w:val="single" w:color="auto" w:sz="2" w:space="0"/>
            </w:tcBorders>
            <w:vAlign w:val="center"/>
          </w:tcPr>
          <w:p w14:paraId="4CBAEF8D">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49,599,618.44</w:t>
            </w:r>
          </w:p>
        </w:tc>
        <w:tc>
          <w:tcPr>
            <w:tcW w:w="1215" w:type="dxa"/>
            <w:tcBorders>
              <w:top w:val="single" w:color="auto" w:sz="2" w:space="0"/>
              <w:left w:val="single" w:color="auto" w:sz="2" w:space="0"/>
              <w:bottom w:val="single" w:color="auto" w:sz="2" w:space="0"/>
              <w:right w:val="single" w:color="auto" w:sz="2" w:space="0"/>
            </w:tcBorders>
            <w:vAlign w:val="center"/>
          </w:tcPr>
          <w:p w14:paraId="2C99A430">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15,666,090.11</w:t>
            </w:r>
          </w:p>
        </w:tc>
        <w:tc>
          <w:tcPr>
            <w:tcW w:w="1071" w:type="dxa"/>
            <w:tcBorders>
              <w:top w:val="single" w:color="auto" w:sz="2" w:space="0"/>
              <w:left w:val="single" w:color="auto" w:sz="2" w:space="0"/>
              <w:bottom w:val="single" w:color="auto" w:sz="2" w:space="0"/>
              <w:right w:val="single" w:color="auto" w:sz="2" w:space="0"/>
            </w:tcBorders>
            <w:vAlign w:val="center"/>
          </w:tcPr>
          <w:p w14:paraId="3236BA2B">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87,037,974.92</w:t>
            </w:r>
          </w:p>
        </w:tc>
        <w:tc>
          <w:tcPr>
            <w:tcW w:w="1071" w:type="dxa"/>
            <w:tcBorders>
              <w:top w:val="single" w:color="auto" w:sz="2" w:space="0"/>
              <w:left w:val="single" w:color="auto" w:sz="2" w:space="0"/>
              <w:bottom w:val="single" w:color="auto" w:sz="2" w:space="0"/>
              <w:right w:val="single" w:color="auto" w:sz="2" w:space="0"/>
            </w:tcBorders>
            <w:vAlign w:val="center"/>
          </w:tcPr>
          <w:p w14:paraId="687C5D0A">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-806,041.01</w:t>
            </w:r>
          </w:p>
        </w:tc>
        <w:tc>
          <w:tcPr>
            <w:tcW w:w="1071" w:type="dxa"/>
            <w:tcBorders>
              <w:top w:val="single" w:color="auto" w:sz="2" w:space="0"/>
              <w:left w:val="single" w:color="auto" w:sz="2" w:space="0"/>
              <w:bottom w:val="single" w:color="auto" w:sz="2" w:space="0"/>
              <w:right w:val="single" w:color="auto" w:sz="2" w:space="0"/>
            </w:tcBorders>
            <w:vAlign w:val="center"/>
          </w:tcPr>
          <w:p w14:paraId="1285E0BF">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-488,761.28</w:t>
            </w:r>
          </w:p>
        </w:tc>
      </w:tr>
      <w:tr w14:paraId="6FA7CE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1B99CD0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天亿马（香港）信息产业有限公司</w:t>
            </w:r>
          </w:p>
        </w:tc>
        <w:tc>
          <w:tcPr>
            <w:tcW w:w="738" w:type="dxa"/>
            <w:tcBorders>
              <w:top w:val="single" w:color="auto" w:sz="2" w:space="0"/>
              <w:left w:val="single" w:color="auto" w:sz="2" w:space="0"/>
              <w:bottom w:val="single" w:color="auto" w:sz="2" w:space="0"/>
              <w:right w:val="single" w:color="auto" w:sz="2" w:space="0"/>
            </w:tcBorders>
            <w:vAlign w:val="center"/>
          </w:tcPr>
          <w:p w14:paraId="607E9D0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7307A83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信息系统运维服务</w:t>
            </w:r>
          </w:p>
        </w:tc>
        <w:tc>
          <w:tcPr>
            <w:tcW w:w="864" w:type="dxa"/>
            <w:tcBorders>
              <w:top w:val="single" w:color="auto" w:sz="2" w:space="0"/>
              <w:left w:val="single" w:color="auto" w:sz="2" w:space="0"/>
              <w:bottom w:val="single" w:color="auto" w:sz="2" w:space="0"/>
              <w:right w:val="single" w:color="auto" w:sz="2" w:space="0"/>
            </w:tcBorders>
            <w:vAlign w:val="center"/>
          </w:tcPr>
          <w:p w14:paraId="1D2ACA96">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1港元</w:t>
            </w:r>
          </w:p>
        </w:tc>
        <w:tc>
          <w:tcPr>
            <w:tcW w:w="1134" w:type="dxa"/>
            <w:tcBorders>
              <w:top w:val="single" w:color="auto" w:sz="2" w:space="0"/>
              <w:left w:val="single" w:color="auto" w:sz="2" w:space="0"/>
              <w:bottom w:val="single" w:color="auto" w:sz="2" w:space="0"/>
              <w:right w:val="single" w:color="auto" w:sz="2" w:space="0"/>
            </w:tcBorders>
            <w:vAlign w:val="center"/>
          </w:tcPr>
          <w:p w14:paraId="44B7283E">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3,723,714.32</w:t>
            </w:r>
          </w:p>
        </w:tc>
        <w:tc>
          <w:tcPr>
            <w:tcW w:w="1215" w:type="dxa"/>
            <w:tcBorders>
              <w:top w:val="single" w:color="auto" w:sz="2" w:space="0"/>
              <w:left w:val="single" w:color="auto" w:sz="2" w:space="0"/>
              <w:bottom w:val="single" w:color="auto" w:sz="2" w:space="0"/>
              <w:right w:val="single" w:color="auto" w:sz="2" w:space="0"/>
            </w:tcBorders>
            <w:vAlign w:val="center"/>
          </w:tcPr>
          <w:p w14:paraId="1C307998">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3,723,714.32</w:t>
            </w:r>
          </w:p>
        </w:tc>
        <w:tc>
          <w:tcPr>
            <w:tcW w:w="1071" w:type="dxa"/>
            <w:tcBorders>
              <w:top w:val="single" w:color="auto" w:sz="2" w:space="0"/>
              <w:left w:val="single" w:color="auto" w:sz="2" w:space="0"/>
              <w:bottom w:val="single" w:color="auto" w:sz="2" w:space="0"/>
              <w:right w:val="single" w:color="auto" w:sz="2" w:space="0"/>
            </w:tcBorders>
            <w:vAlign w:val="center"/>
          </w:tcPr>
          <w:p w14:paraId="45C98FE9">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755,541.69</w:t>
            </w:r>
          </w:p>
        </w:tc>
        <w:tc>
          <w:tcPr>
            <w:tcW w:w="1071" w:type="dxa"/>
            <w:tcBorders>
              <w:top w:val="single" w:color="auto" w:sz="2" w:space="0"/>
              <w:left w:val="single" w:color="auto" w:sz="2" w:space="0"/>
              <w:bottom w:val="single" w:color="auto" w:sz="2" w:space="0"/>
              <w:right w:val="single" w:color="auto" w:sz="2" w:space="0"/>
            </w:tcBorders>
            <w:vAlign w:val="center"/>
          </w:tcPr>
          <w:p w14:paraId="384C2063">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351,778.87</w:t>
            </w:r>
          </w:p>
        </w:tc>
        <w:tc>
          <w:tcPr>
            <w:tcW w:w="1071" w:type="dxa"/>
            <w:tcBorders>
              <w:top w:val="single" w:color="auto" w:sz="2" w:space="0"/>
              <w:left w:val="single" w:color="auto" w:sz="2" w:space="0"/>
              <w:bottom w:val="single" w:color="auto" w:sz="2" w:space="0"/>
              <w:right w:val="single" w:color="auto" w:sz="2" w:space="0"/>
            </w:tcBorders>
            <w:vAlign w:val="center"/>
          </w:tcPr>
          <w:p w14:paraId="65312507">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380,275.38</w:t>
            </w:r>
          </w:p>
        </w:tc>
      </w:tr>
      <w:tr w14:paraId="455BBA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B3B273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广东天亿马数字能源有限公司-注1</w:t>
            </w:r>
          </w:p>
        </w:tc>
        <w:tc>
          <w:tcPr>
            <w:tcW w:w="738" w:type="dxa"/>
            <w:tcBorders>
              <w:top w:val="single" w:color="auto" w:sz="2" w:space="0"/>
              <w:left w:val="single" w:color="auto" w:sz="2" w:space="0"/>
              <w:bottom w:val="single" w:color="auto" w:sz="2" w:space="0"/>
              <w:right w:val="single" w:color="auto" w:sz="2" w:space="0"/>
            </w:tcBorders>
            <w:vAlign w:val="center"/>
          </w:tcPr>
          <w:p w14:paraId="112E573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w:t>
            </w:r>
          </w:p>
        </w:tc>
        <w:tc>
          <w:tcPr>
            <w:tcW w:w="1404" w:type="dxa"/>
            <w:tcBorders>
              <w:top w:val="single" w:color="auto" w:sz="2" w:space="0"/>
              <w:left w:val="single" w:color="auto" w:sz="2" w:space="0"/>
              <w:bottom w:val="single" w:color="auto" w:sz="2" w:space="0"/>
              <w:right w:val="single" w:color="auto" w:sz="2" w:space="0"/>
            </w:tcBorders>
            <w:vAlign w:val="center"/>
          </w:tcPr>
          <w:p w14:paraId="77E8FDA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864" w:type="dxa"/>
            <w:tcBorders>
              <w:top w:val="single" w:color="auto" w:sz="2" w:space="0"/>
              <w:left w:val="single" w:color="auto" w:sz="2" w:space="0"/>
              <w:bottom w:val="single" w:color="auto" w:sz="2" w:space="0"/>
              <w:right w:val="single" w:color="auto" w:sz="2" w:space="0"/>
            </w:tcBorders>
            <w:vAlign w:val="center"/>
          </w:tcPr>
          <w:p w14:paraId="2129CD51">
            <w:pPr>
              <w:spacing w:line="240" w:lineRule="exact"/>
              <w:jc w:val="center"/>
              <w:rPr>
                <w:rFonts w:ascii="Times New Roman" w:hAnsi="Times New Roman" w:cs="Times New Roman" w:eastAsiaTheme="majorEastAsia"/>
                <w:sz w:val="16"/>
                <w:szCs w:val="18"/>
              </w:rPr>
            </w:pPr>
            <w:r>
              <w:rPr>
                <w:rFonts w:ascii="Times New Roman" w:hAnsi="Times New Roman" w:cs="Times New Roman" w:eastAsiaTheme="majorEastAsia"/>
                <w:sz w:val="16"/>
                <w:szCs w:val="18"/>
              </w:rPr>
              <w:t>1,000.00万元</w:t>
            </w:r>
          </w:p>
        </w:tc>
        <w:tc>
          <w:tcPr>
            <w:tcW w:w="1134" w:type="dxa"/>
            <w:tcBorders>
              <w:top w:val="single" w:color="auto" w:sz="2" w:space="0"/>
              <w:left w:val="single" w:color="auto" w:sz="2" w:space="0"/>
              <w:bottom w:val="single" w:color="auto" w:sz="2" w:space="0"/>
              <w:right w:val="single" w:color="auto" w:sz="2" w:space="0"/>
            </w:tcBorders>
            <w:vAlign w:val="center"/>
          </w:tcPr>
          <w:p w14:paraId="2D8663FD">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117,775,007.42</w:t>
            </w:r>
          </w:p>
        </w:tc>
        <w:tc>
          <w:tcPr>
            <w:tcW w:w="1215" w:type="dxa"/>
            <w:tcBorders>
              <w:top w:val="single" w:color="auto" w:sz="2" w:space="0"/>
              <w:left w:val="single" w:color="auto" w:sz="2" w:space="0"/>
              <w:bottom w:val="single" w:color="auto" w:sz="2" w:space="0"/>
              <w:right w:val="single" w:color="auto" w:sz="2" w:space="0"/>
            </w:tcBorders>
            <w:vAlign w:val="center"/>
          </w:tcPr>
          <w:p w14:paraId="52790F2B">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14,506,988.06</w:t>
            </w:r>
          </w:p>
        </w:tc>
        <w:tc>
          <w:tcPr>
            <w:tcW w:w="1071" w:type="dxa"/>
            <w:tcBorders>
              <w:top w:val="single" w:color="auto" w:sz="2" w:space="0"/>
              <w:left w:val="single" w:color="auto" w:sz="2" w:space="0"/>
              <w:bottom w:val="single" w:color="auto" w:sz="2" w:space="0"/>
              <w:right w:val="single" w:color="auto" w:sz="2" w:space="0"/>
            </w:tcBorders>
            <w:vAlign w:val="center"/>
          </w:tcPr>
          <w:p w14:paraId="1F246483">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643,382.46</w:t>
            </w:r>
          </w:p>
        </w:tc>
        <w:tc>
          <w:tcPr>
            <w:tcW w:w="1071" w:type="dxa"/>
            <w:tcBorders>
              <w:top w:val="single" w:color="auto" w:sz="2" w:space="0"/>
              <w:left w:val="single" w:color="auto" w:sz="2" w:space="0"/>
              <w:bottom w:val="single" w:color="auto" w:sz="2" w:space="0"/>
              <w:right w:val="single" w:color="auto" w:sz="2" w:space="0"/>
            </w:tcBorders>
            <w:vAlign w:val="center"/>
          </w:tcPr>
          <w:p w14:paraId="7C67D809">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-4,063,909.20</w:t>
            </w:r>
          </w:p>
        </w:tc>
        <w:tc>
          <w:tcPr>
            <w:tcW w:w="1071" w:type="dxa"/>
            <w:tcBorders>
              <w:top w:val="single" w:color="auto" w:sz="2" w:space="0"/>
              <w:left w:val="single" w:color="auto" w:sz="2" w:space="0"/>
              <w:bottom w:val="single" w:color="auto" w:sz="2" w:space="0"/>
              <w:right w:val="single" w:color="auto" w:sz="2" w:space="0"/>
            </w:tcBorders>
            <w:vAlign w:val="center"/>
          </w:tcPr>
          <w:p w14:paraId="20EAC0BA">
            <w:pPr>
              <w:spacing w:line="240" w:lineRule="exact"/>
              <w:ind w:right="-73" w:rightChars="-35"/>
              <w:jc w:val="right"/>
              <w:rPr>
                <w:rFonts w:ascii="Times New Roman" w:hAnsi="Times New Roman" w:cs="Times New Roman" w:eastAsiaTheme="majorEastAsia"/>
                <w:sz w:val="15"/>
                <w:szCs w:val="18"/>
              </w:rPr>
            </w:pPr>
            <w:r>
              <w:rPr>
                <w:rFonts w:ascii="Times New Roman" w:hAnsi="Times New Roman" w:cs="Times New Roman" w:eastAsiaTheme="majorEastAsia"/>
                <w:sz w:val="15"/>
                <w:szCs w:val="18"/>
              </w:rPr>
              <w:t>-3,209,009.63</w:t>
            </w:r>
          </w:p>
        </w:tc>
      </w:tr>
    </w:tbl>
    <w:p w14:paraId="1CD3766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报告期内取得和处置子公司的情况</w:t>
      </w:r>
    </w:p>
    <w:p w14:paraId="1D866E8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1998"/>
        <w:gridCol w:w="4428"/>
      </w:tblGrid>
      <w:tr w14:paraId="09C85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DBD3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公司名称</w:t>
            </w:r>
          </w:p>
        </w:tc>
        <w:tc>
          <w:tcPr>
            <w:tcW w:w="1998" w:type="dxa"/>
            <w:tcBorders>
              <w:top w:val="single" w:color="auto" w:sz="2" w:space="0"/>
              <w:left w:val="single" w:color="auto" w:sz="2" w:space="0"/>
              <w:bottom w:val="single" w:color="auto" w:sz="2" w:space="0"/>
              <w:right w:val="single" w:color="auto" w:sz="2" w:space="0"/>
            </w:tcBorders>
            <w:shd w:val="clear" w:color="auto" w:fill="D3D3D3"/>
            <w:vAlign w:val="center"/>
          </w:tcPr>
          <w:p w14:paraId="51348C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报告期内取得和处置子公司方式</w:t>
            </w:r>
          </w:p>
        </w:tc>
        <w:tc>
          <w:tcPr>
            <w:tcW w:w="4428" w:type="dxa"/>
            <w:tcBorders>
              <w:top w:val="single" w:color="auto" w:sz="2" w:space="0"/>
              <w:left w:val="single" w:color="auto" w:sz="2" w:space="0"/>
              <w:bottom w:val="single" w:color="auto" w:sz="2" w:space="0"/>
              <w:right w:val="single" w:color="auto" w:sz="2" w:space="0"/>
            </w:tcBorders>
            <w:shd w:val="clear" w:color="auto" w:fill="D3D3D3"/>
            <w:vAlign w:val="center"/>
          </w:tcPr>
          <w:p w14:paraId="0343F0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对整体生产经营和业绩的影响</w:t>
            </w:r>
          </w:p>
        </w:tc>
      </w:tr>
      <w:tr w14:paraId="3888D0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DA6D0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51782D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428" w:type="dxa"/>
            <w:tcBorders>
              <w:top w:val="single" w:color="auto" w:sz="2" w:space="0"/>
              <w:left w:val="single" w:color="auto" w:sz="2" w:space="0"/>
              <w:bottom w:val="single" w:color="auto" w:sz="2" w:space="0"/>
              <w:right w:val="single" w:color="auto" w:sz="2" w:space="0"/>
            </w:tcBorders>
            <w:vAlign w:val="center"/>
          </w:tcPr>
          <w:p w14:paraId="1B44CB6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16E0B6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67D8F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61FD0B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428" w:type="dxa"/>
            <w:tcBorders>
              <w:top w:val="single" w:color="auto" w:sz="2" w:space="0"/>
              <w:left w:val="single" w:color="auto" w:sz="2" w:space="0"/>
              <w:bottom w:val="single" w:color="auto" w:sz="2" w:space="0"/>
              <w:right w:val="single" w:color="auto" w:sz="2" w:space="0"/>
            </w:tcBorders>
            <w:vAlign w:val="center"/>
          </w:tcPr>
          <w:p w14:paraId="69EC78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5849E1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7C68E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邯郸庚源新能源科技有限公司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270D39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428" w:type="dxa"/>
            <w:tcBorders>
              <w:top w:val="single" w:color="auto" w:sz="2" w:space="0"/>
              <w:left w:val="single" w:color="auto" w:sz="2" w:space="0"/>
              <w:bottom w:val="single" w:color="auto" w:sz="2" w:space="0"/>
              <w:right w:val="single" w:color="auto" w:sz="2" w:space="0"/>
            </w:tcBorders>
            <w:vAlign w:val="center"/>
          </w:tcPr>
          <w:p w14:paraId="00B84C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65FB41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BBADAA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海南天亿马数字能源有限公司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43BA07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053A54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63530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C8745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广东天亿马新能源产业发展有限公司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6BF9CA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7D4DE5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19F6C3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AE44A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天亿马新能源（衡阳）有限公司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73F821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31E8CF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1D4D31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20B65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深圳市亿泰新能源有限公司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4512E1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2B9595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4103D8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1358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广西亿泰新能源有限公司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3BCDA3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6F21C6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448A64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753D2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衡阳凯晶新能源有限公司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6BC818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4410C9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628481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19E6E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深圳市天亿马信息技术有限公司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21FBFB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6E5D162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76EEAE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CBA3C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广州路创轨道科技有限公司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5D2E78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1F56ED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r w14:paraId="01FBEB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3D7F87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惠州市天亿马信息技术有限公司</w:t>
            </w:r>
          </w:p>
        </w:tc>
        <w:tc>
          <w:tcPr>
            <w:tcW w:w="1998" w:type="dxa"/>
            <w:tcBorders>
              <w:top w:val="single" w:color="auto" w:sz="2" w:space="0"/>
              <w:left w:val="single" w:color="auto" w:sz="2" w:space="0"/>
              <w:bottom w:val="single" w:color="auto" w:sz="2" w:space="0"/>
              <w:right w:val="single" w:color="auto" w:sz="2" w:space="0"/>
            </w:tcBorders>
            <w:vAlign w:val="center"/>
          </w:tcPr>
          <w:p w14:paraId="6016C3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新设</w:t>
            </w:r>
          </w:p>
        </w:tc>
        <w:tc>
          <w:tcPr>
            <w:tcW w:w="4428" w:type="dxa"/>
            <w:tcBorders>
              <w:top w:val="single" w:color="auto" w:sz="2" w:space="0"/>
              <w:left w:val="single" w:color="auto" w:sz="2" w:space="0"/>
              <w:bottom w:val="single" w:color="auto" w:sz="2" w:space="0"/>
              <w:right w:val="single" w:color="auto" w:sz="2" w:space="0"/>
            </w:tcBorders>
            <w:vAlign w:val="center"/>
          </w:tcPr>
          <w:p w14:paraId="0F6D89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对公司本报告期的生产和业绩未造成重大影响。</w:t>
            </w:r>
          </w:p>
        </w:tc>
      </w:tr>
    </w:tbl>
    <w:p w14:paraId="00770C0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主要控股参股公司情况说明</w:t>
      </w:r>
    </w:p>
    <w:p w14:paraId="7BB7F538">
      <w:pPr>
        <w:pStyle w:val="10"/>
        <w:spacing w:before="156" w:beforeLines="50" w:beforeAutospacing="0" w:after="156" w:afterLines="50" w:afterAutospacing="0"/>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1：上述广东天亿马数字能源有限公司的财务报表数据包含下属子公司湖南天晨新能源有限公司、桓台爱康新能源有限公司、桓台爱道光伏发电有限公司、邯郸庚源新能源科技有限公司、广西亿泰新能源有限公司、广东天亿马新能源产业发展有限公司的相关财务数据；</w:t>
      </w:r>
    </w:p>
    <w:p w14:paraId="5A557CC1">
      <w:pPr>
        <w:pStyle w:val="10"/>
        <w:spacing w:before="156" w:beforeLines="50" w:beforeAutospacing="0" w:after="156" w:afterLines="50" w:afterAutospacing="0"/>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注2：上述广图粤科（广州）科技有限公司的财务报表数据包含下属子公司粤科睿肯（上海）科技有限公司的相关财务数据；</w:t>
      </w:r>
    </w:p>
    <w:p w14:paraId="3398672B">
      <w:pPr>
        <w:pStyle w:val="10"/>
        <w:spacing w:before="156" w:beforeLines="50" w:beforeAutospacing="0" w:after="156" w:afterLines="50" w:afterAutospacing="0"/>
        <w:ind w:firstLine="36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注3：上述深圳市互联精英信息技术有限公司的财务报表数据包含下属子公司广东翼启数据产业有限公司的相关财务数据</w:t>
      </w:r>
      <w:r>
        <w:rPr>
          <w:rFonts w:hint="eastAsia" w:ascii="Times New Roman" w:hAnsi="Times New Roman" w:cs="Times New Roman" w:eastAsiaTheme="majorEastAsia"/>
          <w:sz w:val="18"/>
          <w:szCs w:val="18"/>
        </w:rPr>
        <w:t>。</w:t>
      </w:r>
    </w:p>
    <w:p w14:paraId="4A0C4479">
      <w:pPr>
        <w:pStyle w:val="2"/>
        <w:spacing w:before="300" w:after="300" w:line="320" w:lineRule="exact"/>
        <w:rPr>
          <w:rFonts w:ascii="Times New Roman" w:hAnsi="Times New Roman" w:cs="Times New Roman" w:eastAsiaTheme="majorEastAsia"/>
          <w:b/>
          <w:bCs/>
          <w:sz w:val="24"/>
          <w:szCs w:val="24"/>
        </w:rPr>
      </w:pPr>
      <w:bookmarkStart w:id="50" w:name="_Toc988939"/>
      <w:r>
        <w:rPr>
          <w:rFonts w:ascii="Times New Roman" w:hAnsi="Times New Roman" w:cs="Times New Roman" w:eastAsiaTheme="majorEastAsia"/>
          <w:b/>
          <w:bCs/>
          <w:sz w:val="24"/>
          <w:szCs w:val="24"/>
        </w:rPr>
        <w:t>十、公司控制的结构化主体情况</w:t>
      </w:r>
      <w:bookmarkEnd w:id="50"/>
    </w:p>
    <w:p w14:paraId="2E70AC8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37B7D48">
      <w:pPr>
        <w:pStyle w:val="2"/>
        <w:spacing w:before="300" w:after="300" w:line="320" w:lineRule="exact"/>
        <w:rPr>
          <w:rFonts w:ascii="Times New Roman" w:hAnsi="Times New Roman" w:cs="Times New Roman" w:eastAsiaTheme="majorEastAsia"/>
          <w:b/>
          <w:bCs/>
          <w:sz w:val="24"/>
          <w:szCs w:val="24"/>
        </w:rPr>
      </w:pPr>
      <w:bookmarkStart w:id="51" w:name="_Toc988940"/>
      <w:r>
        <w:rPr>
          <w:rFonts w:ascii="Times New Roman" w:hAnsi="Times New Roman" w:cs="Times New Roman" w:eastAsiaTheme="majorEastAsia"/>
          <w:b/>
          <w:bCs/>
          <w:sz w:val="24"/>
          <w:szCs w:val="24"/>
        </w:rPr>
        <w:t>十一、公司未来发展的展望</w:t>
      </w:r>
      <w:bookmarkEnd w:id="51"/>
    </w:p>
    <w:p w14:paraId="2DB7BB18">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（一）未来发展战略</w:t>
      </w:r>
    </w:p>
    <w:p w14:paraId="686F562A">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1.战略目标</w:t>
      </w:r>
    </w:p>
    <w:p w14:paraId="4D1E5A28">
      <w:pPr>
        <w:pStyle w:val="10"/>
        <w:spacing w:before="156" w:beforeLines="50" w:beforeAutospacing="0" w:after="156" w:afterLines="50" w:afterAutospacing="0"/>
        <w:ind w:left="105" w:leftChars="50" w:right="105" w:rightChars="50" w:firstLine="452"/>
        <w:jc w:val="both"/>
        <w:rPr>
          <w:rFonts w:ascii="Times New Roman" w:hAnsi="Times New Roman" w:cs="Times New Roman" w:eastAsiaTheme="majorEastAsia"/>
        </w:rPr>
      </w:pPr>
      <w:r>
        <w:rPr>
          <w:rFonts w:ascii="Times New Roman" w:hAnsi="Times New Roman" w:cs="Times New Roman" w:eastAsiaTheme="majorEastAsia"/>
          <w:color w:val="000000"/>
          <w:spacing w:val="8"/>
          <w:sz w:val="21"/>
          <w:szCs w:val="21"/>
        </w:rPr>
        <w:t>2025年，公司继续围绕“转型、提质”的战略总目标，紧抓“数字经济”发展机遇，坚持内生增长与外部并购相结合策略，</w:t>
      </w:r>
      <w:r>
        <w:rPr>
          <w:rFonts w:ascii="Times New Roman" w:hAnsi="Times New Roman" w:cs="Times New Roman" w:eastAsiaTheme="majorEastAsia"/>
          <w:color w:val="000000"/>
          <w:sz w:val="21"/>
          <w:szCs w:val="21"/>
        </w:rPr>
        <w:t>不断增强自身实力和核心竞争力</w:t>
      </w:r>
      <w:r>
        <w:rPr>
          <w:rFonts w:ascii="Times New Roman" w:hAnsi="Times New Roman" w:cs="Times New Roman" w:eastAsiaTheme="majorEastAsia"/>
          <w:color w:val="000000"/>
          <w:spacing w:val="8"/>
          <w:sz w:val="21"/>
          <w:szCs w:val="21"/>
        </w:rPr>
        <w:t>。在原有核心业务方面，我们巩固夯实“智慧政务、智慧教育、智慧医疗、智慧交通、智慧企业”等领域既有优势，全力提升方案解决能力；同时稳步拓展算力服务、智慧轨道、数字能源等新业务。截至报告期末，公司已获得在手订单约8亿元，为2025年业绩提升和改善打下坚实的基础。</w:t>
      </w:r>
    </w:p>
    <w:p w14:paraId="30EAB446">
      <w:pPr>
        <w:pStyle w:val="10"/>
        <w:spacing w:before="156" w:beforeLines="50" w:beforeAutospacing="0" w:after="156" w:afterLines="50" w:afterAutospacing="0"/>
        <w:ind w:left="105" w:leftChars="50" w:right="105" w:rightChars="50" w:firstLine="452"/>
        <w:jc w:val="both"/>
        <w:rPr>
          <w:rFonts w:ascii="Times New Roman" w:hAnsi="Times New Roman" w:cs="Times New Roman" w:eastAsiaTheme="majorEastAsia"/>
        </w:rPr>
      </w:pPr>
      <w:r>
        <w:rPr>
          <w:rFonts w:ascii="Times New Roman" w:hAnsi="Times New Roman" w:cs="Times New Roman" w:eastAsiaTheme="majorEastAsia"/>
          <w:color w:val="000000"/>
          <w:spacing w:val="8"/>
          <w:sz w:val="21"/>
          <w:szCs w:val="21"/>
        </w:rPr>
        <w:t>大力推进外部并购，积极布局新赛道。2024年公司完成了</w:t>
      </w:r>
      <w:r>
        <w:rPr>
          <w:rFonts w:ascii="Times New Roman" w:hAnsi="Times New Roman" w:cs="Times New Roman" w:eastAsiaTheme="majorEastAsia"/>
          <w:color w:val="000000"/>
          <w:sz w:val="21"/>
          <w:szCs w:val="21"/>
        </w:rPr>
        <w:t>具有广东省首批数据经纪人资质的</w:t>
      </w:r>
      <w:r>
        <w:rPr>
          <w:rFonts w:ascii="Times New Roman" w:hAnsi="Times New Roman" w:cs="Times New Roman" w:eastAsiaTheme="majorEastAsia"/>
          <w:color w:val="000000"/>
          <w:spacing w:val="8"/>
          <w:sz w:val="21"/>
          <w:szCs w:val="21"/>
        </w:rPr>
        <w:t>翼启数据并购，并率先获得全国首批数据确权授权标准符合性DRCA证书；未来公司将充分利用上市公司平台和资源优势，</w:t>
      </w:r>
      <w:r>
        <w:rPr>
          <w:rFonts w:ascii="Times New Roman" w:hAnsi="Times New Roman" w:cs="Times New Roman" w:eastAsiaTheme="majorEastAsia"/>
          <w:color w:val="000000"/>
          <w:sz w:val="21"/>
          <w:szCs w:val="21"/>
        </w:rPr>
        <w:t>加强资本运作并购力度，优化产业布局和产品结构，</w:t>
      </w:r>
      <w:r>
        <w:rPr>
          <w:rFonts w:ascii="Times New Roman" w:hAnsi="Times New Roman" w:cs="Times New Roman" w:eastAsiaTheme="majorEastAsia"/>
          <w:color w:val="000000"/>
          <w:spacing w:val="8"/>
          <w:sz w:val="21"/>
          <w:szCs w:val="21"/>
        </w:rPr>
        <w:t>推进公司业务提质、转型</w:t>
      </w:r>
      <w:r>
        <w:rPr>
          <w:rFonts w:ascii="Times New Roman" w:hAnsi="Times New Roman" w:cs="Times New Roman" w:eastAsiaTheme="majorEastAsia"/>
          <w:color w:val="000000"/>
          <w:sz w:val="21"/>
          <w:szCs w:val="21"/>
        </w:rPr>
        <w:t>。</w:t>
      </w:r>
    </w:p>
    <w:p w14:paraId="7AB0D95E">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2.战略保障</w:t>
      </w:r>
    </w:p>
    <w:p w14:paraId="76301B98">
      <w:pPr>
        <w:pStyle w:val="10"/>
        <w:spacing w:before="156" w:beforeLines="50" w:beforeAutospacing="0" w:after="156" w:afterLines="50" w:afterAutospacing="0"/>
        <w:ind w:left="105" w:leftChars="50" w:right="105" w:rightChars="50" w:firstLine="452"/>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pacing w:val="8"/>
          <w:sz w:val="21"/>
          <w:szCs w:val="21"/>
        </w:rPr>
        <w:t>公司围绕“转型、提质”的发展战略，制定2025年度经营规划如下：</w:t>
      </w:r>
    </w:p>
    <w:p w14:paraId="06890245">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（1）探索“新路径”</w:t>
      </w:r>
    </w:p>
    <w:p w14:paraId="645F68C3">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rPr>
      </w:pPr>
      <w:r>
        <w:rPr>
          <w:rFonts w:ascii="Times New Roman" w:hAnsi="Times New Roman" w:cs="Times New Roman" w:eastAsiaTheme="majorEastAsia"/>
          <w:color w:val="000000"/>
          <w:sz w:val="21"/>
          <w:szCs w:val="21"/>
        </w:rPr>
        <w:t>公司依托物联网、大数据、人工智能等核心技术，主动布局智能算力、数据要素等新兴业务赛道，持续拓展算力网络集群服务，加速数据要素商业化进程。凭借全国首批DRCA证书及数据经纪人资质，公司将积极开拓数据资产入表及数据产品开发服务市场，构建新的业务增长点。</w:t>
      </w:r>
    </w:p>
    <w:p w14:paraId="3A0C96BB">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（2）培育“新动能”</w:t>
      </w:r>
    </w:p>
    <w:p w14:paraId="7E56724F">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公司持续加大在智慧轨道、智慧电力及智慧企业领域的市场拓展力度，深化企业数字化核心场景的解决方案能力，通过技术研发与项目实践双轮驱动，确保业绩平稳向好。</w:t>
      </w:r>
    </w:p>
    <w:p w14:paraId="4BAA4E70">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（3）推进“新突围”</w:t>
      </w:r>
    </w:p>
    <w:p w14:paraId="1373A4B2">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面对市场压力，公司精准把握专项债、新基建及城市治理等政策机遇，集中政企业务资源优化配置，强化解决方案的支撑能力，在智慧政务市场需求不足、竞争加剧的背景下，通过提升服务品质与技术竞争力寻求突破，为后续发展奠定坚实基础。</w:t>
      </w:r>
    </w:p>
    <w:p w14:paraId="4322F8D2">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（4）强化内部管理</w:t>
      </w:r>
    </w:p>
    <w:p w14:paraId="635EF7F1">
      <w:pPr>
        <w:pStyle w:val="10"/>
        <w:spacing w:before="156" w:beforeLines="50" w:beforeAutospacing="0" w:after="156" w:afterLines="50" w:afterAutospacing="0"/>
        <w:ind w:left="105" w:leftChars="50" w:right="105" w:rightChars="50" w:firstLine="452"/>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pacing w:val="8"/>
          <w:sz w:val="21"/>
          <w:szCs w:val="21"/>
        </w:rPr>
        <w:t>坚持以防风险、保稳健、促发展为目标。全面推进预算管理，加强预算过程控制；优化组织架构及人员配置，深化组织与人才变革，调整人才结构，组织全面内控风险梳理及内部经营流程持续完善，保障公司行稳致远。</w:t>
      </w:r>
    </w:p>
    <w:p w14:paraId="392D785A">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（5）持续推进并购重组及资本运作</w:t>
      </w:r>
    </w:p>
    <w:p w14:paraId="59D9B253">
      <w:pPr>
        <w:pStyle w:val="10"/>
        <w:spacing w:before="156" w:beforeLines="50" w:beforeAutospacing="0" w:after="156" w:afterLines="50" w:afterAutospacing="0"/>
        <w:ind w:left="105" w:leftChars="50" w:right="105" w:rightChars="50" w:firstLine="452"/>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pacing w:val="8"/>
          <w:sz w:val="21"/>
          <w:szCs w:val="21"/>
        </w:rPr>
        <w:t>公司将充分利用上市公司的平台和资源优势，通过资本运作实现企业价值再发现与资源再配置。今年公司将</w:t>
      </w:r>
      <w:r>
        <w:rPr>
          <w:rFonts w:ascii="Times New Roman" w:hAnsi="Times New Roman" w:cs="Times New Roman" w:eastAsiaTheme="majorEastAsia"/>
          <w:color w:val="000000"/>
          <w:sz w:val="21"/>
          <w:szCs w:val="21"/>
        </w:rPr>
        <w:t>抓紧抓实重点项目，加强项目储备和渠道拜访，广泛调研、实地走访、接触优质企业，积累标的资产备选库资源。加强资本运作力度，不断增强自身实力和核心竞争力，优化产业布局和产品结构，</w:t>
      </w:r>
      <w:r>
        <w:rPr>
          <w:rFonts w:ascii="Times New Roman" w:hAnsi="Times New Roman" w:cs="Times New Roman" w:eastAsiaTheme="majorEastAsia"/>
          <w:color w:val="000000"/>
          <w:spacing w:val="8"/>
          <w:sz w:val="21"/>
          <w:szCs w:val="21"/>
        </w:rPr>
        <w:t>推进公司业务提质、转型</w:t>
      </w:r>
      <w:r>
        <w:rPr>
          <w:rFonts w:ascii="Times New Roman" w:hAnsi="Times New Roman" w:cs="Times New Roman" w:eastAsiaTheme="majorEastAsia"/>
          <w:color w:val="000000"/>
          <w:sz w:val="21"/>
          <w:szCs w:val="21"/>
        </w:rPr>
        <w:t>。</w:t>
      </w:r>
    </w:p>
    <w:p w14:paraId="7464F9C4">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（二）可能面临的风险及应对措施</w:t>
      </w:r>
    </w:p>
    <w:p w14:paraId="72223AEB">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1.市场竞争风险</w:t>
      </w:r>
    </w:p>
    <w:p w14:paraId="690B1698">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所在行业中企业数量较多，市场竞争日趋激烈。若公司对行业发展趋势判断失误或应对市场竞争的措施严重失当，不能持续提升技术水平和核心竞争力，扩大市场份额，在未来的市场竞争中将面临处于不利地位的风险。</w:t>
      </w:r>
    </w:p>
    <w:p w14:paraId="46A320CA">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2.收入季节性波动的风险</w:t>
      </w:r>
    </w:p>
    <w:p w14:paraId="12420AA3">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主要客户为机关及事业单位，此类客户执行预算管理及严格的采购流程，项目验收工作主要集中在下半年特别是第四季度，导致公司较多项目集中在下半年进行验收。由于公司信息系统集成服务、软件开发及技术服务业务以验收为收入确认时点，因而公司营业收入较多在下半年确认，存在较大季节性波动的风险。</w:t>
      </w:r>
    </w:p>
    <w:p w14:paraId="63A5D173">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3.研发创新失败风险</w:t>
      </w:r>
    </w:p>
    <w:p w14:paraId="5A0FFE78">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作为智慧城市解决方案提供商，技术研发至关重要。随着物联网、大数据、云计算、人工智能等新一代信息技术发展，为保证公司的市场竞争力和技术创新能力需投入大量的研发资金。研发项目开展结果具有不确定性，存在研发失败风险。即使研发项目成功并推向市场，如果公司对于技术、产品和市场的发展趋势判断失误，研发成果得不到市场和客户的足够认可、不能较好地实现产业化或形成最终销售，导致研发成果的经济效益与预期收益存在较大差距，可能会对公司的财务状况和经营成果产生负面的影响，降低公司的市场竞争力。</w:t>
      </w:r>
    </w:p>
    <w:p w14:paraId="77CEC863">
      <w:pPr>
        <w:pStyle w:val="10"/>
        <w:spacing w:before="156" w:beforeLines="50" w:beforeAutospacing="0" w:after="156" w:afterLines="50" w:afterAutospacing="0"/>
        <w:ind w:left="105" w:leftChars="50" w:right="105" w:rightChars="50" w:firstLine="454"/>
        <w:jc w:val="both"/>
        <w:rPr>
          <w:rFonts w:ascii="Times New Roman" w:hAnsi="Times New Roman" w:cs="Times New Roman" w:eastAsiaTheme="majorEastAsia"/>
          <w:color w:val="000000"/>
          <w:sz w:val="21"/>
          <w:szCs w:val="21"/>
        </w:rPr>
      </w:pPr>
      <w:r>
        <w:rPr>
          <w:rStyle w:val="14"/>
          <w:rFonts w:ascii="Times New Roman" w:hAnsi="Times New Roman" w:cs="Times New Roman" w:eastAsiaTheme="majorEastAsia"/>
          <w:color w:val="000000"/>
          <w:spacing w:val="8"/>
          <w:sz w:val="21"/>
          <w:szCs w:val="21"/>
        </w:rPr>
        <w:t>4.应收账款回收风险</w:t>
      </w:r>
    </w:p>
    <w:p w14:paraId="6137CC78">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公司主要客户为</w:t>
      </w:r>
      <w:r>
        <w:rPr>
          <w:rFonts w:hint="eastAsia" w:ascii="Times New Roman" w:hAnsi="Times New Roman" w:cs="Times New Roman" w:eastAsiaTheme="majorEastAsia"/>
          <w:color w:val="000000"/>
          <w:sz w:val="21"/>
          <w:szCs w:val="21"/>
        </w:rPr>
        <w:t>机关</w:t>
      </w:r>
      <w:r>
        <w:rPr>
          <w:rFonts w:ascii="Times New Roman" w:hAnsi="Times New Roman" w:cs="Times New Roman" w:eastAsiaTheme="majorEastAsia"/>
          <w:color w:val="000000"/>
          <w:sz w:val="21"/>
          <w:szCs w:val="21"/>
        </w:rPr>
        <w:t>、企事业单位，对外付款时需履行较严格的付款审批流程，导致期末应收账款（含合同资产）余额较大。虽然公司的主要客户信用度高，支付能力强，存在坏账的可能性较小。受到客户终验进度、客户审计、预算以及经营情况的影响，可能会使账期延长。付款进度往往受其资金预算、上级主管部门拨款情况影响，付款周期一般较长，一旦用户付款延期或款项无法收回，将给公司带来一定的损失。</w:t>
      </w:r>
    </w:p>
    <w:p w14:paraId="0E32CDAB">
      <w:pPr>
        <w:pStyle w:val="10"/>
        <w:spacing w:before="156" w:beforeLines="50" w:beforeAutospacing="0" w:after="156" w:afterLines="50" w:afterAutospacing="0"/>
        <w:ind w:left="105" w:leftChars="50" w:right="105" w:rightChars="50"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公司将不断强化应收账款管理，完善应收账款跟踪机制，加大应收账款责任制实施力度，保障合理的应收账款结构，减少资金占用，全面强化应收账款回款工作，有效控制坏账发生。</w:t>
      </w:r>
    </w:p>
    <w:p w14:paraId="5FA45B5B">
      <w:pPr>
        <w:pStyle w:val="2"/>
        <w:spacing w:before="300" w:after="300" w:line="320" w:lineRule="exact"/>
        <w:rPr>
          <w:rFonts w:ascii="Times New Roman" w:hAnsi="Times New Roman" w:cs="Times New Roman" w:eastAsiaTheme="majorEastAsia"/>
          <w:b/>
          <w:bCs/>
          <w:sz w:val="24"/>
          <w:szCs w:val="24"/>
        </w:rPr>
      </w:pPr>
      <w:bookmarkStart w:id="52" w:name="_Toc988941"/>
      <w:r>
        <w:rPr>
          <w:rFonts w:ascii="Times New Roman" w:hAnsi="Times New Roman" w:cs="Times New Roman" w:eastAsiaTheme="majorEastAsia"/>
          <w:b/>
          <w:bCs/>
          <w:sz w:val="24"/>
          <w:szCs w:val="24"/>
        </w:rPr>
        <w:t>十二、报告期内接待调研、沟通、采访等活动登记表</w:t>
      </w:r>
      <w:bookmarkEnd w:id="52"/>
    </w:p>
    <w:p w14:paraId="5241F20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4613E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143D1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接待时间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61C79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接待地点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9D93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接待方式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2C67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接待对象类型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DAE76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接待对象</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72C2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谈论的主要内容及提供的资料</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A9E0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调研的基本情况索引</w:t>
            </w:r>
          </w:p>
        </w:tc>
      </w:tr>
      <w:tr w14:paraId="2C568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31815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2024年09月12日</w:t>
            </w:r>
          </w:p>
        </w:tc>
        <w:tc>
          <w:tcPr>
            <w:tcW w:w="1377" w:type="dxa"/>
            <w:tcBorders>
              <w:top w:val="single" w:color="auto" w:sz="2" w:space="0"/>
              <w:left w:val="single" w:color="auto" w:sz="2" w:space="0"/>
              <w:bottom w:val="single" w:color="auto" w:sz="2" w:space="0"/>
              <w:right w:val="single" w:color="auto" w:sz="2" w:space="0"/>
            </w:tcBorders>
            <w:vAlign w:val="center"/>
          </w:tcPr>
          <w:p w14:paraId="5C3CF8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互联网</w:t>
            </w:r>
          </w:p>
        </w:tc>
        <w:tc>
          <w:tcPr>
            <w:tcW w:w="1377" w:type="dxa"/>
            <w:tcBorders>
              <w:top w:val="single" w:color="auto" w:sz="2" w:space="0"/>
              <w:left w:val="single" w:color="auto" w:sz="2" w:space="0"/>
              <w:bottom w:val="single" w:color="auto" w:sz="2" w:space="0"/>
              <w:right w:val="single" w:color="auto" w:sz="2" w:space="0"/>
            </w:tcBorders>
            <w:vAlign w:val="center"/>
          </w:tcPr>
          <w:p w14:paraId="0CFE6F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网络平台线上交流</w:t>
            </w:r>
          </w:p>
        </w:tc>
        <w:tc>
          <w:tcPr>
            <w:tcW w:w="1377" w:type="dxa"/>
            <w:tcBorders>
              <w:top w:val="single" w:color="auto" w:sz="2" w:space="0"/>
              <w:left w:val="single" w:color="auto" w:sz="2" w:space="0"/>
              <w:bottom w:val="single" w:color="auto" w:sz="2" w:space="0"/>
              <w:right w:val="single" w:color="auto" w:sz="2" w:space="0"/>
            </w:tcBorders>
            <w:vAlign w:val="center"/>
          </w:tcPr>
          <w:p w14:paraId="44DFA8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个人</w:t>
            </w:r>
          </w:p>
        </w:tc>
        <w:tc>
          <w:tcPr>
            <w:tcW w:w="1377" w:type="dxa"/>
            <w:tcBorders>
              <w:top w:val="single" w:color="auto" w:sz="2" w:space="0"/>
              <w:left w:val="single" w:color="auto" w:sz="2" w:space="0"/>
              <w:bottom w:val="single" w:color="auto" w:sz="2" w:space="0"/>
              <w:right w:val="single" w:color="auto" w:sz="2" w:space="0"/>
            </w:tcBorders>
            <w:vAlign w:val="center"/>
          </w:tcPr>
          <w:p w14:paraId="3D9DD2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投资者</w:t>
            </w:r>
          </w:p>
        </w:tc>
        <w:tc>
          <w:tcPr>
            <w:tcW w:w="1377" w:type="dxa"/>
            <w:tcBorders>
              <w:top w:val="single" w:color="auto" w:sz="2" w:space="0"/>
              <w:left w:val="single" w:color="auto" w:sz="2" w:space="0"/>
              <w:bottom w:val="single" w:color="auto" w:sz="2" w:space="0"/>
              <w:right w:val="single" w:color="auto" w:sz="2" w:space="0"/>
            </w:tcBorders>
            <w:vAlign w:val="center"/>
          </w:tcPr>
          <w:p w14:paraId="3BCBCE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就投资者关于公司业绩问题进行了回复。</w:t>
            </w:r>
          </w:p>
        </w:tc>
        <w:tc>
          <w:tcPr>
            <w:tcW w:w="1377" w:type="dxa"/>
            <w:tcBorders>
              <w:top w:val="single" w:color="auto" w:sz="2" w:space="0"/>
              <w:left w:val="single" w:color="auto" w:sz="2" w:space="0"/>
              <w:bottom w:val="single" w:color="auto" w:sz="2" w:space="0"/>
              <w:right w:val="single" w:color="auto" w:sz="2" w:space="0"/>
            </w:tcBorders>
            <w:vAlign w:val="center"/>
          </w:tcPr>
          <w:p w14:paraId="1E23BE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详见公司于2024年9月12日发布于巨潮资讯网的《广东天亿马信息产业股份有限公司投资者活动记录表（2024广东辖区上市公司投资者集体接待日）》。</w:t>
            </w:r>
          </w:p>
        </w:tc>
      </w:tr>
    </w:tbl>
    <w:p w14:paraId="24B7248C">
      <w:pPr>
        <w:pStyle w:val="2"/>
        <w:spacing w:before="300" w:after="300" w:line="320" w:lineRule="exact"/>
        <w:rPr>
          <w:rFonts w:ascii="Times New Roman" w:hAnsi="Times New Roman" w:cs="Times New Roman" w:eastAsiaTheme="majorEastAsia"/>
          <w:b/>
          <w:bCs/>
          <w:sz w:val="24"/>
          <w:szCs w:val="24"/>
        </w:rPr>
      </w:pPr>
      <w:bookmarkStart w:id="53" w:name="_Toc988942"/>
      <w:r>
        <w:rPr>
          <w:rFonts w:ascii="Times New Roman" w:hAnsi="Times New Roman" w:cs="Times New Roman" w:eastAsiaTheme="majorEastAsia"/>
          <w:b/>
          <w:bCs/>
          <w:sz w:val="24"/>
          <w:szCs w:val="24"/>
        </w:rPr>
        <w:t>十三、市值管理制度和估值提升计划的制定落实情况</w:t>
      </w:r>
      <w:bookmarkEnd w:id="53"/>
    </w:p>
    <w:p w14:paraId="390ECE5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公司是否制定了市值管理制度。</w:t>
      </w:r>
    </w:p>
    <w:p w14:paraId="5F82A66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141F668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公司是否披露了估值提升计划。</w:t>
      </w:r>
    </w:p>
    <w:p w14:paraId="18A1C43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09D969A8">
      <w:pPr>
        <w:pStyle w:val="2"/>
        <w:spacing w:before="300" w:after="300" w:line="320" w:lineRule="exact"/>
        <w:rPr>
          <w:rFonts w:ascii="Times New Roman" w:hAnsi="Times New Roman" w:cs="Times New Roman" w:eastAsiaTheme="majorEastAsia"/>
          <w:b/>
          <w:bCs/>
          <w:sz w:val="24"/>
          <w:szCs w:val="24"/>
        </w:rPr>
      </w:pPr>
      <w:bookmarkStart w:id="54" w:name="_Toc988943"/>
      <w:r>
        <w:rPr>
          <w:rFonts w:ascii="Times New Roman" w:hAnsi="Times New Roman" w:cs="Times New Roman" w:eastAsiaTheme="majorEastAsia"/>
          <w:b/>
          <w:bCs/>
          <w:sz w:val="24"/>
          <w:szCs w:val="24"/>
        </w:rPr>
        <w:t>十四、“质量回报双提升”行动方案贯彻落实情况</w:t>
      </w:r>
      <w:bookmarkEnd w:id="54"/>
    </w:p>
    <w:p w14:paraId="28D7D4C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公司是否披露了“质量回报双提升”行动方案公告。</w:t>
      </w:r>
    </w:p>
    <w:p w14:paraId="69D2C36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7A2DD7A2">
      <w:pPr>
        <w:rPr>
          <w:rFonts w:ascii="Times New Roman" w:hAnsi="Times New Roman" w:cs="Times New Roman" w:eastAsiaTheme="majorEastAsia"/>
        </w:rPr>
      </w:pPr>
      <w:r>
        <w:rPr>
          <w:rFonts w:ascii="Times New Roman" w:hAnsi="Times New Roman" w:cs="Times New Roman" w:eastAsiaTheme="majorEastAsia"/>
        </w:rPr>
        <w:br w:type="page"/>
      </w:r>
    </w:p>
    <w:p w14:paraId="604783E2">
      <w:pPr>
        <w:pStyle w:val="18"/>
        <w:spacing w:before="340" w:after="330" w:line="773" w:lineRule="exact"/>
        <w:jc w:val="center"/>
        <w:rPr>
          <w:rFonts w:ascii="Times New Roman" w:hAnsi="Times New Roman" w:cs="Times New Roman" w:eastAsiaTheme="majorEastAsia"/>
          <w:b/>
          <w:bCs/>
          <w:sz w:val="32"/>
          <w:szCs w:val="32"/>
        </w:rPr>
      </w:pPr>
      <w:bookmarkStart w:id="55" w:name="_Toc988944"/>
      <w:r>
        <w:rPr>
          <w:rFonts w:ascii="Times New Roman" w:hAnsi="Times New Roman" w:cs="Times New Roman" w:eastAsiaTheme="majorEastAsia"/>
          <w:b/>
          <w:bCs/>
          <w:sz w:val="32"/>
          <w:szCs w:val="32"/>
        </w:rPr>
        <w:t>第四节 公司治理</w:t>
      </w:r>
      <w:bookmarkEnd w:id="55"/>
    </w:p>
    <w:p w14:paraId="1E01EB00">
      <w:pPr>
        <w:pStyle w:val="2"/>
        <w:spacing w:before="300" w:after="300" w:line="320" w:lineRule="exact"/>
        <w:rPr>
          <w:rFonts w:ascii="Times New Roman" w:hAnsi="Times New Roman" w:cs="Times New Roman" w:eastAsiaTheme="majorEastAsia"/>
          <w:b/>
          <w:bCs/>
          <w:sz w:val="24"/>
          <w:szCs w:val="24"/>
        </w:rPr>
      </w:pPr>
      <w:bookmarkStart w:id="56" w:name="_Toc988945"/>
      <w:r>
        <w:rPr>
          <w:rFonts w:ascii="Times New Roman" w:hAnsi="Times New Roman" w:cs="Times New Roman" w:eastAsiaTheme="majorEastAsia"/>
          <w:b/>
          <w:bCs/>
          <w:sz w:val="24"/>
          <w:szCs w:val="24"/>
        </w:rPr>
        <w:t>一、公司治理的基本状况</w:t>
      </w:r>
      <w:bookmarkEnd w:id="56"/>
    </w:p>
    <w:p w14:paraId="7D0C07E2">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报告期内，公司严格按照《公司法》《证券法》《深圳证券交易所创业板股票上市规则》《深圳证券交易所上市公司自律监管指引第2号——创业板上市公司规范运作》等法律、法规和中国证监会有关法律法规等的要求，不断完善公司的法人治理结构，建立健全公司内部管理制度和内部控制制度，持续深入开展公司治理活动，促进公司规范运作，提高公司治理水平。</w:t>
      </w:r>
    </w:p>
    <w:p w14:paraId="7D912F07">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（一）关于股东与股东会</w:t>
      </w:r>
    </w:p>
    <w:p w14:paraId="184ADDCF">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报告期内，公司严格按照《公司法》《证券法》《公司章程》《股东会议事规则》等规定的要求，规范股东会召集、召开及表决等程序，平等对待所有投资者，使其充分行使股东的权利，切实保护中小股东的权益。公司所聘请的律师列席股东会并对股东会的召开和表决程序出具法律意见书，充分尊重和维护全体股东的合法权益。</w:t>
      </w:r>
    </w:p>
    <w:p w14:paraId="71D08DAD">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报告期内，公司共召开股东会5次，审议并通过议案共计22项。</w:t>
      </w:r>
    </w:p>
    <w:p w14:paraId="16C0D310">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（二）关于公司与控股股东、实际控制人</w:t>
      </w:r>
    </w:p>
    <w:p w14:paraId="093CD40E">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控股股东严格按照《上市公司治理准则》《深圳证券交易所创业板股票上市规则》《深圳证券交易所上市公司自律监管指引第2号——创业板上市公司规范运作》《公司章程》等规定和要求，不存在超越公司股东会直接或间接干预公司决策和经营活动的行为，未损害公司及其他股东的利益，不存在控股股东占用公司资金的现象，公司亦不存在为控股股东提供担保的情形。</w:t>
      </w:r>
    </w:p>
    <w:p w14:paraId="174244CD">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公司在资产、人员、财务、机构、业务等方面均独立于控股股东、实际控制人及其控制的其他企业，具有完整的业务体系和面向市场独立经营的能力。</w:t>
      </w:r>
    </w:p>
    <w:p w14:paraId="7438B15E">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 xml:space="preserve">（三）关于董事与董事会 </w:t>
      </w:r>
    </w:p>
    <w:p w14:paraId="4DB43E26">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报告期内，公司有8位董事，其中独立董事3位，董事会人数、人员资格与结构均符合法律法规的相关要求。公司董事不存在《公司法》第一百四十六条规定的不得担任公司董事的情形，其任免均严格履行董事会、股东会的审批程序，不存在与相关法律、法规或《公司章程》相抵触的情形。各位董事依据《公司法》《深圳证券交易所上市公司自律监管指引第2号——创业板上市公司规范运作》《公司章程》《董事会议事规则》等规定和要求，在任职期间工作严谨、勤勉尽责，持续关注公司经营情况，主动参加相关培训，提高董事会规范运作水平；积极参加董事会会议，充分发挥各自的特长，审慎决策，维护公司和全体股东的合法权益。报告期内，公司共召开董事会会议7次，审议并通过议案共计40项。</w:t>
      </w:r>
    </w:p>
    <w:p w14:paraId="31278A95">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 xml:space="preserve">（四）关于监事与监事会 </w:t>
      </w:r>
    </w:p>
    <w:p w14:paraId="3BF9AC8D">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监事会现有3名监事，设职工代表监事2名。监事会的人数、人员构成及资格均符合法律、法规和《公司章程》的相关要求。各位监事能依照《公司法》《深圳证券交易所上市公司自律监管指引第2号——创业板上市公司规范运作》《公司章程》《监事会议事规则》等规定和要求，认真履行职责，对公司的重大事项、关联交易、财务状况以及董事会、高级管理人员履职的合法合规性进行监督，积极发挥监事会作用，维护公司及全体股东的合法权益。报告期内，公司共召开监事会会议6次，审议并通过议案共计</w:t>
      </w:r>
      <w:r>
        <w:rPr>
          <w:rFonts w:hint="eastAsia" w:ascii="Times New Roman" w:hAnsi="Times New Roman" w:cs="Times New Roman" w:eastAsiaTheme="majorEastAsia"/>
          <w:sz w:val="21"/>
          <w:szCs w:val="21"/>
        </w:rPr>
        <w:t>30</w:t>
      </w:r>
      <w:r>
        <w:rPr>
          <w:rFonts w:ascii="Times New Roman" w:hAnsi="Times New Roman" w:cs="Times New Roman" w:eastAsiaTheme="majorEastAsia"/>
          <w:sz w:val="21"/>
          <w:szCs w:val="21"/>
        </w:rPr>
        <w:t>项。</w:t>
      </w:r>
    </w:p>
    <w:p w14:paraId="4622CFF9">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 xml:space="preserve">（五）关于绩效评价与激励约束机制 </w:t>
      </w:r>
    </w:p>
    <w:p w14:paraId="1CC61F9B">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公司建立并逐步完善公正、有效的高级管理人员的绩效评价标准和激励约束机制，公司高级管理人员实行基本年薪与年终绩效考核相结合的薪酬制度。高级管理人员的聘任公开、透明，符合法律、法规的规定。</w:t>
      </w:r>
    </w:p>
    <w:p w14:paraId="1E5C746F">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（六）关于信息披露与透明度</w:t>
      </w:r>
    </w:p>
    <w:p w14:paraId="0F0A0511">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报告期内，公司严格按照《深圳证券交易所创业板上市规则》《深圳证券交易所上市公司自律监管指引第2号——创业板上市公司规范运作》《信息披露管理制度》等有关规定，真实、准确、完整、及时、公平地披露有关信息。公司指定《证券时报》《中国证券报》《上海证券报》《证券日报》和巨潮资讯网（www.cninfo.com.cn）以及公司官方网站作为公司信息披露平台，确保所有股东能够以平等的机会获得信息。</w:t>
      </w:r>
    </w:p>
    <w:p w14:paraId="094719A6">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（七）关于投资者关系管理</w:t>
      </w:r>
    </w:p>
    <w:p w14:paraId="5151D1E6">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按照相关法律法规及《投资者关系管理制度》的要求，指定董事会秘书为公司投资者关系活动的负责人，负责协调公司与投资者的关系，接待股东来访，回答投资者咨询，向投资者提供公司已披露信息等工作。报告期内，公司通过电话、电子邮箱、投资者关系互动平台等形式回复投资者咨询，同时也开放现场接待。公司在与投资者交流过程中，加强信息沟通，促进与投资者良性互动的同时切实提高了公司信息的透明度。</w:t>
      </w:r>
    </w:p>
    <w:p w14:paraId="5D3CFFEA">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（八）关于利益相关者</w:t>
      </w:r>
    </w:p>
    <w:p w14:paraId="450D7013">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公司充分尊重和维护相关利益者的合法权益，加强与股东、员工、客户与供应商、社会等利益相关者的沟通和交流，实现各方利益的协调平衡，共同推动公司持续、健康的发展。</w:t>
      </w:r>
    </w:p>
    <w:p w14:paraId="18473E8D">
      <w:pPr>
        <w:pStyle w:val="10"/>
        <w:spacing w:before="156" w:beforeLines="50" w:beforeAutospacing="0" w:after="156" w:afterLines="50" w:afterAutospacing="0"/>
        <w:ind w:firstLine="420"/>
        <w:jc w:val="both"/>
        <w:rPr>
          <w:rFonts w:ascii="Times New Roman" w:hAnsi="Times New Roman" w:cs="Times New Roman" w:eastAsiaTheme="majorEastAsia"/>
        </w:rPr>
      </w:pPr>
      <w:r>
        <w:rPr>
          <w:rFonts w:ascii="Times New Roman" w:hAnsi="Times New Roman" w:cs="Times New Roman" w:eastAsiaTheme="majorEastAsia"/>
          <w:sz w:val="21"/>
          <w:szCs w:val="21"/>
        </w:rPr>
        <w:t xml:space="preserve">公司治理的实际状况与法律、行政法规和中国证监会发布的关于上市公司治理的规定不存在重大差异。 </w:t>
      </w:r>
    </w:p>
    <w:p w14:paraId="5D9BD22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公司治理的实际状况与法律、行政法规和中国证监会发布的关于上市公司治理的规定是否存在重大差异</w:t>
      </w:r>
    </w:p>
    <w:p w14:paraId="13A264F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04600FD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公司治理的实际状况与法律、行政法规和中国证监会发布的关于上市公司治理的规定不存在重大差异。</w:t>
      </w:r>
    </w:p>
    <w:p w14:paraId="5CA5B611">
      <w:pPr>
        <w:pStyle w:val="2"/>
        <w:spacing w:before="300" w:after="300" w:line="320" w:lineRule="exact"/>
        <w:rPr>
          <w:rFonts w:ascii="Times New Roman" w:hAnsi="Times New Roman" w:cs="Times New Roman" w:eastAsiaTheme="majorEastAsia"/>
          <w:b/>
          <w:bCs/>
          <w:sz w:val="24"/>
          <w:szCs w:val="24"/>
        </w:rPr>
      </w:pPr>
      <w:bookmarkStart w:id="57" w:name="_Toc988946"/>
      <w:r>
        <w:rPr>
          <w:rFonts w:ascii="Times New Roman" w:hAnsi="Times New Roman" w:cs="Times New Roman" w:eastAsiaTheme="majorEastAsia"/>
          <w:b/>
          <w:bCs/>
          <w:sz w:val="24"/>
          <w:szCs w:val="24"/>
        </w:rPr>
        <w:t>二、公司相对于控股股东、实际控制人在保证公司资产、人员、财务、机构、业务等方面的独立情况</w:t>
      </w:r>
      <w:bookmarkEnd w:id="57"/>
    </w:p>
    <w:p w14:paraId="6520422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报告期内，公司在资产、人员、财务、机构、业务等方面均独立于控股股东、实际控制人及其控制的其他企业，具有完整的业务体系和面向市场独立经营的能力。</w:t>
      </w:r>
    </w:p>
    <w:p w14:paraId="319C231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（一）资产完整</w:t>
      </w:r>
    </w:p>
    <w:p w14:paraId="4A7834A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具备与业务经营有关的业务体系，合法拥有与业务经营相关的土地、房屋、设备以及商标、专利、计算机软件著作权的所有权或者使用权，具有独立的采购和销售系统，不存在依赖股东的资产进行生产经营的情况，不存在控股股东、实际控制人或其他关联方违规控制或占用公司资金、资产和其他资源的情形。</w:t>
      </w:r>
    </w:p>
    <w:p w14:paraId="6BA9534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（二）人员独立</w:t>
      </w:r>
    </w:p>
    <w:p w14:paraId="0CEFF06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总经理、副总经理、财务总监（财务负责人）和董事会秘书等高级管理人员不在控股股东、实际控制人及其控制的其他企业中担任除董事、监事以外的其他职务，不在控股股东、实际控制人及其控制的其他企业领薪；公司的财务人员不在控股股东、实际控制人及其控制的其他企业中兼职。公司已建立并独立执行劳动、人事及薪酬管理制度，员工独立于实际控制人控制的其他企业。</w:t>
      </w:r>
    </w:p>
    <w:p w14:paraId="346DE86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（三）财务独立</w:t>
      </w:r>
    </w:p>
    <w:p w14:paraId="3FEB63F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设立了独立的财务部门，已建立独立的财务核算体系，能够独立作出财务决策，具有规范的财务会计制度和对分公司、子公司的财务管理制度。公司未与控股股东、实际控制人及其控制的其他企业共用银行账户，不存在实际控制人干预公司资金运用及占用公司资金的情况。公司作为独立的纳税人，依法独立进行纳税申报和履行纳税义务。</w:t>
      </w:r>
    </w:p>
    <w:p w14:paraId="402AD7F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（四）机构独立</w:t>
      </w:r>
    </w:p>
    <w:p w14:paraId="19BF366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依照《公司法》及《公司章程》设置了股东会、董事会、监事会等决策及监督管理机构并制定了相应的议事规则，建立健全了符合自身经营特点的内部经营管理机构，独立行使经营管理职权，与控股股东和实际控制人及其控制的其他企业间不存在机构混同的情形。</w:t>
      </w:r>
    </w:p>
    <w:p w14:paraId="711342F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（五）业务独立</w:t>
      </w:r>
    </w:p>
    <w:p w14:paraId="535EF17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已形成了完整的研发、采购、销售体系，具备独立面向市场自主经营的能力。公司业务独立于控股股东、实际控制人及其控制的其他企业，与控股股东、实际控制人及其控制的其他企业间不存在对公司构成重大不利影响的同业竞争，以及严重影响独立性或者显失公平的关联交易。</w:t>
      </w:r>
    </w:p>
    <w:p w14:paraId="79BBC84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（六）公司主营业务、控制权、管理团队稳定性</w:t>
      </w:r>
    </w:p>
    <w:p w14:paraId="77F8CA2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主营业务、控制权、管理团队稳定。报告期内，主营业务、董事、高级管理人员均没有发生重大不利变化；控股股东所持股份权属清晰，实际控制人没有发生变更，不存在导致控制权可能变更的重大权属纠纷。</w:t>
      </w:r>
    </w:p>
    <w:p w14:paraId="6859950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（七）公司不存在对持续经营有重大影响的事项</w:t>
      </w:r>
    </w:p>
    <w:p w14:paraId="40838AA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公司不存在主要资产、核心技术、商标的重大权属纠纷，不存在重大偿债风险，不存在重大担保、诉讼、仲裁等或有事项，不存在经营环境已经或将要发生的重大变化等对持续经营有重大影响的事项。</w:t>
      </w:r>
    </w:p>
    <w:p w14:paraId="7323A9D8">
      <w:pPr>
        <w:pStyle w:val="2"/>
        <w:spacing w:before="300" w:after="300" w:line="320" w:lineRule="exact"/>
        <w:rPr>
          <w:rFonts w:ascii="Times New Roman" w:hAnsi="Times New Roman" w:cs="Times New Roman" w:eastAsiaTheme="majorEastAsia"/>
          <w:b/>
          <w:bCs/>
          <w:sz w:val="24"/>
          <w:szCs w:val="24"/>
        </w:rPr>
      </w:pPr>
      <w:bookmarkStart w:id="58" w:name="_Toc988947"/>
      <w:r>
        <w:rPr>
          <w:rFonts w:ascii="Times New Roman" w:hAnsi="Times New Roman" w:cs="Times New Roman" w:eastAsiaTheme="majorEastAsia"/>
          <w:b/>
          <w:bCs/>
          <w:sz w:val="24"/>
          <w:szCs w:val="24"/>
        </w:rPr>
        <w:t>三、同业竞争情况</w:t>
      </w:r>
      <w:bookmarkEnd w:id="58"/>
    </w:p>
    <w:p w14:paraId="078AD6E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80E4D8B">
      <w:pPr>
        <w:pStyle w:val="2"/>
        <w:spacing w:before="300" w:after="300" w:line="320" w:lineRule="exact"/>
        <w:rPr>
          <w:rFonts w:ascii="Times New Roman" w:hAnsi="Times New Roman" w:cs="Times New Roman" w:eastAsiaTheme="majorEastAsia"/>
          <w:b/>
          <w:bCs/>
          <w:sz w:val="24"/>
          <w:szCs w:val="24"/>
        </w:rPr>
      </w:pPr>
      <w:bookmarkStart w:id="59" w:name="_Toc988948"/>
      <w:r>
        <w:rPr>
          <w:rFonts w:ascii="Times New Roman" w:hAnsi="Times New Roman" w:cs="Times New Roman" w:eastAsiaTheme="majorEastAsia"/>
          <w:b/>
          <w:bCs/>
          <w:sz w:val="24"/>
          <w:szCs w:val="24"/>
        </w:rPr>
        <w:t>四、报告期内召开的年度股东大会和临时股东大会的有关情况</w:t>
      </w:r>
      <w:bookmarkEnd w:id="59"/>
    </w:p>
    <w:p w14:paraId="445539A4">
      <w:pPr>
        <w:pStyle w:val="3"/>
        <w:spacing w:line="280" w:lineRule="exact"/>
        <w:jc w:val="left"/>
        <w:rPr>
          <w:rFonts w:ascii="Times New Roman" w:hAnsi="Times New Roman" w:cs="Times New Roman" w:eastAsiaTheme="majorEastAsia"/>
          <w:b/>
          <w:bCs/>
        </w:rPr>
      </w:pPr>
      <w:bookmarkStart w:id="60" w:name="_Toc988949"/>
      <w:r>
        <w:rPr>
          <w:rFonts w:ascii="Times New Roman" w:hAnsi="Times New Roman" w:cs="Times New Roman" w:eastAsiaTheme="majorEastAsia"/>
          <w:b/>
          <w:bCs/>
        </w:rPr>
        <w:t>1、本报告期股东大会情况</w:t>
      </w:r>
      <w:bookmarkEnd w:id="60"/>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856BD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569EE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会议届次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D8E3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会议类型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EC37F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投资者参与比例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ABBCA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召开日期</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367E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披露日期</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229C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会议决议</w:t>
            </w:r>
          </w:p>
        </w:tc>
      </w:tr>
      <w:tr w14:paraId="0348B3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45057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2024年第一次临时股东大会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4EAB27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653DC4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39.45%</w:t>
            </w:r>
          </w:p>
        </w:tc>
        <w:tc>
          <w:tcPr>
            <w:tcW w:w="1606" w:type="dxa"/>
            <w:tcBorders>
              <w:top w:val="single" w:color="auto" w:sz="2" w:space="0"/>
              <w:left w:val="single" w:color="auto" w:sz="2" w:space="0"/>
              <w:bottom w:val="single" w:color="auto" w:sz="2" w:space="0"/>
              <w:right w:val="single" w:color="auto" w:sz="2" w:space="0"/>
            </w:tcBorders>
            <w:vAlign w:val="center"/>
          </w:tcPr>
          <w:p w14:paraId="51AEB1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2024年01月12日</w:t>
            </w:r>
          </w:p>
        </w:tc>
        <w:tc>
          <w:tcPr>
            <w:tcW w:w="1606" w:type="dxa"/>
            <w:tcBorders>
              <w:top w:val="single" w:color="auto" w:sz="2" w:space="0"/>
              <w:left w:val="single" w:color="auto" w:sz="2" w:space="0"/>
              <w:bottom w:val="single" w:color="auto" w:sz="2" w:space="0"/>
              <w:right w:val="single" w:color="auto" w:sz="2" w:space="0"/>
            </w:tcBorders>
            <w:vAlign w:val="center"/>
          </w:tcPr>
          <w:p w14:paraId="327C9D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2024年01月12日</w:t>
            </w:r>
          </w:p>
        </w:tc>
        <w:tc>
          <w:tcPr>
            <w:tcW w:w="1606" w:type="dxa"/>
            <w:tcBorders>
              <w:top w:val="single" w:color="auto" w:sz="2" w:space="0"/>
              <w:left w:val="single" w:color="auto" w:sz="2" w:space="0"/>
              <w:bottom w:val="single" w:color="auto" w:sz="2" w:space="0"/>
              <w:right w:val="single" w:color="auto" w:sz="2" w:space="0"/>
            </w:tcBorders>
            <w:vAlign w:val="center"/>
          </w:tcPr>
          <w:p w14:paraId="6CF0BE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详见2024年1月12日披露于巨潮资讯网（www.cninfo.com）的《广东天亿马信息产业股份有限公司2024年第一次临时股东大会决议公告》（公告编号：2024-003）。</w:t>
            </w:r>
          </w:p>
        </w:tc>
      </w:tr>
      <w:tr w14:paraId="6C85B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D3EE99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2023年年度股东大会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04B785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年度股东大会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6F0762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45.64%</w:t>
            </w:r>
          </w:p>
        </w:tc>
        <w:tc>
          <w:tcPr>
            <w:tcW w:w="1606" w:type="dxa"/>
            <w:tcBorders>
              <w:top w:val="single" w:color="auto" w:sz="2" w:space="0"/>
              <w:left w:val="single" w:color="auto" w:sz="2" w:space="0"/>
              <w:bottom w:val="single" w:color="auto" w:sz="2" w:space="0"/>
              <w:right w:val="single" w:color="auto" w:sz="2" w:space="0"/>
            </w:tcBorders>
            <w:vAlign w:val="center"/>
          </w:tcPr>
          <w:p w14:paraId="0E17A3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2024年05月20日</w:t>
            </w:r>
          </w:p>
        </w:tc>
        <w:tc>
          <w:tcPr>
            <w:tcW w:w="1606" w:type="dxa"/>
            <w:tcBorders>
              <w:top w:val="single" w:color="auto" w:sz="2" w:space="0"/>
              <w:left w:val="single" w:color="auto" w:sz="2" w:space="0"/>
              <w:bottom w:val="single" w:color="auto" w:sz="2" w:space="0"/>
              <w:right w:val="single" w:color="auto" w:sz="2" w:space="0"/>
            </w:tcBorders>
            <w:vAlign w:val="center"/>
          </w:tcPr>
          <w:p w14:paraId="07C954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2024年05月20日</w:t>
            </w:r>
          </w:p>
        </w:tc>
        <w:tc>
          <w:tcPr>
            <w:tcW w:w="1606" w:type="dxa"/>
            <w:tcBorders>
              <w:top w:val="single" w:color="auto" w:sz="2" w:space="0"/>
              <w:left w:val="single" w:color="auto" w:sz="2" w:space="0"/>
              <w:bottom w:val="single" w:color="auto" w:sz="2" w:space="0"/>
              <w:right w:val="single" w:color="auto" w:sz="2" w:space="0"/>
            </w:tcBorders>
            <w:vAlign w:val="center"/>
          </w:tcPr>
          <w:p w14:paraId="4BEFAF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详见2024年5月20日披露于巨潮资讯网（www.cninfo.com）的《广东天亿马信息产业股份有限公司2023年度股东大会决议公告》（公告编号：2024-039）。</w:t>
            </w:r>
          </w:p>
        </w:tc>
      </w:tr>
      <w:tr w14:paraId="17B85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1F41E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2024年第二次临时股东大会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488C87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6C534D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40.03%</w:t>
            </w:r>
          </w:p>
        </w:tc>
        <w:tc>
          <w:tcPr>
            <w:tcW w:w="1606" w:type="dxa"/>
            <w:tcBorders>
              <w:top w:val="single" w:color="auto" w:sz="2" w:space="0"/>
              <w:left w:val="single" w:color="auto" w:sz="2" w:space="0"/>
              <w:bottom w:val="single" w:color="auto" w:sz="2" w:space="0"/>
              <w:right w:val="single" w:color="auto" w:sz="2" w:space="0"/>
            </w:tcBorders>
            <w:vAlign w:val="center"/>
          </w:tcPr>
          <w:p w14:paraId="436CE0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2024年07月01日</w:t>
            </w:r>
          </w:p>
        </w:tc>
        <w:tc>
          <w:tcPr>
            <w:tcW w:w="1606" w:type="dxa"/>
            <w:tcBorders>
              <w:top w:val="single" w:color="auto" w:sz="2" w:space="0"/>
              <w:left w:val="single" w:color="auto" w:sz="2" w:space="0"/>
              <w:bottom w:val="single" w:color="auto" w:sz="2" w:space="0"/>
              <w:right w:val="single" w:color="auto" w:sz="2" w:space="0"/>
            </w:tcBorders>
            <w:vAlign w:val="center"/>
          </w:tcPr>
          <w:p w14:paraId="0D3759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2024年07月01日</w:t>
            </w:r>
          </w:p>
        </w:tc>
        <w:tc>
          <w:tcPr>
            <w:tcW w:w="1606" w:type="dxa"/>
            <w:tcBorders>
              <w:top w:val="single" w:color="auto" w:sz="2" w:space="0"/>
              <w:left w:val="single" w:color="auto" w:sz="2" w:space="0"/>
              <w:bottom w:val="single" w:color="auto" w:sz="2" w:space="0"/>
              <w:right w:val="single" w:color="auto" w:sz="2" w:space="0"/>
            </w:tcBorders>
            <w:vAlign w:val="center"/>
          </w:tcPr>
          <w:p w14:paraId="6D7ECDC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详见2024年7月1日披露于巨潮资讯网（www.cninfo.com）的《广东天亿马信息产业股份有限公司2024年第二次临时股东大会决议公告》（公告编号：2024-047）。</w:t>
            </w:r>
          </w:p>
        </w:tc>
      </w:tr>
      <w:tr w14:paraId="7C69A6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C065E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2024年第三次临时股东会</w:t>
            </w:r>
          </w:p>
        </w:tc>
        <w:tc>
          <w:tcPr>
            <w:tcW w:w="1606" w:type="dxa"/>
            <w:tcBorders>
              <w:top w:val="single" w:color="auto" w:sz="2" w:space="0"/>
              <w:left w:val="single" w:color="auto" w:sz="2" w:space="0"/>
              <w:bottom w:val="single" w:color="auto" w:sz="2" w:space="0"/>
              <w:right w:val="single" w:color="auto" w:sz="2" w:space="0"/>
            </w:tcBorders>
            <w:vAlign w:val="center"/>
          </w:tcPr>
          <w:p w14:paraId="59D43A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391628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40.33%</w:t>
            </w:r>
          </w:p>
        </w:tc>
        <w:tc>
          <w:tcPr>
            <w:tcW w:w="1606" w:type="dxa"/>
            <w:tcBorders>
              <w:top w:val="single" w:color="auto" w:sz="2" w:space="0"/>
              <w:left w:val="single" w:color="auto" w:sz="2" w:space="0"/>
              <w:bottom w:val="single" w:color="auto" w:sz="2" w:space="0"/>
              <w:right w:val="single" w:color="auto" w:sz="2" w:space="0"/>
            </w:tcBorders>
            <w:vAlign w:val="center"/>
          </w:tcPr>
          <w:p w14:paraId="0AD93C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2024年09月20日</w:t>
            </w:r>
          </w:p>
        </w:tc>
        <w:tc>
          <w:tcPr>
            <w:tcW w:w="1606" w:type="dxa"/>
            <w:tcBorders>
              <w:top w:val="single" w:color="auto" w:sz="2" w:space="0"/>
              <w:left w:val="single" w:color="auto" w:sz="2" w:space="0"/>
              <w:bottom w:val="single" w:color="auto" w:sz="2" w:space="0"/>
              <w:right w:val="single" w:color="auto" w:sz="2" w:space="0"/>
            </w:tcBorders>
            <w:vAlign w:val="center"/>
          </w:tcPr>
          <w:p w14:paraId="304A8A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2024年09月20日</w:t>
            </w:r>
          </w:p>
        </w:tc>
        <w:tc>
          <w:tcPr>
            <w:tcW w:w="1606" w:type="dxa"/>
            <w:tcBorders>
              <w:top w:val="single" w:color="auto" w:sz="2" w:space="0"/>
              <w:left w:val="single" w:color="auto" w:sz="2" w:space="0"/>
              <w:bottom w:val="single" w:color="auto" w:sz="2" w:space="0"/>
              <w:right w:val="single" w:color="auto" w:sz="2" w:space="0"/>
            </w:tcBorders>
            <w:vAlign w:val="center"/>
          </w:tcPr>
          <w:p w14:paraId="0A57DD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详见2024年9月20日披露于巨潮资讯网（www.cninfo.com）的《广东天亿马信息产业股份有限公司2024年第三次临时股东会决议公告》（公告编号：2024-068）。</w:t>
            </w:r>
          </w:p>
        </w:tc>
      </w:tr>
      <w:tr w14:paraId="112AC1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FDA6E3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2024年第四次临时股东会</w:t>
            </w:r>
          </w:p>
        </w:tc>
        <w:tc>
          <w:tcPr>
            <w:tcW w:w="1606" w:type="dxa"/>
            <w:tcBorders>
              <w:top w:val="single" w:color="auto" w:sz="2" w:space="0"/>
              <w:left w:val="single" w:color="auto" w:sz="2" w:space="0"/>
              <w:bottom w:val="single" w:color="auto" w:sz="2" w:space="0"/>
              <w:right w:val="single" w:color="auto" w:sz="2" w:space="0"/>
            </w:tcBorders>
            <w:vAlign w:val="center"/>
          </w:tcPr>
          <w:p w14:paraId="5CD058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临时股东大会</w:t>
            </w:r>
          </w:p>
        </w:tc>
        <w:tc>
          <w:tcPr>
            <w:tcW w:w="1606" w:type="dxa"/>
            <w:tcBorders>
              <w:top w:val="single" w:color="auto" w:sz="2" w:space="0"/>
              <w:left w:val="single" w:color="auto" w:sz="2" w:space="0"/>
              <w:bottom w:val="single" w:color="auto" w:sz="2" w:space="0"/>
              <w:right w:val="single" w:color="auto" w:sz="2" w:space="0"/>
            </w:tcBorders>
            <w:vAlign w:val="center"/>
          </w:tcPr>
          <w:p w14:paraId="7C46B2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40.05%</w:t>
            </w:r>
          </w:p>
        </w:tc>
        <w:tc>
          <w:tcPr>
            <w:tcW w:w="1606" w:type="dxa"/>
            <w:tcBorders>
              <w:top w:val="single" w:color="auto" w:sz="2" w:space="0"/>
              <w:left w:val="single" w:color="auto" w:sz="2" w:space="0"/>
              <w:bottom w:val="single" w:color="auto" w:sz="2" w:space="0"/>
              <w:right w:val="single" w:color="auto" w:sz="2" w:space="0"/>
            </w:tcBorders>
            <w:vAlign w:val="center"/>
          </w:tcPr>
          <w:p w14:paraId="6BBF2C0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2024年12月27日</w:t>
            </w:r>
          </w:p>
        </w:tc>
        <w:tc>
          <w:tcPr>
            <w:tcW w:w="1606" w:type="dxa"/>
            <w:tcBorders>
              <w:top w:val="single" w:color="auto" w:sz="2" w:space="0"/>
              <w:left w:val="single" w:color="auto" w:sz="2" w:space="0"/>
              <w:bottom w:val="single" w:color="auto" w:sz="2" w:space="0"/>
              <w:right w:val="single" w:color="auto" w:sz="2" w:space="0"/>
            </w:tcBorders>
            <w:vAlign w:val="center"/>
          </w:tcPr>
          <w:p w14:paraId="2E84569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2024年12月27日</w:t>
            </w:r>
          </w:p>
        </w:tc>
        <w:tc>
          <w:tcPr>
            <w:tcW w:w="1606" w:type="dxa"/>
            <w:tcBorders>
              <w:top w:val="single" w:color="auto" w:sz="2" w:space="0"/>
              <w:left w:val="single" w:color="auto" w:sz="2" w:space="0"/>
              <w:bottom w:val="single" w:color="auto" w:sz="2" w:space="0"/>
              <w:right w:val="single" w:color="auto" w:sz="2" w:space="0"/>
            </w:tcBorders>
            <w:vAlign w:val="center"/>
          </w:tcPr>
          <w:p w14:paraId="14F560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详见2024年12月27日披露于巨潮资讯网（www.cninfo.com）的《广东天亿马信息产业股份有限公司2024年第四次临时股东会决议公告》（公告编号：2024-095）。</w:t>
            </w:r>
          </w:p>
        </w:tc>
      </w:tr>
    </w:tbl>
    <w:p w14:paraId="0976A27C">
      <w:pPr>
        <w:pStyle w:val="3"/>
        <w:spacing w:line="280" w:lineRule="exact"/>
        <w:jc w:val="left"/>
        <w:rPr>
          <w:rFonts w:ascii="Times New Roman" w:hAnsi="Times New Roman" w:cs="Times New Roman" w:eastAsiaTheme="majorEastAsia"/>
          <w:b/>
          <w:bCs/>
        </w:rPr>
      </w:pPr>
      <w:bookmarkStart w:id="61" w:name="_Toc988950"/>
      <w:r>
        <w:rPr>
          <w:rFonts w:ascii="Times New Roman" w:hAnsi="Times New Roman" w:cs="Times New Roman" w:eastAsiaTheme="majorEastAsia"/>
          <w:b/>
          <w:bCs/>
        </w:rPr>
        <w:t>2、表决权恢复的优先股股东请求召开临时股东大会</w:t>
      </w:r>
      <w:bookmarkEnd w:id="61"/>
    </w:p>
    <w:p w14:paraId="0C8B42C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28411FA">
      <w:pPr>
        <w:pStyle w:val="2"/>
        <w:spacing w:before="300" w:after="300" w:line="320" w:lineRule="exact"/>
        <w:rPr>
          <w:rFonts w:ascii="Times New Roman" w:hAnsi="Times New Roman" w:cs="Times New Roman" w:eastAsiaTheme="majorEastAsia"/>
          <w:b/>
          <w:bCs/>
          <w:sz w:val="24"/>
          <w:szCs w:val="24"/>
        </w:rPr>
      </w:pPr>
      <w:bookmarkStart w:id="62" w:name="_Toc988951"/>
      <w:r>
        <w:rPr>
          <w:rFonts w:ascii="Times New Roman" w:hAnsi="Times New Roman" w:cs="Times New Roman" w:eastAsiaTheme="majorEastAsia"/>
          <w:b/>
          <w:bCs/>
          <w:sz w:val="24"/>
          <w:szCs w:val="24"/>
        </w:rPr>
        <w:t>五、公司具有表决权差异安排</w:t>
      </w:r>
      <w:bookmarkEnd w:id="62"/>
    </w:p>
    <w:p w14:paraId="71DE730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8BAB41D">
      <w:pPr>
        <w:pStyle w:val="2"/>
        <w:spacing w:before="300" w:after="300" w:line="320" w:lineRule="exact"/>
        <w:rPr>
          <w:rFonts w:ascii="Times New Roman" w:hAnsi="Times New Roman" w:cs="Times New Roman" w:eastAsiaTheme="majorEastAsia"/>
          <w:b/>
          <w:bCs/>
          <w:sz w:val="24"/>
          <w:szCs w:val="24"/>
        </w:rPr>
      </w:pPr>
      <w:bookmarkStart w:id="63" w:name="_Toc988952"/>
      <w:r>
        <w:rPr>
          <w:rFonts w:ascii="Times New Roman" w:hAnsi="Times New Roman" w:cs="Times New Roman" w:eastAsiaTheme="majorEastAsia"/>
          <w:b/>
          <w:bCs/>
          <w:sz w:val="24"/>
          <w:szCs w:val="24"/>
        </w:rPr>
        <w:t>六、红筹架构公司治理情况</w:t>
      </w:r>
      <w:bookmarkEnd w:id="63"/>
    </w:p>
    <w:p w14:paraId="1F3BB5B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A77A615">
      <w:pPr>
        <w:pStyle w:val="2"/>
        <w:spacing w:before="300" w:after="300" w:line="320" w:lineRule="exact"/>
        <w:rPr>
          <w:rFonts w:ascii="Times New Roman" w:hAnsi="Times New Roman" w:cs="Times New Roman" w:eastAsiaTheme="majorEastAsia"/>
          <w:b/>
          <w:bCs/>
          <w:sz w:val="24"/>
          <w:szCs w:val="24"/>
        </w:rPr>
      </w:pPr>
      <w:bookmarkStart w:id="64" w:name="_Toc988953"/>
      <w:r>
        <w:rPr>
          <w:rFonts w:ascii="Times New Roman" w:hAnsi="Times New Roman" w:cs="Times New Roman" w:eastAsiaTheme="majorEastAsia"/>
          <w:b/>
          <w:bCs/>
          <w:sz w:val="24"/>
          <w:szCs w:val="24"/>
        </w:rPr>
        <w:t>七、董事、监事和高级管理人员情况</w:t>
      </w:r>
      <w:bookmarkEnd w:id="64"/>
    </w:p>
    <w:p w14:paraId="6D33FE76">
      <w:pPr>
        <w:pStyle w:val="3"/>
        <w:spacing w:line="280" w:lineRule="exact"/>
        <w:jc w:val="left"/>
        <w:rPr>
          <w:rFonts w:ascii="Times New Roman" w:hAnsi="Times New Roman" w:cs="Times New Roman" w:eastAsiaTheme="majorEastAsia"/>
          <w:b/>
          <w:bCs/>
        </w:rPr>
      </w:pPr>
      <w:bookmarkStart w:id="65" w:name="_Toc988954"/>
      <w:r>
        <w:rPr>
          <w:rFonts w:ascii="Times New Roman" w:hAnsi="Times New Roman" w:cs="Times New Roman" w:eastAsiaTheme="majorEastAsia"/>
          <w:b/>
          <w:bCs/>
        </w:rPr>
        <w:t>1、基本情况</w:t>
      </w:r>
      <w:bookmarkEnd w:id="65"/>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32"/>
        <w:gridCol w:w="414"/>
        <w:gridCol w:w="414"/>
        <w:gridCol w:w="467"/>
        <w:gridCol w:w="449"/>
        <w:gridCol w:w="684"/>
        <w:gridCol w:w="684"/>
        <w:gridCol w:w="1088"/>
        <w:gridCol w:w="898"/>
        <w:gridCol w:w="939"/>
        <w:gridCol w:w="863"/>
        <w:gridCol w:w="1088"/>
        <w:gridCol w:w="1433"/>
      </w:tblGrid>
      <w:tr w14:paraId="5B9CAE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0B5D7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姓名</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8DC3D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性别</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014E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年龄</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05673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FFDE45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任职状态</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72A012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任期起始日期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5F3D8B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任期终止日期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87FE57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期初持股数（股）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1C969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本期增持股份数量（股）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5A08E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本期减持股份数量（股）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7F541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其他增减变动（股）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D9EDE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期末持股数（股）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A8602B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股份增减变动的原因</w:t>
            </w:r>
          </w:p>
        </w:tc>
      </w:tr>
      <w:tr w14:paraId="77D5A4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C98D0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0" w:type="auto"/>
            <w:tcBorders>
              <w:top w:val="single" w:color="auto" w:sz="2" w:space="0"/>
              <w:left w:val="single" w:color="auto" w:sz="2" w:space="0"/>
              <w:bottom w:val="single" w:color="auto" w:sz="2" w:space="0"/>
              <w:right w:val="single" w:color="auto" w:sz="2" w:space="0"/>
            </w:tcBorders>
            <w:vAlign w:val="center"/>
          </w:tcPr>
          <w:p w14:paraId="51A709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79768E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w:t>
            </w:r>
          </w:p>
        </w:tc>
        <w:tc>
          <w:tcPr>
            <w:tcW w:w="0" w:type="auto"/>
            <w:tcBorders>
              <w:top w:val="single" w:color="auto" w:sz="2" w:space="0"/>
              <w:left w:val="single" w:color="auto" w:sz="2" w:space="0"/>
              <w:bottom w:val="single" w:color="auto" w:sz="2" w:space="0"/>
              <w:right w:val="single" w:color="auto" w:sz="2" w:space="0"/>
            </w:tcBorders>
            <w:vAlign w:val="center"/>
          </w:tcPr>
          <w:p w14:paraId="113A0A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董事长</w:t>
            </w:r>
          </w:p>
        </w:tc>
        <w:tc>
          <w:tcPr>
            <w:tcW w:w="0" w:type="auto"/>
            <w:tcBorders>
              <w:top w:val="single" w:color="auto" w:sz="2" w:space="0"/>
              <w:left w:val="single" w:color="auto" w:sz="2" w:space="0"/>
              <w:bottom w:val="single" w:color="auto" w:sz="2" w:space="0"/>
              <w:right w:val="single" w:color="auto" w:sz="2" w:space="0"/>
            </w:tcBorders>
            <w:vAlign w:val="center"/>
          </w:tcPr>
          <w:p w14:paraId="7510C6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1DCAE9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148B88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6D281D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19,391,824</w:t>
            </w:r>
          </w:p>
        </w:tc>
        <w:tc>
          <w:tcPr>
            <w:tcW w:w="0" w:type="auto"/>
            <w:tcBorders>
              <w:top w:val="single" w:color="auto" w:sz="2" w:space="0"/>
              <w:left w:val="single" w:color="auto" w:sz="2" w:space="0"/>
              <w:bottom w:val="single" w:color="auto" w:sz="2" w:space="0"/>
              <w:right w:val="single" w:color="auto" w:sz="2" w:space="0"/>
            </w:tcBorders>
            <w:vAlign w:val="center"/>
          </w:tcPr>
          <w:p w14:paraId="6E5AE9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B1AE3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w:t>
            </w:r>
          </w:p>
        </w:tc>
        <w:tc>
          <w:tcPr>
            <w:tcW w:w="0" w:type="auto"/>
            <w:tcBorders>
              <w:top w:val="single" w:color="auto" w:sz="2" w:space="0"/>
              <w:left w:val="single" w:color="auto" w:sz="2" w:space="0"/>
              <w:bottom w:val="single" w:color="auto" w:sz="2" w:space="0"/>
              <w:right w:val="single" w:color="auto" w:sz="2" w:space="0"/>
            </w:tcBorders>
            <w:vAlign w:val="center"/>
          </w:tcPr>
          <w:p w14:paraId="613B024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57088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19,327,824</w:t>
            </w:r>
          </w:p>
        </w:tc>
        <w:tc>
          <w:tcPr>
            <w:tcW w:w="0" w:type="auto"/>
            <w:tcBorders>
              <w:top w:val="single" w:color="auto" w:sz="2" w:space="0"/>
              <w:left w:val="single" w:color="auto" w:sz="2" w:space="0"/>
              <w:bottom w:val="single" w:color="auto" w:sz="2" w:space="0"/>
              <w:right w:val="single" w:color="auto" w:sz="2" w:space="0"/>
            </w:tcBorders>
            <w:vAlign w:val="center"/>
          </w:tcPr>
          <w:p w14:paraId="4926938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2023年限制性股票激励计划第一类限制性股票第一期解锁条件未达成，公司回购并注销64,000股。</w:t>
            </w:r>
          </w:p>
        </w:tc>
      </w:tr>
      <w:tr w14:paraId="6A29FC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right w:val="single" w:color="auto" w:sz="2" w:space="0"/>
            </w:tcBorders>
            <w:vAlign w:val="center"/>
          </w:tcPr>
          <w:p w14:paraId="30BAFC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0" w:type="auto"/>
            <w:vMerge w:val="restart"/>
            <w:tcBorders>
              <w:top w:val="single" w:color="auto" w:sz="2" w:space="0"/>
              <w:left w:val="single" w:color="auto" w:sz="2" w:space="0"/>
              <w:right w:val="single" w:color="auto" w:sz="2" w:space="0"/>
            </w:tcBorders>
            <w:vAlign w:val="center"/>
          </w:tcPr>
          <w:p w14:paraId="3BD745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vMerge w:val="restart"/>
            <w:tcBorders>
              <w:top w:val="single" w:color="auto" w:sz="2" w:space="0"/>
              <w:left w:val="single" w:color="auto" w:sz="2" w:space="0"/>
              <w:right w:val="single" w:color="auto" w:sz="2" w:space="0"/>
            </w:tcBorders>
            <w:vAlign w:val="center"/>
          </w:tcPr>
          <w:p w14:paraId="00AA17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w:t>
            </w:r>
          </w:p>
        </w:tc>
        <w:tc>
          <w:tcPr>
            <w:tcW w:w="0" w:type="auto"/>
            <w:tcBorders>
              <w:top w:val="single" w:color="auto" w:sz="2" w:space="0"/>
              <w:left w:val="single" w:color="auto" w:sz="2" w:space="0"/>
              <w:bottom w:val="single" w:color="auto" w:sz="2" w:space="0"/>
              <w:right w:val="single" w:color="auto" w:sz="2" w:space="0"/>
            </w:tcBorders>
            <w:vAlign w:val="center"/>
          </w:tcPr>
          <w:p w14:paraId="7995C9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副董事长</w:t>
            </w:r>
          </w:p>
        </w:tc>
        <w:tc>
          <w:tcPr>
            <w:tcW w:w="0" w:type="auto"/>
            <w:tcBorders>
              <w:top w:val="single" w:color="auto" w:sz="2" w:space="0"/>
              <w:left w:val="single" w:color="auto" w:sz="2" w:space="0"/>
              <w:bottom w:val="single" w:color="auto" w:sz="2" w:space="0"/>
              <w:right w:val="single" w:color="auto" w:sz="2" w:space="0"/>
            </w:tcBorders>
            <w:vAlign w:val="center"/>
          </w:tcPr>
          <w:p w14:paraId="70DC42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5F3B09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36ED62B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vMerge w:val="restart"/>
            <w:tcBorders>
              <w:top w:val="single" w:color="auto" w:sz="2" w:space="0"/>
              <w:left w:val="single" w:color="auto" w:sz="2" w:space="0"/>
              <w:right w:val="single" w:color="auto" w:sz="2" w:space="0"/>
            </w:tcBorders>
            <w:vAlign w:val="center"/>
          </w:tcPr>
          <w:p w14:paraId="60C04D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4,246,120</w:t>
            </w:r>
          </w:p>
        </w:tc>
        <w:tc>
          <w:tcPr>
            <w:tcW w:w="0" w:type="auto"/>
            <w:vMerge w:val="restart"/>
            <w:tcBorders>
              <w:top w:val="single" w:color="auto" w:sz="2" w:space="0"/>
              <w:left w:val="single" w:color="auto" w:sz="2" w:space="0"/>
              <w:right w:val="single" w:color="auto" w:sz="2" w:space="0"/>
            </w:tcBorders>
            <w:vAlign w:val="center"/>
          </w:tcPr>
          <w:p w14:paraId="18E2105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right w:val="single" w:color="auto" w:sz="2" w:space="0"/>
            </w:tcBorders>
            <w:vAlign w:val="center"/>
          </w:tcPr>
          <w:p w14:paraId="4027E7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w:t>
            </w:r>
          </w:p>
        </w:tc>
        <w:tc>
          <w:tcPr>
            <w:tcW w:w="0" w:type="auto"/>
            <w:vMerge w:val="restart"/>
            <w:tcBorders>
              <w:top w:val="single" w:color="auto" w:sz="2" w:space="0"/>
              <w:left w:val="single" w:color="auto" w:sz="2" w:space="0"/>
              <w:bottom w:val="single" w:color="auto" w:sz="2" w:space="0"/>
              <w:right w:val="single" w:color="auto" w:sz="2" w:space="0"/>
            </w:tcBorders>
            <w:vAlign w:val="center"/>
          </w:tcPr>
          <w:p w14:paraId="7CE8880E">
            <w:pPr>
              <w:spacing w:line="240" w:lineRule="exact"/>
              <w:jc w:val="right"/>
              <w:rPr>
                <w:rFonts w:ascii="Times New Roman" w:hAnsi="Times New Roman" w:cs="Times New Roman" w:eastAsiaTheme="majorEastAsia"/>
                <w:sz w:val="18"/>
                <w:szCs w:val="18"/>
              </w:rPr>
            </w:pPr>
          </w:p>
        </w:tc>
        <w:tc>
          <w:tcPr>
            <w:tcW w:w="0" w:type="auto"/>
            <w:vMerge w:val="restart"/>
            <w:tcBorders>
              <w:top w:val="single" w:color="auto" w:sz="2" w:space="0"/>
              <w:left w:val="single" w:color="auto" w:sz="2" w:space="0"/>
              <w:right w:val="single" w:color="auto" w:sz="2" w:space="0"/>
            </w:tcBorders>
            <w:vAlign w:val="center"/>
          </w:tcPr>
          <w:p w14:paraId="795488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4,182,120</w:t>
            </w:r>
          </w:p>
        </w:tc>
        <w:tc>
          <w:tcPr>
            <w:tcW w:w="0" w:type="auto"/>
            <w:vMerge w:val="restart"/>
            <w:tcBorders>
              <w:top w:val="single" w:color="auto" w:sz="2" w:space="0"/>
              <w:left w:val="single" w:color="auto" w:sz="2" w:space="0"/>
              <w:right w:val="single" w:color="auto" w:sz="2" w:space="0"/>
            </w:tcBorders>
            <w:vAlign w:val="center"/>
          </w:tcPr>
          <w:p w14:paraId="6F41A50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2023年限制性股票激励计划第一类限制性股票第一期解锁条件未达成，公司回购并注销64,000股。</w:t>
            </w:r>
          </w:p>
        </w:tc>
      </w:tr>
      <w:tr w14:paraId="30C521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continue"/>
            <w:tcBorders>
              <w:left w:val="single" w:color="auto" w:sz="2" w:space="0"/>
              <w:bottom w:val="single" w:color="auto" w:sz="2" w:space="0"/>
              <w:right w:val="single" w:color="auto" w:sz="2" w:space="0"/>
            </w:tcBorders>
            <w:vAlign w:val="center"/>
          </w:tcPr>
          <w:p w14:paraId="09651B88">
            <w:pPr>
              <w:spacing w:line="240" w:lineRule="exac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0BF8A123">
            <w:pPr>
              <w:spacing w:line="240" w:lineRule="exac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0F73BEFA">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CC21D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总经理</w:t>
            </w:r>
          </w:p>
        </w:tc>
        <w:tc>
          <w:tcPr>
            <w:tcW w:w="0" w:type="auto"/>
            <w:tcBorders>
              <w:top w:val="single" w:color="auto" w:sz="2" w:space="0"/>
              <w:left w:val="single" w:color="auto" w:sz="2" w:space="0"/>
              <w:bottom w:val="single" w:color="auto" w:sz="2" w:space="0"/>
              <w:right w:val="single" w:color="auto" w:sz="2" w:space="0"/>
            </w:tcBorders>
            <w:vAlign w:val="center"/>
          </w:tcPr>
          <w:p w14:paraId="6B22377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299DE2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1EC9A2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vMerge w:val="continue"/>
            <w:tcBorders>
              <w:left w:val="single" w:color="auto" w:sz="2" w:space="0"/>
              <w:bottom w:val="single" w:color="auto" w:sz="2" w:space="0"/>
              <w:right w:val="single" w:color="auto" w:sz="2" w:space="0"/>
            </w:tcBorders>
            <w:vAlign w:val="center"/>
          </w:tcPr>
          <w:p w14:paraId="320277E8">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5680F9FE">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42B9221B">
            <w:pPr>
              <w:spacing w:line="240" w:lineRule="exact"/>
              <w:jc w:val="right"/>
              <w:rPr>
                <w:rFonts w:ascii="Times New Roman" w:hAnsi="Times New Roman" w:cs="Times New Roman" w:eastAsiaTheme="majorEastAsia"/>
                <w:sz w:val="18"/>
                <w:szCs w:val="18"/>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0CDCB1E2">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6DCD9B99">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2C7E917B">
            <w:pPr>
              <w:spacing w:line="240" w:lineRule="exact"/>
              <w:rPr>
                <w:rFonts w:ascii="Times New Roman" w:hAnsi="Times New Roman" w:cs="Times New Roman" w:eastAsiaTheme="majorEastAsia"/>
                <w:sz w:val="18"/>
                <w:szCs w:val="18"/>
              </w:rPr>
            </w:pPr>
          </w:p>
        </w:tc>
      </w:tr>
      <w:tr w14:paraId="659548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FC8CC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高俊斌</w:t>
            </w:r>
          </w:p>
        </w:tc>
        <w:tc>
          <w:tcPr>
            <w:tcW w:w="0" w:type="auto"/>
            <w:tcBorders>
              <w:top w:val="single" w:color="auto" w:sz="2" w:space="0"/>
              <w:left w:val="single" w:color="auto" w:sz="2" w:space="0"/>
              <w:bottom w:val="single" w:color="auto" w:sz="2" w:space="0"/>
              <w:right w:val="single" w:color="auto" w:sz="2" w:space="0"/>
            </w:tcBorders>
            <w:vAlign w:val="center"/>
          </w:tcPr>
          <w:p w14:paraId="0D0E1C3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69F5FE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w:t>
            </w:r>
          </w:p>
        </w:tc>
        <w:tc>
          <w:tcPr>
            <w:tcW w:w="0" w:type="auto"/>
            <w:tcBorders>
              <w:top w:val="single" w:color="auto" w:sz="2" w:space="0"/>
              <w:left w:val="single" w:color="auto" w:sz="2" w:space="0"/>
              <w:bottom w:val="single" w:color="auto" w:sz="2" w:space="0"/>
              <w:right w:val="single" w:color="auto" w:sz="2" w:space="0"/>
            </w:tcBorders>
            <w:vAlign w:val="center"/>
          </w:tcPr>
          <w:p w14:paraId="43882B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0" w:type="auto"/>
            <w:tcBorders>
              <w:top w:val="single" w:color="auto" w:sz="2" w:space="0"/>
              <w:left w:val="single" w:color="auto" w:sz="2" w:space="0"/>
              <w:bottom w:val="single" w:color="auto" w:sz="2" w:space="0"/>
              <w:right w:val="single" w:color="auto" w:sz="2" w:space="0"/>
            </w:tcBorders>
            <w:vAlign w:val="center"/>
          </w:tcPr>
          <w:p w14:paraId="26275FC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6AE53C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2018年01月04日</w:t>
            </w:r>
          </w:p>
        </w:tc>
        <w:tc>
          <w:tcPr>
            <w:tcW w:w="0" w:type="auto"/>
            <w:tcBorders>
              <w:top w:val="single" w:color="auto" w:sz="2" w:space="0"/>
              <w:left w:val="single" w:color="auto" w:sz="2" w:space="0"/>
              <w:bottom w:val="single" w:color="auto" w:sz="2" w:space="0"/>
              <w:right w:val="single" w:color="auto" w:sz="2" w:space="0"/>
            </w:tcBorders>
            <w:vAlign w:val="center"/>
          </w:tcPr>
          <w:p w14:paraId="70B827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50A6EE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285DB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92DBF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31AB5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562A2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14E3EF1">
            <w:pPr>
              <w:spacing w:line="240" w:lineRule="exact"/>
              <w:rPr>
                <w:rFonts w:ascii="Times New Roman" w:hAnsi="Times New Roman" w:cs="Times New Roman" w:eastAsiaTheme="majorEastAsia"/>
                <w:sz w:val="18"/>
                <w:szCs w:val="18"/>
              </w:rPr>
            </w:pPr>
          </w:p>
        </w:tc>
      </w:tr>
      <w:tr w14:paraId="0EA3FD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F291D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张毅</w:t>
            </w:r>
          </w:p>
        </w:tc>
        <w:tc>
          <w:tcPr>
            <w:tcW w:w="0" w:type="auto"/>
            <w:tcBorders>
              <w:top w:val="single" w:color="auto" w:sz="2" w:space="0"/>
              <w:left w:val="single" w:color="auto" w:sz="2" w:space="0"/>
              <w:bottom w:val="single" w:color="auto" w:sz="2" w:space="0"/>
              <w:right w:val="single" w:color="auto" w:sz="2" w:space="0"/>
            </w:tcBorders>
            <w:vAlign w:val="center"/>
          </w:tcPr>
          <w:p w14:paraId="6EBE4A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194C50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w:t>
            </w:r>
          </w:p>
        </w:tc>
        <w:tc>
          <w:tcPr>
            <w:tcW w:w="0" w:type="auto"/>
            <w:tcBorders>
              <w:top w:val="single" w:color="auto" w:sz="2" w:space="0"/>
              <w:left w:val="single" w:color="auto" w:sz="2" w:space="0"/>
              <w:bottom w:val="single" w:color="auto" w:sz="2" w:space="0"/>
              <w:right w:val="single" w:color="auto" w:sz="2" w:space="0"/>
            </w:tcBorders>
            <w:vAlign w:val="center"/>
          </w:tcPr>
          <w:p w14:paraId="210477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0" w:type="auto"/>
            <w:tcBorders>
              <w:top w:val="single" w:color="auto" w:sz="2" w:space="0"/>
              <w:left w:val="single" w:color="auto" w:sz="2" w:space="0"/>
              <w:bottom w:val="single" w:color="auto" w:sz="2" w:space="0"/>
              <w:right w:val="single" w:color="auto" w:sz="2" w:space="0"/>
            </w:tcBorders>
            <w:vAlign w:val="center"/>
          </w:tcPr>
          <w:p w14:paraId="41E566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270860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46FB18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5098F9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835C2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2D8BC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6C4D0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9C4E8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CCED13C">
            <w:pPr>
              <w:spacing w:line="240" w:lineRule="exact"/>
              <w:rPr>
                <w:rFonts w:ascii="Times New Roman" w:hAnsi="Times New Roman" w:cs="Times New Roman" w:eastAsiaTheme="majorEastAsia"/>
                <w:sz w:val="18"/>
                <w:szCs w:val="18"/>
              </w:rPr>
            </w:pPr>
          </w:p>
        </w:tc>
      </w:tr>
      <w:tr w14:paraId="5918EA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47A13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4E9287B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4D3908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w:t>
            </w:r>
          </w:p>
        </w:tc>
        <w:tc>
          <w:tcPr>
            <w:tcW w:w="0" w:type="auto"/>
            <w:tcBorders>
              <w:top w:val="single" w:color="auto" w:sz="2" w:space="0"/>
              <w:left w:val="single" w:color="auto" w:sz="2" w:space="0"/>
              <w:bottom w:val="single" w:color="auto" w:sz="2" w:space="0"/>
              <w:right w:val="single" w:color="auto" w:sz="2" w:space="0"/>
            </w:tcBorders>
            <w:vAlign w:val="center"/>
          </w:tcPr>
          <w:p w14:paraId="4FC2F2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7F7CD5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175FC5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22CB5E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4FA556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C18E2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EEAEC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D9C3D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B58D8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516EA8D">
            <w:pPr>
              <w:spacing w:line="240" w:lineRule="exact"/>
              <w:rPr>
                <w:rFonts w:ascii="Times New Roman" w:hAnsi="Times New Roman" w:cs="Times New Roman" w:eastAsiaTheme="majorEastAsia"/>
                <w:sz w:val="18"/>
                <w:szCs w:val="18"/>
              </w:rPr>
            </w:pPr>
          </w:p>
        </w:tc>
      </w:tr>
      <w:tr w14:paraId="0FA795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5FEB9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蔡浩</w:t>
            </w:r>
          </w:p>
        </w:tc>
        <w:tc>
          <w:tcPr>
            <w:tcW w:w="0" w:type="auto"/>
            <w:tcBorders>
              <w:top w:val="single" w:color="auto" w:sz="2" w:space="0"/>
              <w:left w:val="single" w:color="auto" w:sz="2" w:space="0"/>
              <w:bottom w:val="single" w:color="auto" w:sz="2" w:space="0"/>
              <w:right w:val="single" w:color="auto" w:sz="2" w:space="0"/>
            </w:tcBorders>
            <w:vAlign w:val="center"/>
          </w:tcPr>
          <w:p w14:paraId="078B81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5EA3EB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w:t>
            </w:r>
          </w:p>
        </w:tc>
        <w:tc>
          <w:tcPr>
            <w:tcW w:w="0" w:type="auto"/>
            <w:tcBorders>
              <w:top w:val="single" w:color="auto" w:sz="2" w:space="0"/>
              <w:left w:val="single" w:color="auto" w:sz="2" w:space="0"/>
              <w:bottom w:val="single" w:color="auto" w:sz="2" w:space="0"/>
              <w:right w:val="single" w:color="auto" w:sz="2" w:space="0"/>
            </w:tcBorders>
            <w:vAlign w:val="center"/>
          </w:tcPr>
          <w:p w14:paraId="3344B6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4AA41F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154E290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2753EC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499B69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1A282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E7C85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2935F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B925F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1B54390">
            <w:pPr>
              <w:spacing w:line="240" w:lineRule="exact"/>
              <w:rPr>
                <w:rFonts w:ascii="Times New Roman" w:hAnsi="Times New Roman" w:cs="Times New Roman" w:eastAsiaTheme="majorEastAsia"/>
                <w:sz w:val="18"/>
                <w:szCs w:val="18"/>
              </w:rPr>
            </w:pPr>
          </w:p>
        </w:tc>
      </w:tr>
      <w:tr w14:paraId="6EB02D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B6B41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w:t>
            </w:r>
          </w:p>
        </w:tc>
        <w:tc>
          <w:tcPr>
            <w:tcW w:w="0" w:type="auto"/>
            <w:tcBorders>
              <w:top w:val="single" w:color="auto" w:sz="2" w:space="0"/>
              <w:left w:val="single" w:color="auto" w:sz="2" w:space="0"/>
              <w:bottom w:val="single" w:color="auto" w:sz="2" w:space="0"/>
              <w:right w:val="single" w:color="auto" w:sz="2" w:space="0"/>
            </w:tcBorders>
            <w:vAlign w:val="center"/>
          </w:tcPr>
          <w:p w14:paraId="23EB6B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25817F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w:t>
            </w:r>
          </w:p>
        </w:tc>
        <w:tc>
          <w:tcPr>
            <w:tcW w:w="0" w:type="auto"/>
            <w:tcBorders>
              <w:top w:val="single" w:color="auto" w:sz="2" w:space="0"/>
              <w:left w:val="single" w:color="auto" w:sz="2" w:space="0"/>
              <w:bottom w:val="single" w:color="auto" w:sz="2" w:space="0"/>
              <w:right w:val="single" w:color="auto" w:sz="2" w:space="0"/>
            </w:tcBorders>
            <w:vAlign w:val="center"/>
          </w:tcPr>
          <w:p w14:paraId="68D1E0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114350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3FBC61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2B4283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6EA6F7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8FE58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EB10E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EE431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92BCF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3D658F7">
            <w:pPr>
              <w:spacing w:line="240" w:lineRule="exact"/>
              <w:rPr>
                <w:rFonts w:ascii="Times New Roman" w:hAnsi="Times New Roman" w:cs="Times New Roman" w:eastAsiaTheme="majorEastAsia"/>
                <w:sz w:val="18"/>
                <w:szCs w:val="18"/>
              </w:rPr>
            </w:pPr>
          </w:p>
        </w:tc>
      </w:tr>
      <w:tr w14:paraId="2A9DCB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09716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0" w:type="auto"/>
            <w:tcBorders>
              <w:top w:val="single" w:color="auto" w:sz="2" w:space="0"/>
              <w:left w:val="single" w:color="auto" w:sz="2" w:space="0"/>
              <w:bottom w:val="single" w:color="auto" w:sz="2" w:space="0"/>
              <w:right w:val="single" w:color="auto" w:sz="2" w:space="0"/>
            </w:tcBorders>
            <w:vAlign w:val="center"/>
          </w:tcPr>
          <w:p w14:paraId="1DEE42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31FEFD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w:t>
            </w:r>
          </w:p>
        </w:tc>
        <w:tc>
          <w:tcPr>
            <w:tcW w:w="0" w:type="auto"/>
            <w:tcBorders>
              <w:top w:val="single" w:color="auto" w:sz="2" w:space="0"/>
              <w:left w:val="single" w:color="auto" w:sz="2" w:space="0"/>
              <w:bottom w:val="single" w:color="auto" w:sz="2" w:space="0"/>
              <w:right w:val="single" w:color="auto" w:sz="2" w:space="0"/>
            </w:tcBorders>
            <w:vAlign w:val="center"/>
          </w:tcPr>
          <w:p w14:paraId="0BF422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0" w:type="auto"/>
            <w:tcBorders>
              <w:top w:val="single" w:color="auto" w:sz="2" w:space="0"/>
              <w:left w:val="single" w:color="auto" w:sz="2" w:space="0"/>
              <w:bottom w:val="single" w:color="auto" w:sz="2" w:space="0"/>
              <w:right w:val="single" w:color="auto" w:sz="2" w:space="0"/>
            </w:tcBorders>
            <w:vAlign w:val="center"/>
          </w:tcPr>
          <w:p w14:paraId="3E9973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0879BC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038F82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7188EC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22B68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7564E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34705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A7D7D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FD865CE">
            <w:pPr>
              <w:spacing w:line="240" w:lineRule="exact"/>
              <w:rPr>
                <w:rFonts w:ascii="Times New Roman" w:hAnsi="Times New Roman" w:cs="Times New Roman" w:eastAsiaTheme="majorEastAsia"/>
                <w:sz w:val="18"/>
                <w:szCs w:val="18"/>
              </w:rPr>
            </w:pPr>
          </w:p>
        </w:tc>
      </w:tr>
      <w:tr w14:paraId="5BE625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FE47A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毛晓玲</w:t>
            </w:r>
          </w:p>
        </w:tc>
        <w:tc>
          <w:tcPr>
            <w:tcW w:w="0" w:type="auto"/>
            <w:tcBorders>
              <w:top w:val="single" w:color="auto" w:sz="2" w:space="0"/>
              <w:left w:val="single" w:color="auto" w:sz="2" w:space="0"/>
              <w:bottom w:val="single" w:color="auto" w:sz="2" w:space="0"/>
              <w:right w:val="single" w:color="auto" w:sz="2" w:space="0"/>
            </w:tcBorders>
            <w:vAlign w:val="center"/>
          </w:tcPr>
          <w:p w14:paraId="691620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3294C4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w:t>
            </w:r>
          </w:p>
        </w:tc>
        <w:tc>
          <w:tcPr>
            <w:tcW w:w="0" w:type="auto"/>
            <w:tcBorders>
              <w:top w:val="single" w:color="auto" w:sz="2" w:space="0"/>
              <w:left w:val="single" w:color="auto" w:sz="2" w:space="0"/>
              <w:bottom w:val="single" w:color="auto" w:sz="2" w:space="0"/>
              <w:right w:val="single" w:color="auto" w:sz="2" w:space="0"/>
            </w:tcBorders>
            <w:vAlign w:val="center"/>
          </w:tcPr>
          <w:p w14:paraId="7177156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监事会主席</w:t>
            </w:r>
          </w:p>
        </w:tc>
        <w:tc>
          <w:tcPr>
            <w:tcW w:w="0" w:type="auto"/>
            <w:tcBorders>
              <w:top w:val="single" w:color="auto" w:sz="2" w:space="0"/>
              <w:left w:val="single" w:color="auto" w:sz="2" w:space="0"/>
              <w:bottom w:val="single" w:color="auto" w:sz="2" w:space="0"/>
              <w:right w:val="single" w:color="auto" w:sz="2" w:space="0"/>
            </w:tcBorders>
            <w:vAlign w:val="center"/>
          </w:tcPr>
          <w:p w14:paraId="59C545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0705B1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532E7F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419C10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6723D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78DD1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C714C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91162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0E0036B">
            <w:pPr>
              <w:spacing w:line="240" w:lineRule="exact"/>
              <w:rPr>
                <w:rFonts w:ascii="Times New Roman" w:hAnsi="Times New Roman" w:cs="Times New Roman" w:eastAsiaTheme="majorEastAsia"/>
                <w:sz w:val="18"/>
                <w:szCs w:val="18"/>
              </w:rPr>
            </w:pPr>
          </w:p>
        </w:tc>
      </w:tr>
      <w:tr w14:paraId="3C93BE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D7465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刘培璇</w:t>
            </w:r>
          </w:p>
        </w:tc>
        <w:tc>
          <w:tcPr>
            <w:tcW w:w="0" w:type="auto"/>
            <w:tcBorders>
              <w:top w:val="single" w:color="auto" w:sz="2" w:space="0"/>
              <w:left w:val="single" w:color="auto" w:sz="2" w:space="0"/>
              <w:bottom w:val="single" w:color="auto" w:sz="2" w:space="0"/>
              <w:right w:val="single" w:color="auto" w:sz="2" w:space="0"/>
            </w:tcBorders>
            <w:vAlign w:val="center"/>
          </w:tcPr>
          <w:p w14:paraId="396000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14D191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w:t>
            </w:r>
          </w:p>
        </w:tc>
        <w:tc>
          <w:tcPr>
            <w:tcW w:w="0" w:type="auto"/>
            <w:tcBorders>
              <w:top w:val="single" w:color="auto" w:sz="2" w:space="0"/>
              <w:left w:val="single" w:color="auto" w:sz="2" w:space="0"/>
              <w:bottom w:val="single" w:color="auto" w:sz="2" w:space="0"/>
              <w:right w:val="single" w:color="auto" w:sz="2" w:space="0"/>
            </w:tcBorders>
            <w:vAlign w:val="center"/>
          </w:tcPr>
          <w:p w14:paraId="5E21EB9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5D908B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5CE5DF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4BB5D5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0C8938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FE83B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05645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126D2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413F9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E96DFD1">
            <w:pPr>
              <w:spacing w:line="240" w:lineRule="exact"/>
              <w:rPr>
                <w:rFonts w:ascii="Times New Roman" w:hAnsi="Times New Roman" w:cs="Times New Roman" w:eastAsiaTheme="majorEastAsia"/>
                <w:sz w:val="18"/>
                <w:szCs w:val="18"/>
              </w:rPr>
            </w:pPr>
          </w:p>
        </w:tc>
      </w:tr>
      <w:tr w14:paraId="7E6E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1857B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黄素芳</w:t>
            </w:r>
          </w:p>
        </w:tc>
        <w:tc>
          <w:tcPr>
            <w:tcW w:w="0" w:type="auto"/>
            <w:tcBorders>
              <w:top w:val="single" w:color="auto" w:sz="2" w:space="0"/>
              <w:left w:val="single" w:color="auto" w:sz="2" w:space="0"/>
              <w:bottom w:val="single" w:color="auto" w:sz="2" w:space="0"/>
              <w:right w:val="single" w:color="auto" w:sz="2" w:space="0"/>
            </w:tcBorders>
            <w:vAlign w:val="center"/>
          </w:tcPr>
          <w:p w14:paraId="78EEC23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0" w:type="auto"/>
            <w:tcBorders>
              <w:top w:val="single" w:color="auto" w:sz="2" w:space="0"/>
              <w:left w:val="single" w:color="auto" w:sz="2" w:space="0"/>
              <w:bottom w:val="single" w:color="auto" w:sz="2" w:space="0"/>
              <w:right w:val="single" w:color="auto" w:sz="2" w:space="0"/>
            </w:tcBorders>
            <w:vAlign w:val="center"/>
          </w:tcPr>
          <w:p w14:paraId="6C9A0D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w:t>
            </w:r>
          </w:p>
        </w:tc>
        <w:tc>
          <w:tcPr>
            <w:tcW w:w="0" w:type="auto"/>
            <w:tcBorders>
              <w:top w:val="single" w:color="auto" w:sz="2" w:space="0"/>
              <w:left w:val="single" w:color="auto" w:sz="2" w:space="0"/>
              <w:bottom w:val="single" w:color="auto" w:sz="2" w:space="0"/>
              <w:right w:val="single" w:color="auto" w:sz="2" w:space="0"/>
            </w:tcBorders>
            <w:vAlign w:val="center"/>
          </w:tcPr>
          <w:p w14:paraId="3A7005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3E6F1D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61A7B6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29CFEC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07E3A0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2EC67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850A7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91D9E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4180F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4D348B2E">
            <w:pPr>
              <w:spacing w:line="240" w:lineRule="exact"/>
              <w:rPr>
                <w:rFonts w:ascii="Times New Roman" w:hAnsi="Times New Roman" w:cs="Times New Roman" w:eastAsiaTheme="majorEastAsia"/>
                <w:sz w:val="18"/>
                <w:szCs w:val="18"/>
              </w:rPr>
            </w:pPr>
          </w:p>
        </w:tc>
      </w:tr>
      <w:tr w14:paraId="1E5468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441703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林少勇</w:t>
            </w:r>
          </w:p>
        </w:tc>
        <w:tc>
          <w:tcPr>
            <w:tcW w:w="0" w:type="auto"/>
            <w:tcBorders>
              <w:top w:val="single" w:color="auto" w:sz="2" w:space="0"/>
              <w:left w:val="single" w:color="auto" w:sz="2" w:space="0"/>
              <w:bottom w:val="single" w:color="auto" w:sz="2" w:space="0"/>
              <w:right w:val="single" w:color="auto" w:sz="2" w:space="0"/>
            </w:tcBorders>
            <w:vAlign w:val="center"/>
          </w:tcPr>
          <w:p w14:paraId="73C879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0C9246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w:t>
            </w:r>
          </w:p>
        </w:tc>
        <w:tc>
          <w:tcPr>
            <w:tcW w:w="0" w:type="auto"/>
            <w:tcBorders>
              <w:top w:val="single" w:color="auto" w:sz="2" w:space="0"/>
              <w:left w:val="single" w:color="auto" w:sz="2" w:space="0"/>
              <w:bottom w:val="single" w:color="auto" w:sz="2" w:space="0"/>
              <w:right w:val="single" w:color="auto" w:sz="2" w:space="0"/>
            </w:tcBorders>
            <w:vAlign w:val="center"/>
          </w:tcPr>
          <w:p w14:paraId="08C1FA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0" w:type="auto"/>
            <w:tcBorders>
              <w:top w:val="single" w:color="auto" w:sz="2" w:space="0"/>
              <w:left w:val="single" w:color="auto" w:sz="2" w:space="0"/>
              <w:bottom w:val="single" w:color="auto" w:sz="2" w:space="0"/>
              <w:right w:val="single" w:color="auto" w:sz="2" w:space="0"/>
            </w:tcBorders>
            <w:vAlign w:val="center"/>
          </w:tcPr>
          <w:p w14:paraId="6B6826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2324A3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2023年02月01日</w:t>
            </w:r>
          </w:p>
        </w:tc>
        <w:tc>
          <w:tcPr>
            <w:tcW w:w="0" w:type="auto"/>
            <w:tcBorders>
              <w:top w:val="single" w:color="auto" w:sz="2" w:space="0"/>
              <w:left w:val="single" w:color="auto" w:sz="2" w:space="0"/>
              <w:bottom w:val="single" w:color="auto" w:sz="2" w:space="0"/>
              <w:right w:val="single" w:color="auto" w:sz="2" w:space="0"/>
            </w:tcBorders>
            <w:vAlign w:val="center"/>
          </w:tcPr>
          <w:p w14:paraId="22BBE6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7DACBB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73DD6D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BEDE3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E8AD0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FC867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E3C42FE">
            <w:pPr>
              <w:spacing w:line="240" w:lineRule="exact"/>
              <w:rPr>
                <w:rFonts w:ascii="Times New Roman" w:hAnsi="Times New Roman" w:cs="Times New Roman" w:eastAsiaTheme="majorEastAsia"/>
                <w:sz w:val="18"/>
                <w:szCs w:val="18"/>
              </w:rPr>
            </w:pPr>
          </w:p>
        </w:tc>
      </w:tr>
      <w:tr w14:paraId="1E57EE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right w:val="single" w:color="auto" w:sz="2" w:space="0"/>
            </w:tcBorders>
            <w:vAlign w:val="center"/>
          </w:tcPr>
          <w:p w14:paraId="51545A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李华青</w:t>
            </w:r>
          </w:p>
        </w:tc>
        <w:tc>
          <w:tcPr>
            <w:tcW w:w="0" w:type="auto"/>
            <w:vMerge w:val="restart"/>
            <w:tcBorders>
              <w:top w:val="single" w:color="auto" w:sz="2" w:space="0"/>
              <w:left w:val="single" w:color="auto" w:sz="2" w:space="0"/>
              <w:right w:val="single" w:color="auto" w:sz="2" w:space="0"/>
            </w:tcBorders>
            <w:vAlign w:val="center"/>
          </w:tcPr>
          <w:p w14:paraId="30ACBC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vMerge w:val="restart"/>
            <w:tcBorders>
              <w:top w:val="single" w:color="auto" w:sz="2" w:space="0"/>
              <w:left w:val="single" w:color="auto" w:sz="2" w:space="0"/>
              <w:right w:val="single" w:color="auto" w:sz="2" w:space="0"/>
            </w:tcBorders>
            <w:vAlign w:val="center"/>
          </w:tcPr>
          <w:p w14:paraId="15F4D3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w:t>
            </w:r>
          </w:p>
        </w:tc>
        <w:tc>
          <w:tcPr>
            <w:tcW w:w="0" w:type="auto"/>
            <w:tcBorders>
              <w:top w:val="single" w:color="auto" w:sz="2" w:space="0"/>
              <w:left w:val="single" w:color="auto" w:sz="2" w:space="0"/>
              <w:bottom w:val="single" w:color="auto" w:sz="2" w:space="0"/>
              <w:right w:val="single" w:color="auto" w:sz="2" w:space="0"/>
            </w:tcBorders>
            <w:vAlign w:val="center"/>
          </w:tcPr>
          <w:p w14:paraId="5DF780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0" w:type="auto"/>
            <w:tcBorders>
              <w:top w:val="single" w:color="auto" w:sz="2" w:space="0"/>
              <w:left w:val="single" w:color="auto" w:sz="2" w:space="0"/>
              <w:bottom w:val="single" w:color="auto" w:sz="2" w:space="0"/>
              <w:right w:val="single" w:color="auto" w:sz="2" w:space="0"/>
            </w:tcBorders>
            <w:vAlign w:val="center"/>
          </w:tcPr>
          <w:p w14:paraId="7CBB36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3BB01F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2022年03月04日</w:t>
            </w:r>
          </w:p>
        </w:tc>
        <w:tc>
          <w:tcPr>
            <w:tcW w:w="0" w:type="auto"/>
            <w:tcBorders>
              <w:top w:val="single" w:color="auto" w:sz="2" w:space="0"/>
              <w:left w:val="single" w:color="auto" w:sz="2" w:space="0"/>
              <w:bottom w:val="single" w:color="auto" w:sz="2" w:space="0"/>
              <w:right w:val="single" w:color="auto" w:sz="2" w:space="0"/>
            </w:tcBorders>
            <w:vAlign w:val="center"/>
          </w:tcPr>
          <w:p w14:paraId="5B2041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vMerge w:val="restart"/>
            <w:tcBorders>
              <w:top w:val="single" w:color="auto" w:sz="2" w:space="0"/>
              <w:left w:val="single" w:color="auto" w:sz="2" w:space="0"/>
              <w:right w:val="single" w:color="auto" w:sz="2" w:space="0"/>
            </w:tcBorders>
            <w:vAlign w:val="center"/>
          </w:tcPr>
          <w:p w14:paraId="746A13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right w:val="single" w:color="auto" w:sz="2" w:space="0"/>
            </w:tcBorders>
            <w:vAlign w:val="center"/>
          </w:tcPr>
          <w:p w14:paraId="7FD59B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right w:val="single" w:color="auto" w:sz="2" w:space="0"/>
            </w:tcBorders>
            <w:vAlign w:val="center"/>
          </w:tcPr>
          <w:p w14:paraId="78C072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right w:val="single" w:color="auto" w:sz="2" w:space="0"/>
            </w:tcBorders>
            <w:vAlign w:val="center"/>
          </w:tcPr>
          <w:p w14:paraId="0E7208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right w:val="single" w:color="auto" w:sz="2" w:space="0"/>
            </w:tcBorders>
            <w:vAlign w:val="center"/>
          </w:tcPr>
          <w:p w14:paraId="7217B0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vMerge w:val="restart"/>
            <w:tcBorders>
              <w:top w:val="single" w:color="auto" w:sz="2" w:space="0"/>
              <w:left w:val="single" w:color="auto" w:sz="2" w:space="0"/>
              <w:bottom w:val="single" w:color="auto" w:sz="2" w:space="0"/>
              <w:right w:val="single" w:color="auto" w:sz="2" w:space="0"/>
            </w:tcBorders>
            <w:vAlign w:val="center"/>
          </w:tcPr>
          <w:p w14:paraId="2C67444C">
            <w:pPr>
              <w:spacing w:line="240" w:lineRule="exact"/>
              <w:rPr>
                <w:rFonts w:ascii="Times New Roman" w:hAnsi="Times New Roman" w:cs="Times New Roman" w:eastAsiaTheme="majorEastAsia"/>
                <w:sz w:val="18"/>
                <w:szCs w:val="18"/>
              </w:rPr>
            </w:pPr>
          </w:p>
        </w:tc>
      </w:tr>
      <w:tr w14:paraId="0E97F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continue"/>
            <w:tcBorders>
              <w:left w:val="single" w:color="auto" w:sz="2" w:space="0"/>
              <w:bottom w:val="single" w:color="auto" w:sz="2" w:space="0"/>
              <w:right w:val="single" w:color="auto" w:sz="2" w:space="0"/>
            </w:tcBorders>
            <w:vAlign w:val="center"/>
          </w:tcPr>
          <w:p w14:paraId="1CC2FAFF">
            <w:pPr>
              <w:spacing w:line="240" w:lineRule="exac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3D09B824">
            <w:pPr>
              <w:spacing w:line="240" w:lineRule="exac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31CE0D60">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C3FFF0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董事会秘书</w:t>
            </w:r>
          </w:p>
        </w:tc>
        <w:tc>
          <w:tcPr>
            <w:tcW w:w="0" w:type="auto"/>
            <w:tcBorders>
              <w:top w:val="single" w:color="auto" w:sz="2" w:space="0"/>
              <w:left w:val="single" w:color="auto" w:sz="2" w:space="0"/>
              <w:bottom w:val="single" w:color="auto" w:sz="2" w:space="0"/>
              <w:right w:val="single" w:color="auto" w:sz="2" w:space="0"/>
            </w:tcBorders>
            <w:vAlign w:val="center"/>
          </w:tcPr>
          <w:p w14:paraId="689264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离任</w:t>
            </w:r>
          </w:p>
        </w:tc>
        <w:tc>
          <w:tcPr>
            <w:tcW w:w="0" w:type="auto"/>
            <w:tcBorders>
              <w:top w:val="single" w:color="auto" w:sz="2" w:space="0"/>
              <w:left w:val="single" w:color="auto" w:sz="2" w:space="0"/>
              <w:bottom w:val="single" w:color="auto" w:sz="2" w:space="0"/>
              <w:right w:val="single" w:color="auto" w:sz="2" w:space="0"/>
            </w:tcBorders>
            <w:vAlign w:val="center"/>
          </w:tcPr>
          <w:p w14:paraId="4A82157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2015年08月28日</w:t>
            </w:r>
          </w:p>
        </w:tc>
        <w:tc>
          <w:tcPr>
            <w:tcW w:w="0" w:type="auto"/>
            <w:tcBorders>
              <w:top w:val="single" w:color="auto" w:sz="2" w:space="0"/>
              <w:left w:val="single" w:color="auto" w:sz="2" w:space="0"/>
              <w:bottom w:val="single" w:color="auto" w:sz="2" w:space="0"/>
              <w:right w:val="single" w:color="auto" w:sz="2" w:space="0"/>
            </w:tcBorders>
            <w:vAlign w:val="center"/>
          </w:tcPr>
          <w:p w14:paraId="2E5A90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2025年01月16日</w:t>
            </w:r>
          </w:p>
        </w:tc>
        <w:tc>
          <w:tcPr>
            <w:tcW w:w="0" w:type="auto"/>
            <w:vMerge w:val="continue"/>
            <w:tcBorders>
              <w:left w:val="single" w:color="auto" w:sz="2" w:space="0"/>
              <w:bottom w:val="single" w:color="auto" w:sz="2" w:space="0"/>
              <w:right w:val="single" w:color="auto" w:sz="2" w:space="0"/>
            </w:tcBorders>
            <w:vAlign w:val="center"/>
          </w:tcPr>
          <w:p w14:paraId="3F1A6C36">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74CC760D">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28625AC0">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2765A1EB">
            <w:pPr>
              <w:spacing w:line="240" w:lineRule="exact"/>
              <w:jc w:val="right"/>
              <w:rPr>
                <w:rFonts w:ascii="Times New Roman" w:hAnsi="Times New Roman" w:cs="Times New Roman" w:eastAsiaTheme="majorEastAsia"/>
                <w:sz w:val="18"/>
                <w:szCs w:val="18"/>
              </w:rPr>
            </w:pPr>
          </w:p>
        </w:tc>
        <w:tc>
          <w:tcPr>
            <w:tcW w:w="0" w:type="auto"/>
            <w:vMerge w:val="continue"/>
            <w:tcBorders>
              <w:left w:val="single" w:color="auto" w:sz="2" w:space="0"/>
              <w:bottom w:val="single" w:color="auto" w:sz="2" w:space="0"/>
              <w:right w:val="single" w:color="auto" w:sz="2" w:space="0"/>
            </w:tcBorders>
            <w:vAlign w:val="center"/>
          </w:tcPr>
          <w:p w14:paraId="3371F77A">
            <w:pPr>
              <w:spacing w:line="240" w:lineRule="exact"/>
              <w:jc w:val="right"/>
              <w:rPr>
                <w:rFonts w:ascii="Times New Roman" w:hAnsi="Times New Roman" w:cs="Times New Roman" w:eastAsiaTheme="majorEastAsia"/>
                <w:sz w:val="18"/>
                <w:szCs w:val="18"/>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5CF52B44">
            <w:pPr>
              <w:spacing w:line="240" w:lineRule="exact"/>
              <w:rPr>
                <w:rFonts w:ascii="Times New Roman" w:hAnsi="Times New Roman" w:cs="Times New Roman" w:eastAsiaTheme="majorEastAsia"/>
                <w:sz w:val="18"/>
                <w:szCs w:val="18"/>
              </w:rPr>
            </w:pPr>
          </w:p>
        </w:tc>
      </w:tr>
      <w:tr w14:paraId="6E2F0B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15390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陈焕盛</w:t>
            </w:r>
          </w:p>
        </w:tc>
        <w:tc>
          <w:tcPr>
            <w:tcW w:w="0" w:type="auto"/>
            <w:tcBorders>
              <w:top w:val="single" w:color="auto" w:sz="2" w:space="0"/>
              <w:left w:val="single" w:color="auto" w:sz="2" w:space="0"/>
              <w:bottom w:val="single" w:color="auto" w:sz="2" w:space="0"/>
              <w:right w:val="single" w:color="auto" w:sz="2" w:space="0"/>
            </w:tcBorders>
            <w:vAlign w:val="center"/>
          </w:tcPr>
          <w:p w14:paraId="2AD7AE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5FD286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w:t>
            </w:r>
          </w:p>
        </w:tc>
        <w:tc>
          <w:tcPr>
            <w:tcW w:w="0" w:type="auto"/>
            <w:tcBorders>
              <w:top w:val="single" w:color="auto" w:sz="2" w:space="0"/>
              <w:left w:val="single" w:color="auto" w:sz="2" w:space="0"/>
              <w:bottom w:val="single" w:color="auto" w:sz="2" w:space="0"/>
              <w:right w:val="single" w:color="auto" w:sz="2" w:space="0"/>
            </w:tcBorders>
            <w:vAlign w:val="center"/>
          </w:tcPr>
          <w:p w14:paraId="18CCA0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财务总监</w:t>
            </w:r>
          </w:p>
        </w:tc>
        <w:tc>
          <w:tcPr>
            <w:tcW w:w="0" w:type="auto"/>
            <w:tcBorders>
              <w:top w:val="single" w:color="auto" w:sz="2" w:space="0"/>
              <w:left w:val="single" w:color="auto" w:sz="2" w:space="0"/>
              <w:bottom w:val="single" w:color="auto" w:sz="2" w:space="0"/>
              <w:right w:val="single" w:color="auto" w:sz="2" w:space="0"/>
            </w:tcBorders>
            <w:vAlign w:val="center"/>
          </w:tcPr>
          <w:p w14:paraId="37446C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146391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2022年10月27日</w:t>
            </w:r>
          </w:p>
        </w:tc>
        <w:tc>
          <w:tcPr>
            <w:tcW w:w="0" w:type="auto"/>
            <w:tcBorders>
              <w:top w:val="single" w:color="auto" w:sz="2" w:space="0"/>
              <w:left w:val="single" w:color="auto" w:sz="2" w:space="0"/>
              <w:bottom w:val="single" w:color="auto" w:sz="2" w:space="0"/>
              <w:right w:val="single" w:color="auto" w:sz="2" w:space="0"/>
            </w:tcBorders>
            <w:vAlign w:val="center"/>
          </w:tcPr>
          <w:p w14:paraId="579EEB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2710D5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16578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55ADE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2A659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10C3C9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E2CA1C6">
            <w:pPr>
              <w:spacing w:line="240" w:lineRule="exact"/>
              <w:rPr>
                <w:rFonts w:ascii="Times New Roman" w:hAnsi="Times New Roman" w:cs="Times New Roman" w:eastAsiaTheme="majorEastAsia"/>
                <w:sz w:val="18"/>
                <w:szCs w:val="18"/>
              </w:rPr>
            </w:pPr>
          </w:p>
        </w:tc>
      </w:tr>
      <w:tr w14:paraId="0856C6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1A79A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曹维</w:t>
            </w:r>
          </w:p>
        </w:tc>
        <w:tc>
          <w:tcPr>
            <w:tcW w:w="0" w:type="auto"/>
            <w:tcBorders>
              <w:top w:val="single" w:color="auto" w:sz="2" w:space="0"/>
              <w:left w:val="single" w:color="auto" w:sz="2" w:space="0"/>
              <w:bottom w:val="single" w:color="auto" w:sz="2" w:space="0"/>
              <w:right w:val="single" w:color="auto" w:sz="2" w:space="0"/>
            </w:tcBorders>
            <w:vAlign w:val="center"/>
          </w:tcPr>
          <w:p w14:paraId="45D848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0" w:type="auto"/>
            <w:tcBorders>
              <w:top w:val="single" w:color="auto" w:sz="2" w:space="0"/>
              <w:left w:val="single" w:color="auto" w:sz="2" w:space="0"/>
              <w:bottom w:val="single" w:color="auto" w:sz="2" w:space="0"/>
              <w:right w:val="single" w:color="auto" w:sz="2" w:space="0"/>
            </w:tcBorders>
            <w:vAlign w:val="center"/>
          </w:tcPr>
          <w:p w14:paraId="5A6A11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w:t>
            </w:r>
          </w:p>
        </w:tc>
        <w:tc>
          <w:tcPr>
            <w:tcW w:w="0" w:type="auto"/>
            <w:tcBorders>
              <w:top w:val="single" w:color="auto" w:sz="2" w:space="0"/>
              <w:left w:val="single" w:color="auto" w:sz="2" w:space="0"/>
              <w:bottom w:val="single" w:color="auto" w:sz="2" w:space="0"/>
              <w:right w:val="single" w:color="auto" w:sz="2" w:space="0"/>
            </w:tcBorders>
            <w:vAlign w:val="center"/>
          </w:tcPr>
          <w:p w14:paraId="6F5CF8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董事会秘书</w:t>
            </w:r>
          </w:p>
        </w:tc>
        <w:tc>
          <w:tcPr>
            <w:tcW w:w="0" w:type="auto"/>
            <w:tcBorders>
              <w:top w:val="single" w:color="auto" w:sz="2" w:space="0"/>
              <w:left w:val="single" w:color="auto" w:sz="2" w:space="0"/>
              <w:bottom w:val="single" w:color="auto" w:sz="2" w:space="0"/>
              <w:right w:val="single" w:color="auto" w:sz="2" w:space="0"/>
            </w:tcBorders>
            <w:vAlign w:val="center"/>
          </w:tcPr>
          <w:p w14:paraId="47E95F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0" w:type="auto"/>
            <w:tcBorders>
              <w:top w:val="single" w:color="auto" w:sz="2" w:space="0"/>
              <w:left w:val="single" w:color="auto" w:sz="2" w:space="0"/>
              <w:bottom w:val="single" w:color="auto" w:sz="2" w:space="0"/>
              <w:right w:val="single" w:color="auto" w:sz="2" w:space="0"/>
            </w:tcBorders>
            <w:vAlign w:val="center"/>
          </w:tcPr>
          <w:p w14:paraId="1771AC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2025年01月16日</w:t>
            </w:r>
          </w:p>
        </w:tc>
        <w:tc>
          <w:tcPr>
            <w:tcW w:w="0" w:type="auto"/>
            <w:tcBorders>
              <w:top w:val="single" w:color="auto" w:sz="2" w:space="0"/>
              <w:left w:val="single" w:color="auto" w:sz="2" w:space="0"/>
              <w:bottom w:val="single" w:color="auto" w:sz="2" w:space="0"/>
              <w:right w:val="single" w:color="auto" w:sz="2" w:space="0"/>
            </w:tcBorders>
            <w:vAlign w:val="center"/>
          </w:tcPr>
          <w:p w14:paraId="79E3550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2025年03月03日</w:t>
            </w:r>
          </w:p>
        </w:tc>
        <w:tc>
          <w:tcPr>
            <w:tcW w:w="0" w:type="auto"/>
            <w:tcBorders>
              <w:top w:val="single" w:color="auto" w:sz="2" w:space="0"/>
              <w:left w:val="single" w:color="auto" w:sz="2" w:space="0"/>
              <w:bottom w:val="single" w:color="auto" w:sz="2" w:space="0"/>
              <w:right w:val="single" w:color="auto" w:sz="2" w:space="0"/>
            </w:tcBorders>
            <w:vAlign w:val="center"/>
          </w:tcPr>
          <w:p w14:paraId="4C715D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2ABAA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2BD05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6C64DC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0D660B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5B9CEE62">
            <w:pPr>
              <w:spacing w:line="240" w:lineRule="exact"/>
              <w:rPr>
                <w:rFonts w:ascii="Times New Roman" w:hAnsi="Times New Roman" w:cs="Times New Roman" w:eastAsiaTheme="majorEastAsia"/>
                <w:sz w:val="18"/>
                <w:szCs w:val="18"/>
              </w:rPr>
            </w:pPr>
          </w:p>
        </w:tc>
      </w:tr>
      <w:tr w14:paraId="1B6832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51438A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864B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FC9317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98576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D808C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448E89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9F4E2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0" w:type="auto"/>
            <w:tcBorders>
              <w:top w:val="single" w:color="auto" w:sz="2" w:space="0"/>
              <w:left w:val="single" w:color="auto" w:sz="2" w:space="0"/>
              <w:bottom w:val="single" w:color="auto" w:sz="2" w:space="0"/>
              <w:right w:val="single" w:color="auto" w:sz="2" w:space="0"/>
            </w:tcBorders>
            <w:vAlign w:val="center"/>
          </w:tcPr>
          <w:p w14:paraId="62AFCF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23,637,944</w:t>
            </w:r>
          </w:p>
        </w:tc>
        <w:tc>
          <w:tcPr>
            <w:tcW w:w="0" w:type="auto"/>
            <w:tcBorders>
              <w:top w:val="single" w:color="auto" w:sz="2" w:space="0"/>
              <w:left w:val="single" w:color="auto" w:sz="2" w:space="0"/>
              <w:bottom w:val="single" w:color="auto" w:sz="2" w:space="0"/>
              <w:right w:val="single" w:color="auto" w:sz="2" w:space="0"/>
            </w:tcBorders>
            <w:vAlign w:val="center"/>
          </w:tcPr>
          <w:p w14:paraId="70E2B0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300A7EA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0" w:type="auto"/>
            <w:tcBorders>
              <w:top w:val="single" w:color="auto" w:sz="2" w:space="0"/>
              <w:left w:val="single" w:color="auto" w:sz="2" w:space="0"/>
              <w:bottom w:val="single" w:color="auto" w:sz="2" w:space="0"/>
              <w:right w:val="single" w:color="auto" w:sz="2" w:space="0"/>
            </w:tcBorders>
            <w:vAlign w:val="center"/>
          </w:tcPr>
          <w:p w14:paraId="1B904A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0" w:type="auto"/>
            <w:tcBorders>
              <w:top w:val="single" w:color="auto" w:sz="2" w:space="0"/>
              <w:left w:val="single" w:color="auto" w:sz="2" w:space="0"/>
              <w:bottom w:val="single" w:color="auto" w:sz="2" w:space="0"/>
              <w:right w:val="single" w:color="auto" w:sz="2" w:space="0"/>
            </w:tcBorders>
            <w:vAlign w:val="center"/>
          </w:tcPr>
          <w:p w14:paraId="2D0FAA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23,509,944</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C6FEC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54252F1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报告期是否存在任期内董事、监事离任和高级管理人员解聘的情况</w:t>
      </w:r>
    </w:p>
    <w:p w14:paraId="6C4A6D6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47C6852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公司董事、监事、高级管理人员变动情况</w:t>
      </w:r>
    </w:p>
    <w:p w14:paraId="753816A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7CB2DDB">
      <w:pPr>
        <w:pStyle w:val="3"/>
        <w:spacing w:line="280" w:lineRule="exact"/>
        <w:jc w:val="left"/>
        <w:rPr>
          <w:rFonts w:ascii="Times New Roman" w:hAnsi="Times New Roman" w:cs="Times New Roman" w:eastAsiaTheme="majorEastAsia"/>
          <w:b/>
          <w:bCs/>
        </w:rPr>
      </w:pPr>
      <w:bookmarkStart w:id="66" w:name="_Toc988955"/>
      <w:r>
        <w:rPr>
          <w:rFonts w:ascii="Times New Roman" w:hAnsi="Times New Roman" w:cs="Times New Roman" w:eastAsiaTheme="majorEastAsia"/>
          <w:b/>
          <w:bCs/>
        </w:rPr>
        <w:t>2、任职情况</w:t>
      </w:r>
      <w:bookmarkEnd w:id="66"/>
    </w:p>
    <w:p w14:paraId="2EC080C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公司现任董事、监事、高级管理人员专业背景、主要工作经历以及目前在公司的主要职责</w:t>
      </w:r>
    </w:p>
    <w:p w14:paraId="6B38E69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（1）林明玲女士：1971年生，中国国籍，无境外永久居留权，本科学历，行政管理专业。1998年7月至2015年8月担任公司执行董事；2015年8月至2017年4月担任公司董事长兼副总经理；现任公司董事长。</w:t>
      </w:r>
    </w:p>
    <w:p w14:paraId="7027EA8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马学沛先生：1972年生，中国国籍，无境外永久居留权，工商管理硕士学历。1998年7月至2015年8月担任公司总经理，2015年8月至今任公司副董事长兼总经理；2015年4月28日至今任南京优志投资管理合伙企业（有限合伙）执行事务合伙人；2016年至今，任汕头市工商联合会副主席；2012年至今，任汕头市科学技术协会常委；2013年至今，任汕头市青年科技工作者协会会长；2022年1月被选举为汕头市第十五届人民代表大会代表（任期5年）；2023年2月被选举为第十四届全国人民代表大会代表（任期5年）。</w:t>
      </w:r>
    </w:p>
    <w:p w14:paraId="400F538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（3）高俊斌先生：1984年生，中国国籍，无境外永久居留权，本科学历。2008年3月至报告期末，先后任公司商务主管、采购部经理、商务总监、总经办主任，现任信创事业部总经理；2018年1月至今，兼任公司董事。</w:t>
      </w:r>
    </w:p>
    <w:p w14:paraId="59ADD74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（4）张毅先生：1971年生，中国国籍，无境外永久居留权，本科学历。2011年至报告期末任公司技术中心总监，现任总经办主任；2022年3月至今，兼任董事。2016年7月至今，任汕头市百骏驾驶考培有限公司监事。</w:t>
      </w:r>
    </w:p>
    <w:p w14:paraId="08902C8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5）曹丽梅女士：1978年生，中国国籍，无境外永久居住权，研究生学历，会计学博士学位，广东省科技厅财务专家、广东省财政厅绩效评价专家。曾任广州铁路集团任会计、广东财经大学华商学院任会计学教师、广州市吉华勘测股份有限公司董事；现于广东财经大学会计学院审计系任教，任审计系系主任、教授、硕士生导师；兼任播恩集团股份有限公司独立董事、福能东方装备科技股份有限公司独立董事；2022年3月至今任公司独立董事。</w:t>
      </w:r>
    </w:p>
    <w:p w14:paraId="0AF233E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（6）蔡浩先生：1974年生，中国国籍，无境外永久居住权，博士研究生学历。曾任伦敦城市大学高级研究员、英国欧创集团任高级软件工程师；2012年6月至今，于汕头大学任教；2022年3月至今任公司独立董事。</w:t>
      </w:r>
    </w:p>
    <w:p w14:paraId="332E81E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7）石洁芝女士（曾用名：李洁芝）：1973年生，中国国籍，无境外永久居住权，本科学历。1996年7月至1999年10月任广东省第二建筑工程有限公司合同审查员；1999年11月至2006年10月任广东为正律师事务所任合伙人律师；2006年11月至今任广东本力律师事务所任主任律师；2022年3月至今任公司独立董事。</w:t>
      </w:r>
    </w:p>
    <w:p w14:paraId="024552D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8）马淦江先生：1992年生，中国国籍，无境外永久居留权，本科学历。曾任公司销售经理、环球资源广告深圳有限公司销售经理、深圳市润鹏建设工程有限公司经理；2019年7月至今任广东亿嘉地产有限公司任执行董事、经理；2019年7月至今任汕头经济特区通发厂房开发有限公司执行董事、经理；2022年3月至今任公司董事。</w:t>
      </w:r>
    </w:p>
    <w:p w14:paraId="6C90F91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9）毛晓玲女士：1975年生，中国国籍，无境外永久居留权，大专学历。1993年11月至1998年5月担任汕头市科宏电脑有限公司销售经理；1998年至报告期末先后任仓储主管、采购部经理、商务部经理，现任审计部经理；2015年8月至今，兼任公司董事会主席。</w:t>
      </w:r>
    </w:p>
    <w:p w14:paraId="3A25290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（10）黄素芳女士：1979年生，中国国籍，无境外永久居留权，大专学历。1998年加入本公司任财务部会计，现任审计主管；2015年8月至今，兼任公司职工监事。</w:t>
      </w:r>
    </w:p>
    <w:p w14:paraId="0AFB72F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刘培璇女士：1981年生，中国国籍，无境外永久居留权，大专学历。2002年7月加入本公司，先后任销售员、采购员、商务部经理助理、副经理、经理等职务，现任公司采购部经理；2015年8月至今，兼任公司职工监事。</w:t>
      </w:r>
    </w:p>
    <w:p w14:paraId="21A805A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12）李华青先生：1978年生，中国国籍，无境外永久居留权，本科学历，会计学专业，高级会计师、注册税务师，已取得深圳证券交易所认可的董事会秘书资格证书。2006年11月至2014年4月，任雅士利国际集团有限公司财务总监助理、子公司财务负责人，2014年5月至2015年8月，任公司财务总监，2015年8月至2022年3月任广东天亿马信息产业股份有限公司财务总监、董事会秘书；2022年3月至2022年10月任副总经理、董事会秘书、财务总监；2022年10月至2025年1月任公司副总经理、董事会秘书；现任公司副总经理；2024年7月至今，兼任广东万年青制药股份有限公司独立董事。</w:t>
      </w:r>
    </w:p>
    <w:p w14:paraId="2AD4839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13）林少勇先生：1975年生，中国国籍，无境外永久居留权，计算机软件专业，本科学历。1998年7月至2015年8月，就职于中共汕头市委办公室；2015年12月至2020年4月，任广东天亿马信息产业股份有限公司研发中心总监；2020年6月至10月，就职于华夏慧品科技（北京）有限公司；2020年11月至2023年2月，任公司总经理助理；现任公司副总经理。</w:t>
      </w:r>
    </w:p>
    <w:p w14:paraId="1E6D708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14）陈焕盛先生：1983年生，中国国籍，无境外永久居留权，本科学历，高级会计师。2010年3月至2017年1月任龙光交通集团有限公司财务经理；2017年2月至2017年12月任深圳市龙光基业投资咨询有限公司高级经理；2018年1月至2022年5月任深圳市龙光控股有限公司财务总监；2022年5月加入公司，现任公司财务总监（财务负责人）。</w:t>
      </w:r>
    </w:p>
    <w:p w14:paraId="3D86199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15）曹维先生：1987年生，中国国籍，本科学历。2011年7月至2012年12月，任唐山冀东水泥股份有限公司证券事务专员；2013年1月至2015年8月，任四川浩物机电股份有限公司证券事务部部长助理；2015年8月至2022年10月，先后任恒康医疗集团股份有限公司证券事务代表（2016年2月至8月）、董事会秘书兼副总经理（2016年8月至2022年9月）；2022年11月至2024年4月，任深圳市费特森新能源有限责任公司投资总监；2024年5月至2025年1月，任公司总经理助理；2025年1月至今，任公司董事会秘书。</w:t>
      </w:r>
    </w:p>
    <w:p w14:paraId="7D7E71D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在股东单位任职情况</w:t>
      </w:r>
    </w:p>
    <w:p w14:paraId="5513C0D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7AC414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在其他单位任职情况</w:t>
      </w:r>
    </w:p>
    <w:p w14:paraId="42FA6F9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91"/>
        <w:gridCol w:w="2314"/>
        <w:gridCol w:w="1771"/>
        <w:gridCol w:w="1239"/>
        <w:gridCol w:w="1239"/>
        <w:gridCol w:w="1699"/>
      </w:tblGrid>
      <w:tr w14:paraId="004C56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EDFA7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任职人员姓名</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0D3C9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其他单位名称</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339C1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在其他单位担任的职务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9C46C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任期起始日期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2D3C8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任期终止日期</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09921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在其他单位是否领取报酬津贴</w:t>
            </w:r>
          </w:p>
        </w:tc>
      </w:tr>
      <w:tr w14:paraId="029229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10FE62E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0" w:type="auto"/>
            <w:tcBorders>
              <w:top w:val="single" w:color="auto" w:sz="2" w:space="0"/>
              <w:left w:val="single" w:color="auto" w:sz="2" w:space="0"/>
              <w:bottom w:val="single" w:color="auto" w:sz="2" w:space="0"/>
              <w:right w:val="single" w:color="auto" w:sz="2" w:space="0"/>
            </w:tcBorders>
            <w:vAlign w:val="center"/>
          </w:tcPr>
          <w:p w14:paraId="753B7E36">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南京优志投资管理合伙企业（有限合伙）</w:t>
            </w:r>
          </w:p>
        </w:tc>
        <w:tc>
          <w:tcPr>
            <w:tcW w:w="0" w:type="auto"/>
            <w:tcBorders>
              <w:top w:val="single" w:color="auto" w:sz="2" w:space="0"/>
              <w:left w:val="single" w:color="auto" w:sz="2" w:space="0"/>
              <w:bottom w:val="single" w:color="auto" w:sz="2" w:space="0"/>
              <w:right w:val="single" w:color="auto" w:sz="2" w:space="0"/>
            </w:tcBorders>
            <w:vAlign w:val="center"/>
          </w:tcPr>
          <w:p w14:paraId="2FC0CF2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执行事务合伙人</w:t>
            </w:r>
          </w:p>
        </w:tc>
        <w:tc>
          <w:tcPr>
            <w:tcW w:w="0" w:type="auto"/>
            <w:tcBorders>
              <w:top w:val="single" w:color="auto" w:sz="2" w:space="0"/>
              <w:left w:val="single" w:color="auto" w:sz="2" w:space="0"/>
              <w:bottom w:val="single" w:color="auto" w:sz="2" w:space="0"/>
              <w:right w:val="single" w:color="auto" w:sz="2" w:space="0"/>
            </w:tcBorders>
            <w:vAlign w:val="center"/>
          </w:tcPr>
          <w:p w14:paraId="0BC15C8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2015年04月28日</w:t>
            </w:r>
          </w:p>
        </w:tc>
        <w:tc>
          <w:tcPr>
            <w:tcW w:w="0" w:type="auto"/>
            <w:tcBorders>
              <w:top w:val="single" w:color="auto" w:sz="2" w:space="0"/>
              <w:left w:val="single" w:color="auto" w:sz="2" w:space="0"/>
              <w:bottom w:val="single" w:color="auto" w:sz="2" w:space="0"/>
              <w:right w:val="single" w:color="auto" w:sz="2" w:space="0"/>
            </w:tcBorders>
            <w:vAlign w:val="center"/>
          </w:tcPr>
          <w:p w14:paraId="53E8D7DC">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D156F9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02A5E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111532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0" w:type="auto"/>
            <w:tcBorders>
              <w:top w:val="single" w:color="auto" w:sz="2" w:space="0"/>
              <w:left w:val="single" w:color="auto" w:sz="2" w:space="0"/>
              <w:bottom w:val="single" w:color="auto" w:sz="2" w:space="0"/>
              <w:right w:val="single" w:color="auto" w:sz="2" w:space="0"/>
            </w:tcBorders>
            <w:vAlign w:val="center"/>
          </w:tcPr>
          <w:p w14:paraId="24DE5B68">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广东润煌纺织新材料有限公司</w:t>
            </w:r>
          </w:p>
        </w:tc>
        <w:tc>
          <w:tcPr>
            <w:tcW w:w="0" w:type="auto"/>
            <w:tcBorders>
              <w:top w:val="single" w:color="auto" w:sz="2" w:space="0"/>
              <w:left w:val="single" w:color="auto" w:sz="2" w:space="0"/>
              <w:bottom w:val="single" w:color="auto" w:sz="2" w:space="0"/>
              <w:right w:val="single" w:color="auto" w:sz="2" w:space="0"/>
            </w:tcBorders>
            <w:vAlign w:val="center"/>
          </w:tcPr>
          <w:p w14:paraId="6DB05E7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39E992B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2023年11月13日</w:t>
            </w:r>
          </w:p>
        </w:tc>
        <w:tc>
          <w:tcPr>
            <w:tcW w:w="0" w:type="auto"/>
            <w:tcBorders>
              <w:top w:val="single" w:color="auto" w:sz="2" w:space="0"/>
              <w:left w:val="single" w:color="auto" w:sz="2" w:space="0"/>
              <w:bottom w:val="single" w:color="auto" w:sz="2" w:space="0"/>
              <w:right w:val="single" w:color="auto" w:sz="2" w:space="0"/>
            </w:tcBorders>
            <w:vAlign w:val="center"/>
          </w:tcPr>
          <w:p w14:paraId="35B8C632">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6D5627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F9F8D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55E147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6EC1759E">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广东财经大学</w:t>
            </w:r>
          </w:p>
        </w:tc>
        <w:tc>
          <w:tcPr>
            <w:tcW w:w="0" w:type="auto"/>
            <w:tcBorders>
              <w:top w:val="single" w:color="auto" w:sz="2" w:space="0"/>
              <w:left w:val="single" w:color="auto" w:sz="2" w:space="0"/>
              <w:bottom w:val="single" w:color="auto" w:sz="2" w:space="0"/>
              <w:right w:val="single" w:color="auto" w:sz="2" w:space="0"/>
            </w:tcBorders>
            <w:vAlign w:val="center"/>
          </w:tcPr>
          <w:p w14:paraId="3BA8B1C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教授</w:t>
            </w:r>
          </w:p>
        </w:tc>
        <w:tc>
          <w:tcPr>
            <w:tcW w:w="0" w:type="auto"/>
            <w:tcBorders>
              <w:top w:val="single" w:color="auto" w:sz="2" w:space="0"/>
              <w:left w:val="single" w:color="auto" w:sz="2" w:space="0"/>
              <w:bottom w:val="single" w:color="auto" w:sz="2" w:space="0"/>
              <w:right w:val="single" w:color="auto" w:sz="2" w:space="0"/>
            </w:tcBorders>
            <w:vAlign w:val="center"/>
          </w:tcPr>
          <w:p w14:paraId="19D7713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2014年07月14日</w:t>
            </w:r>
          </w:p>
        </w:tc>
        <w:tc>
          <w:tcPr>
            <w:tcW w:w="0" w:type="auto"/>
            <w:tcBorders>
              <w:top w:val="single" w:color="auto" w:sz="2" w:space="0"/>
              <w:left w:val="single" w:color="auto" w:sz="2" w:space="0"/>
              <w:bottom w:val="single" w:color="auto" w:sz="2" w:space="0"/>
              <w:right w:val="single" w:color="auto" w:sz="2" w:space="0"/>
            </w:tcBorders>
            <w:vAlign w:val="center"/>
          </w:tcPr>
          <w:p w14:paraId="03E34430">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E6942A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2BA58C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577F98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39114D58">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播恩集团股份有限公司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6E8273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2CB5D58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2023年05月24日</w:t>
            </w:r>
          </w:p>
        </w:tc>
        <w:tc>
          <w:tcPr>
            <w:tcW w:w="0" w:type="auto"/>
            <w:tcBorders>
              <w:top w:val="single" w:color="auto" w:sz="2" w:space="0"/>
              <w:left w:val="single" w:color="auto" w:sz="2" w:space="0"/>
              <w:bottom w:val="single" w:color="auto" w:sz="2" w:space="0"/>
              <w:right w:val="single" w:color="auto" w:sz="2" w:space="0"/>
            </w:tcBorders>
            <w:vAlign w:val="center"/>
          </w:tcPr>
          <w:p w14:paraId="5003B3F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2026年05月23日</w:t>
            </w:r>
          </w:p>
        </w:tc>
        <w:tc>
          <w:tcPr>
            <w:tcW w:w="0" w:type="auto"/>
            <w:tcBorders>
              <w:top w:val="single" w:color="auto" w:sz="2" w:space="0"/>
              <w:left w:val="single" w:color="auto" w:sz="2" w:space="0"/>
              <w:bottom w:val="single" w:color="auto" w:sz="2" w:space="0"/>
              <w:right w:val="single" w:color="auto" w:sz="2" w:space="0"/>
            </w:tcBorders>
            <w:vAlign w:val="center"/>
          </w:tcPr>
          <w:p w14:paraId="06F5E7D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6381F6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B76EA6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26F57564">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福能东方装备科技股份有限公司</w:t>
            </w:r>
          </w:p>
        </w:tc>
        <w:tc>
          <w:tcPr>
            <w:tcW w:w="0" w:type="auto"/>
            <w:tcBorders>
              <w:top w:val="single" w:color="auto" w:sz="2" w:space="0"/>
              <w:left w:val="single" w:color="auto" w:sz="2" w:space="0"/>
              <w:bottom w:val="single" w:color="auto" w:sz="2" w:space="0"/>
              <w:right w:val="single" w:color="auto" w:sz="2" w:space="0"/>
            </w:tcBorders>
            <w:vAlign w:val="center"/>
          </w:tcPr>
          <w:p w14:paraId="2C71209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10BF314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2023年10月13日</w:t>
            </w:r>
          </w:p>
        </w:tc>
        <w:tc>
          <w:tcPr>
            <w:tcW w:w="0" w:type="auto"/>
            <w:tcBorders>
              <w:top w:val="single" w:color="auto" w:sz="2" w:space="0"/>
              <w:left w:val="single" w:color="auto" w:sz="2" w:space="0"/>
              <w:bottom w:val="single" w:color="auto" w:sz="2" w:space="0"/>
              <w:right w:val="single" w:color="auto" w:sz="2" w:space="0"/>
            </w:tcBorders>
            <w:vAlign w:val="center"/>
          </w:tcPr>
          <w:p w14:paraId="4366E22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2026年10月12日</w:t>
            </w:r>
          </w:p>
        </w:tc>
        <w:tc>
          <w:tcPr>
            <w:tcW w:w="0" w:type="auto"/>
            <w:tcBorders>
              <w:top w:val="single" w:color="auto" w:sz="2" w:space="0"/>
              <w:left w:val="single" w:color="auto" w:sz="2" w:space="0"/>
              <w:bottom w:val="single" w:color="auto" w:sz="2" w:space="0"/>
              <w:right w:val="single" w:color="auto" w:sz="2" w:space="0"/>
            </w:tcBorders>
            <w:vAlign w:val="center"/>
          </w:tcPr>
          <w:p w14:paraId="4EBEAEB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3E4FC6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162D8E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69AFBB92">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桂润环境科技股份有限公司</w:t>
            </w:r>
          </w:p>
        </w:tc>
        <w:tc>
          <w:tcPr>
            <w:tcW w:w="0" w:type="auto"/>
            <w:tcBorders>
              <w:top w:val="single" w:color="auto" w:sz="2" w:space="0"/>
              <w:left w:val="single" w:color="auto" w:sz="2" w:space="0"/>
              <w:bottom w:val="single" w:color="auto" w:sz="2" w:space="0"/>
              <w:right w:val="single" w:color="auto" w:sz="2" w:space="0"/>
            </w:tcBorders>
            <w:vAlign w:val="center"/>
          </w:tcPr>
          <w:p w14:paraId="340895D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0" w:type="auto"/>
            <w:tcBorders>
              <w:top w:val="single" w:color="auto" w:sz="2" w:space="0"/>
              <w:left w:val="single" w:color="auto" w:sz="2" w:space="0"/>
              <w:bottom w:val="single" w:color="auto" w:sz="2" w:space="0"/>
              <w:right w:val="single" w:color="auto" w:sz="2" w:space="0"/>
            </w:tcBorders>
            <w:vAlign w:val="center"/>
          </w:tcPr>
          <w:p w14:paraId="2497F99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2021年01月29日</w:t>
            </w:r>
          </w:p>
        </w:tc>
        <w:tc>
          <w:tcPr>
            <w:tcW w:w="0" w:type="auto"/>
            <w:tcBorders>
              <w:top w:val="single" w:color="auto" w:sz="2" w:space="0"/>
              <w:left w:val="single" w:color="auto" w:sz="2" w:space="0"/>
              <w:bottom w:val="single" w:color="auto" w:sz="2" w:space="0"/>
              <w:right w:val="single" w:color="auto" w:sz="2" w:space="0"/>
            </w:tcBorders>
            <w:vAlign w:val="center"/>
          </w:tcPr>
          <w:p w14:paraId="71C32447">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4E137B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0685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8A64E7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6EAB5F6D">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深圳市微源半导体股份有限公司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35098F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0" w:type="auto"/>
            <w:tcBorders>
              <w:top w:val="single" w:color="auto" w:sz="2" w:space="0"/>
              <w:left w:val="single" w:color="auto" w:sz="2" w:space="0"/>
              <w:bottom w:val="single" w:color="auto" w:sz="2" w:space="0"/>
              <w:right w:val="single" w:color="auto" w:sz="2" w:space="0"/>
            </w:tcBorders>
            <w:vAlign w:val="center"/>
          </w:tcPr>
          <w:p w14:paraId="4645D14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2020年12月17日</w:t>
            </w:r>
          </w:p>
        </w:tc>
        <w:tc>
          <w:tcPr>
            <w:tcW w:w="0" w:type="auto"/>
            <w:tcBorders>
              <w:top w:val="single" w:color="auto" w:sz="2" w:space="0"/>
              <w:left w:val="single" w:color="auto" w:sz="2" w:space="0"/>
              <w:bottom w:val="single" w:color="auto" w:sz="2" w:space="0"/>
              <w:right w:val="single" w:color="auto" w:sz="2" w:space="0"/>
            </w:tcBorders>
            <w:vAlign w:val="center"/>
          </w:tcPr>
          <w:p w14:paraId="52F0ABC8">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6FE874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7FB7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E8621A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0" w:type="auto"/>
            <w:tcBorders>
              <w:top w:val="single" w:color="auto" w:sz="2" w:space="0"/>
              <w:left w:val="single" w:color="auto" w:sz="2" w:space="0"/>
              <w:bottom w:val="single" w:color="auto" w:sz="2" w:space="0"/>
              <w:right w:val="single" w:color="auto" w:sz="2" w:space="0"/>
            </w:tcBorders>
            <w:vAlign w:val="center"/>
          </w:tcPr>
          <w:p w14:paraId="0E67AA6D">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南京孺子牛物业服务有限公司</w:t>
            </w:r>
          </w:p>
        </w:tc>
        <w:tc>
          <w:tcPr>
            <w:tcW w:w="0" w:type="auto"/>
            <w:tcBorders>
              <w:top w:val="single" w:color="auto" w:sz="2" w:space="0"/>
              <w:left w:val="single" w:color="auto" w:sz="2" w:space="0"/>
              <w:bottom w:val="single" w:color="auto" w:sz="2" w:space="0"/>
              <w:right w:val="single" w:color="auto" w:sz="2" w:space="0"/>
            </w:tcBorders>
            <w:vAlign w:val="center"/>
          </w:tcPr>
          <w:p w14:paraId="1AC2733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33737D6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2020年12月29日</w:t>
            </w:r>
          </w:p>
        </w:tc>
        <w:tc>
          <w:tcPr>
            <w:tcW w:w="0" w:type="auto"/>
            <w:tcBorders>
              <w:top w:val="single" w:color="auto" w:sz="2" w:space="0"/>
              <w:left w:val="single" w:color="auto" w:sz="2" w:space="0"/>
              <w:bottom w:val="single" w:color="auto" w:sz="2" w:space="0"/>
              <w:right w:val="single" w:color="auto" w:sz="2" w:space="0"/>
            </w:tcBorders>
            <w:vAlign w:val="center"/>
          </w:tcPr>
          <w:p w14:paraId="41F9C478">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CC187C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75683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3A1241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蔡浩</w:t>
            </w:r>
          </w:p>
        </w:tc>
        <w:tc>
          <w:tcPr>
            <w:tcW w:w="0" w:type="auto"/>
            <w:tcBorders>
              <w:top w:val="single" w:color="auto" w:sz="2" w:space="0"/>
              <w:left w:val="single" w:color="auto" w:sz="2" w:space="0"/>
              <w:bottom w:val="single" w:color="auto" w:sz="2" w:space="0"/>
              <w:right w:val="single" w:color="auto" w:sz="2" w:space="0"/>
            </w:tcBorders>
            <w:vAlign w:val="center"/>
          </w:tcPr>
          <w:p w14:paraId="05C73BBE">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汕头大学</w:t>
            </w:r>
          </w:p>
        </w:tc>
        <w:tc>
          <w:tcPr>
            <w:tcW w:w="0" w:type="auto"/>
            <w:tcBorders>
              <w:top w:val="single" w:color="auto" w:sz="2" w:space="0"/>
              <w:left w:val="single" w:color="auto" w:sz="2" w:space="0"/>
              <w:bottom w:val="single" w:color="auto" w:sz="2" w:space="0"/>
              <w:right w:val="single" w:color="auto" w:sz="2" w:space="0"/>
            </w:tcBorders>
            <w:vAlign w:val="center"/>
          </w:tcPr>
          <w:p w14:paraId="6670A45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教授</w:t>
            </w:r>
          </w:p>
        </w:tc>
        <w:tc>
          <w:tcPr>
            <w:tcW w:w="0" w:type="auto"/>
            <w:tcBorders>
              <w:top w:val="single" w:color="auto" w:sz="2" w:space="0"/>
              <w:left w:val="single" w:color="auto" w:sz="2" w:space="0"/>
              <w:bottom w:val="single" w:color="auto" w:sz="2" w:space="0"/>
              <w:right w:val="single" w:color="auto" w:sz="2" w:space="0"/>
            </w:tcBorders>
            <w:vAlign w:val="center"/>
          </w:tcPr>
          <w:p w14:paraId="2CF28A7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2012年06月01日</w:t>
            </w:r>
          </w:p>
        </w:tc>
        <w:tc>
          <w:tcPr>
            <w:tcW w:w="0" w:type="auto"/>
            <w:tcBorders>
              <w:top w:val="single" w:color="auto" w:sz="2" w:space="0"/>
              <w:left w:val="single" w:color="auto" w:sz="2" w:space="0"/>
              <w:bottom w:val="single" w:color="auto" w:sz="2" w:space="0"/>
              <w:right w:val="single" w:color="auto" w:sz="2" w:space="0"/>
            </w:tcBorders>
            <w:vAlign w:val="center"/>
          </w:tcPr>
          <w:p w14:paraId="75F54D0A">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773076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40311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FE0169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蔡浩</w:t>
            </w:r>
          </w:p>
        </w:tc>
        <w:tc>
          <w:tcPr>
            <w:tcW w:w="0" w:type="auto"/>
            <w:tcBorders>
              <w:top w:val="single" w:color="auto" w:sz="2" w:space="0"/>
              <w:left w:val="single" w:color="auto" w:sz="2" w:space="0"/>
              <w:bottom w:val="single" w:color="auto" w:sz="2" w:space="0"/>
              <w:right w:val="single" w:color="auto" w:sz="2" w:space="0"/>
            </w:tcBorders>
            <w:vAlign w:val="center"/>
          </w:tcPr>
          <w:p w14:paraId="6B999D90">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长沙中衡南绘信息科技有限公司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40FF593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6126DEE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2017年03月16日</w:t>
            </w:r>
          </w:p>
        </w:tc>
        <w:tc>
          <w:tcPr>
            <w:tcW w:w="0" w:type="auto"/>
            <w:tcBorders>
              <w:top w:val="single" w:color="auto" w:sz="2" w:space="0"/>
              <w:left w:val="single" w:color="auto" w:sz="2" w:space="0"/>
              <w:bottom w:val="single" w:color="auto" w:sz="2" w:space="0"/>
              <w:right w:val="single" w:color="auto" w:sz="2" w:space="0"/>
            </w:tcBorders>
            <w:vAlign w:val="center"/>
          </w:tcPr>
          <w:p w14:paraId="0F92829A">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F42368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F6A2C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161F07E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w:t>
            </w:r>
          </w:p>
        </w:tc>
        <w:tc>
          <w:tcPr>
            <w:tcW w:w="0" w:type="auto"/>
            <w:tcBorders>
              <w:top w:val="single" w:color="auto" w:sz="2" w:space="0"/>
              <w:left w:val="single" w:color="auto" w:sz="2" w:space="0"/>
              <w:bottom w:val="single" w:color="auto" w:sz="2" w:space="0"/>
              <w:right w:val="single" w:color="auto" w:sz="2" w:space="0"/>
            </w:tcBorders>
            <w:vAlign w:val="center"/>
          </w:tcPr>
          <w:p w14:paraId="565EF3E9">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广东本力律师事务所</w:t>
            </w:r>
          </w:p>
        </w:tc>
        <w:tc>
          <w:tcPr>
            <w:tcW w:w="0" w:type="auto"/>
            <w:tcBorders>
              <w:top w:val="single" w:color="auto" w:sz="2" w:space="0"/>
              <w:left w:val="single" w:color="auto" w:sz="2" w:space="0"/>
              <w:bottom w:val="single" w:color="auto" w:sz="2" w:space="0"/>
              <w:right w:val="single" w:color="auto" w:sz="2" w:space="0"/>
            </w:tcBorders>
            <w:vAlign w:val="center"/>
          </w:tcPr>
          <w:p w14:paraId="38C1B4B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主任律师</w:t>
            </w:r>
          </w:p>
        </w:tc>
        <w:tc>
          <w:tcPr>
            <w:tcW w:w="0" w:type="auto"/>
            <w:tcBorders>
              <w:top w:val="single" w:color="auto" w:sz="2" w:space="0"/>
              <w:left w:val="single" w:color="auto" w:sz="2" w:space="0"/>
              <w:bottom w:val="single" w:color="auto" w:sz="2" w:space="0"/>
              <w:right w:val="single" w:color="auto" w:sz="2" w:space="0"/>
            </w:tcBorders>
            <w:vAlign w:val="center"/>
          </w:tcPr>
          <w:p w14:paraId="1E45A31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2006年11月23日</w:t>
            </w:r>
          </w:p>
        </w:tc>
        <w:tc>
          <w:tcPr>
            <w:tcW w:w="0" w:type="auto"/>
            <w:tcBorders>
              <w:top w:val="single" w:color="auto" w:sz="2" w:space="0"/>
              <w:left w:val="single" w:color="auto" w:sz="2" w:space="0"/>
              <w:bottom w:val="single" w:color="auto" w:sz="2" w:space="0"/>
              <w:right w:val="single" w:color="auto" w:sz="2" w:space="0"/>
            </w:tcBorders>
            <w:vAlign w:val="center"/>
          </w:tcPr>
          <w:p w14:paraId="12FA0BBE">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80D9D5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25613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5BAF48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0" w:type="auto"/>
            <w:tcBorders>
              <w:top w:val="single" w:color="auto" w:sz="2" w:space="0"/>
              <w:left w:val="single" w:color="auto" w:sz="2" w:space="0"/>
              <w:bottom w:val="single" w:color="auto" w:sz="2" w:space="0"/>
              <w:right w:val="single" w:color="auto" w:sz="2" w:space="0"/>
            </w:tcBorders>
            <w:vAlign w:val="center"/>
          </w:tcPr>
          <w:p w14:paraId="73B98FDA">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深圳市润鹏建设工程有限公司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738E21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经理</w:t>
            </w:r>
          </w:p>
        </w:tc>
        <w:tc>
          <w:tcPr>
            <w:tcW w:w="0" w:type="auto"/>
            <w:tcBorders>
              <w:top w:val="single" w:color="auto" w:sz="2" w:space="0"/>
              <w:left w:val="single" w:color="auto" w:sz="2" w:space="0"/>
              <w:bottom w:val="single" w:color="auto" w:sz="2" w:space="0"/>
              <w:right w:val="single" w:color="auto" w:sz="2" w:space="0"/>
            </w:tcBorders>
            <w:vAlign w:val="center"/>
          </w:tcPr>
          <w:p w14:paraId="49EC7B2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2019年07月24日</w:t>
            </w:r>
          </w:p>
        </w:tc>
        <w:tc>
          <w:tcPr>
            <w:tcW w:w="0" w:type="auto"/>
            <w:tcBorders>
              <w:top w:val="single" w:color="auto" w:sz="2" w:space="0"/>
              <w:left w:val="single" w:color="auto" w:sz="2" w:space="0"/>
              <w:bottom w:val="single" w:color="auto" w:sz="2" w:space="0"/>
              <w:right w:val="single" w:color="auto" w:sz="2" w:space="0"/>
            </w:tcBorders>
            <w:vAlign w:val="center"/>
          </w:tcPr>
          <w:p w14:paraId="40553DAA">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469EF5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955D7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95AFA3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0" w:type="auto"/>
            <w:tcBorders>
              <w:top w:val="single" w:color="auto" w:sz="2" w:space="0"/>
              <w:left w:val="single" w:color="auto" w:sz="2" w:space="0"/>
              <w:bottom w:val="single" w:color="auto" w:sz="2" w:space="0"/>
              <w:right w:val="single" w:color="auto" w:sz="2" w:space="0"/>
            </w:tcBorders>
            <w:vAlign w:val="center"/>
          </w:tcPr>
          <w:p w14:paraId="4AAE5D04">
            <w:pPr>
              <w:spacing w:line="240" w:lineRule="exact"/>
              <w:jc w:val="both"/>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广东亿嘉地产有限公司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81969D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执行董事、经理、法定代表人</w:t>
            </w:r>
          </w:p>
        </w:tc>
        <w:tc>
          <w:tcPr>
            <w:tcW w:w="0" w:type="auto"/>
            <w:tcBorders>
              <w:top w:val="single" w:color="auto" w:sz="2" w:space="0"/>
              <w:left w:val="single" w:color="auto" w:sz="2" w:space="0"/>
              <w:bottom w:val="single" w:color="auto" w:sz="2" w:space="0"/>
              <w:right w:val="single" w:color="auto" w:sz="2" w:space="0"/>
            </w:tcBorders>
            <w:vAlign w:val="center"/>
          </w:tcPr>
          <w:p w14:paraId="0211100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2019年07月24日</w:t>
            </w:r>
          </w:p>
        </w:tc>
        <w:tc>
          <w:tcPr>
            <w:tcW w:w="0" w:type="auto"/>
            <w:tcBorders>
              <w:top w:val="single" w:color="auto" w:sz="2" w:space="0"/>
              <w:left w:val="single" w:color="auto" w:sz="2" w:space="0"/>
              <w:bottom w:val="single" w:color="auto" w:sz="2" w:space="0"/>
              <w:right w:val="single" w:color="auto" w:sz="2" w:space="0"/>
            </w:tcBorders>
            <w:vAlign w:val="center"/>
          </w:tcPr>
          <w:p w14:paraId="2A2D3B33">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F42F87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FED8C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A72E85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0" w:type="auto"/>
            <w:tcBorders>
              <w:top w:val="single" w:color="auto" w:sz="2" w:space="0"/>
              <w:left w:val="single" w:color="auto" w:sz="2" w:space="0"/>
              <w:bottom w:val="single" w:color="auto" w:sz="2" w:space="0"/>
              <w:right w:val="single" w:color="auto" w:sz="2" w:space="0"/>
            </w:tcBorders>
            <w:vAlign w:val="center"/>
          </w:tcPr>
          <w:p w14:paraId="45FB021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汕头经济特区通发厂房开发有限公司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0AC73B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执行董事、经理、法定代表人</w:t>
            </w:r>
          </w:p>
        </w:tc>
        <w:tc>
          <w:tcPr>
            <w:tcW w:w="0" w:type="auto"/>
            <w:tcBorders>
              <w:top w:val="single" w:color="auto" w:sz="2" w:space="0"/>
              <w:left w:val="single" w:color="auto" w:sz="2" w:space="0"/>
              <w:bottom w:val="single" w:color="auto" w:sz="2" w:space="0"/>
              <w:right w:val="single" w:color="auto" w:sz="2" w:space="0"/>
            </w:tcBorders>
            <w:vAlign w:val="center"/>
          </w:tcPr>
          <w:p w14:paraId="52AE634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2019年07月24日</w:t>
            </w:r>
          </w:p>
        </w:tc>
        <w:tc>
          <w:tcPr>
            <w:tcW w:w="0" w:type="auto"/>
            <w:tcBorders>
              <w:top w:val="single" w:color="auto" w:sz="2" w:space="0"/>
              <w:left w:val="single" w:color="auto" w:sz="2" w:space="0"/>
              <w:bottom w:val="single" w:color="auto" w:sz="2" w:space="0"/>
              <w:right w:val="single" w:color="auto" w:sz="2" w:space="0"/>
            </w:tcBorders>
            <w:vAlign w:val="center"/>
          </w:tcPr>
          <w:p w14:paraId="4DB7041A">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0B746D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D2851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86A0EE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张毅</w:t>
            </w:r>
          </w:p>
        </w:tc>
        <w:tc>
          <w:tcPr>
            <w:tcW w:w="0" w:type="auto"/>
            <w:tcBorders>
              <w:top w:val="single" w:color="auto" w:sz="2" w:space="0"/>
              <w:left w:val="single" w:color="auto" w:sz="2" w:space="0"/>
              <w:bottom w:val="single" w:color="auto" w:sz="2" w:space="0"/>
              <w:right w:val="single" w:color="auto" w:sz="2" w:space="0"/>
            </w:tcBorders>
            <w:vAlign w:val="center"/>
          </w:tcPr>
          <w:p w14:paraId="7BEA108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汕头市百骏驾驶考培有限公司</w:t>
            </w:r>
          </w:p>
        </w:tc>
        <w:tc>
          <w:tcPr>
            <w:tcW w:w="0" w:type="auto"/>
            <w:tcBorders>
              <w:top w:val="single" w:color="auto" w:sz="2" w:space="0"/>
              <w:left w:val="single" w:color="auto" w:sz="2" w:space="0"/>
              <w:bottom w:val="single" w:color="auto" w:sz="2" w:space="0"/>
              <w:right w:val="single" w:color="auto" w:sz="2" w:space="0"/>
            </w:tcBorders>
            <w:vAlign w:val="center"/>
          </w:tcPr>
          <w:p w14:paraId="2CDCCDB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w:t>
            </w:r>
          </w:p>
        </w:tc>
        <w:tc>
          <w:tcPr>
            <w:tcW w:w="0" w:type="auto"/>
            <w:tcBorders>
              <w:top w:val="single" w:color="auto" w:sz="2" w:space="0"/>
              <w:left w:val="single" w:color="auto" w:sz="2" w:space="0"/>
              <w:bottom w:val="single" w:color="auto" w:sz="2" w:space="0"/>
              <w:right w:val="single" w:color="auto" w:sz="2" w:space="0"/>
            </w:tcBorders>
            <w:vAlign w:val="center"/>
          </w:tcPr>
          <w:p w14:paraId="36B4725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2016年07月06日</w:t>
            </w:r>
          </w:p>
        </w:tc>
        <w:tc>
          <w:tcPr>
            <w:tcW w:w="0" w:type="auto"/>
            <w:tcBorders>
              <w:top w:val="single" w:color="auto" w:sz="2" w:space="0"/>
              <w:left w:val="single" w:color="auto" w:sz="2" w:space="0"/>
              <w:bottom w:val="single" w:color="auto" w:sz="2" w:space="0"/>
              <w:right w:val="single" w:color="auto" w:sz="2" w:space="0"/>
            </w:tcBorders>
            <w:vAlign w:val="center"/>
          </w:tcPr>
          <w:p w14:paraId="4C41B46C">
            <w:pPr>
              <w:spacing w:line="240" w:lineRule="exact"/>
              <w:jc w:val="center"/>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478902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3C634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2E4FB9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李华青</w:t>
            </w:r>
          </w:p>
        </w:tc>
        <w:tc>
          <w:tcPr>
            <w:tcW w:w="0" w:type="auto"/>
            <w:tcBorders>
              <w:top w:val="single" w:color="auto" w:sz="2" w:space="0"/>
              <w:left w:val="single" w:color="auto" w:sz="2" w:space="0"/>
              <w:bottom w:val="single" w:color="auto" w:sz="2" w:space="0"/>
              <w:right w:val="single" w:color="auto" w:sz="2" w:space="0"/>
            </w:tcBorders>
            <w:vAlign w:val="center"/>
          </w:tcPr>
          <w:p w14:paraId="6EC58D2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广东万年青制药股份有限公司</w:t>
            </w:r>
          </w:p>
        </w:tc>
        <w:tc>
          <w:tcPr>
            <w:tcW w:w="0" w:type="auto"/>
            <w:tcBorders>
              <w:top w:val="single" w:color="auto" w:sz="2" w:space="0"/>
              <w:left w:val="single" w:color="auto" w:sz="2" w:space="0"/>
              <w:bottom w:val="single" w:color="auto" w:sz="2" w:space="0"/>
              <w:right w:val="single" w:color="auto" w:sz="2" w:space="0"/>
            </w:tcBorders>
            <w:vAlign w:val="center"/>
          </w:tcPr>
          <w:p w14:paraId="4C3BFA8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0" w:type="auto"/>
            <w:tcBorders>
              <w:top w:val="single" w:color="auto" w:sz="2" w:space="0"/>
              <w:left w:val="single" w:color="auto" w:sz="2" w:space="0"/>
              <w:bottom w:val="single" w:color="auto" w:sz="2" w:space="0"/>
              <w:right w:val="single" w:color="auto" w:sz="2" w:space="0"/>
            </w:tcBorders>
            <w:vAlign w:val="center"/>
          </w:tcPr>
          <w:p w14:paraId="2EA435B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2024年07月18日</w:t>
            </w:r>
          </w:p>
        </w:tc>
        <w:tc>
          <w:tcPr>
            <w:tcW w:w="0" w:type="auto"/>
            <w:tcBorders>
              <w:top w:val="single" w:color="auto" w:sz="2" w:space="0"/>
              <w:left w:val="single" w:color="auto" w:sz="2" w:space="0"/>
              <w:bottom w:val="single" w:color="auto" w:sz="2" w:space="0"/>
              <w:right w:val="single" w:color="auto" w:sz="2" w:space="0"/>
            </w:tcBorders>
            <w:vAlign w:val="center"/>
          </w:tcPr>
          <w:p w14:paraId="31DDB7B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2027年07月17日</w:t>
            </w:r>
          </w:p>
        </w:tc>
        <w:tc>
          <w:tcPr>
            <w:tcW w:w="0" w:type="auto"/>
            <w:tcBorders>
              <w:top w:val="single" w:color="auto" w:sz="2" w:space="0"/>
              <w:left w:val="single" w:color="auto" w:sz="2" w:space="0"/>
              <w:bottom w:val="single" w:color="auto" w:sz="2" w:space="0"/>
              <w:right w:val="single" w:color="auto" w:sz="2" w:space="0"/>
            </w:tcBorders>
            <w:vAlign w:val="center"/>
          </w:tcPr>
          <w:p w14:paraId="22564F1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C0276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DECF8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在其他单位任职情况的说明</w:t>
            </w:r>
          </w:p>
        </w:tc>
        <w:tc>
          <w:tcPr>
            <w:tcW w:w="0" w:type="auto"/>
            <w:gridSpan w:val="5"/>
            <w:tcBorders>
              <w:top w:val="single" w:color="auto" w:sz="2" w:space="0"/>
              <w:left w:val="single" w:color="auto" w:sz="2" w:space="0"/>
              <w:bottom w:val="single" w:color="auto" w:sz="2" w:space="0"/>
              <w:right w:val="single" w:color="auto" w:sz="2" w:space="0"/>
            </w:tcBorders>
            <w:vAlign w:val="center"/>
          </w:tcPr>
          <w:p w14:paraId="0C676A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bl>
    <w:p w14:paraId="442FC23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公司现任及报告期内离任董事、监事和高级管理人员近三年证券监管机构处罚的情况</w:t>
      </w:r>
    </w:p>
    <w:p w14:paraId="01CB48D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1E53BDA">
      <w:pPr>
        <w:pStyle w:val="3"/>
        <w:spacing w:line="280" w:lineRule="exact"/>
        <w:jc w:val="left"/>
        <w:rPr>
          <w:rFonts w:ascii="Times New Roman" w:hAnsi="Times New Roman" w:cs="Times New Roman" w:eastAsiaTheme="majorEastAsia"/>
          <w:b/>
          <w:bCs/>
        </w:rPr>
      </w:pPr>
      <w:bookmarkStart w:id="67" w:name="_Toc988956"/>
      <w:r>
        <w:rPr>
          <w:rFonts w:ascii="Times New Roman" w:hAnsi="Times New Roman" w:cs="Times New Roman" w:eastAsiaTheme="majorEastAsia"/>
          <w:b/>
          <w:bCs/>
        </w:rPr>
        <w:t>3、董事、监事、高级管理人员报酬情况</w:t>
      </w:r>
      <w:bookmarkEnd w:id="67"/>
    </w:p>
    <w:p w14:paraId="01667A9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董事、监事、高级管理人员报酬的决策程序、确定依据、实际支付情况</w:t>
      </w:r>
    </w:p>
    <w:p w14:paraId="67D0F5F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（1）薪酬组成</w:t>
      </w:r>
    </w:p>
    <w:p w14:paraId="4C059FD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除独立董事、外部董事外，公司其他董事、监事、高级管理人员的薪酬主要由固定工资、绩效工资和年终奖金构成。其中，每月固定工资根据上述人员加入公司年限、个人能力、工作内容与强度、同行业平均工资水平综合考虑确定；每月绩效工资根据当月工作考核结果确定；年终奖金根据年度绩效考核结果确定。此外，在公司任职的董事、监事、高级管理人员不再领取津贴。</w:t>
      </w:r>
    </w:p>
    <w:p w14:paraId="358FD06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独立董事及不在公司任职的外部董事领取董事津贴。</w:t>
      </w:r>
    </w:p>
    <w:p w14:paraId="54E13D2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（2）确定依据</w:t>
      </w:r>
    </w:p>
    <w:p w14:paraId="0131867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薪酬与考核委员会听取董事和高级管理人员的述职和自我评价，按绩效评价标准和程序，对董事及高级管理人员进行绩效评价，根据岗位绩效评价结果及薪酬分配政策并结合地区和行业薪酬水平，提出董事及高级管理人员的报酬数额和奖励方式，参考表决通过后，提交公司董事会、股东会审议通过后实行。</w:t>
      </w:r>
    </w:p>
    <w:p w14:paraId="2D8CF27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监事薪酬待遇方案参照在公司任职董事薪酬待遇方案拟定，提交公司股东会审议通过后实行。</w:t>
      </w:r>
    </w:p>
    <w:p w14:paraId="4CBE514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（3）履行程序</w:t>
      </w:r>
    </w:p>
    <w:p w14:paraId="58657EA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 xml:space="preserve">公司于2024年4月25日召开第三届董事会第二十二次会议、第三届监事会第二十次会议，并于2024年5月20日召开2023年年度股东大会，审议通过了《关于公司董事及高级管理人员2024年度薪酬待遇方案的议案》《关于公司监事2024年度薪酬待遇方案的议案》。 </w:t>
      </w:r>
    </w:p>
    <w:p w14:paraId="1DC82B7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公司报告期内董事、监事和高级管理人员报酬情况</w:t>
      </w:r>
    </w:p>
    <w:p w14:paraId="228D434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0008C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6F1D9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姓名</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B210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性别</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96EE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年龄</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E789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职务</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7CDBCA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任职状态</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4565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从公司获得的税前报酬总额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2FF3F9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是否在公司关联方获取报酬</w:t>
            </w:r>
          </w:p>
        </w:tc>
      </w:tr>
      <w:tr w14:paraId="0B1A30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98026C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1377" w:type="dxa"/>
            <w:tcBorders>
              <w:top w:val="single" w:color="auto" w:sz="2" w:space="0"/>
              <w:left w:val="single" w:color="auto" w:sz="2" w:space="0"/>
              <w:bottom w:val="single" w:color="auto" w:sz="2" w:space="0"/>
              <w:right w:val="single" w:color="auto" w:sz="2" w:space="0"/>
            </w:tcBorders>
            <w:vAlign w:val="center"/>
          </w:tcPr>
          <w:p w14:paraId="27AFAC0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1995766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53</w:t>
            </w:r>
          </w:p>
        </w:tc>
        <w:tc>
          <w:tcPr>
            <w:tcW w:w="1377" w:type="dxa"/>
            <w:tcBorders>
              <w:top w:val="single" w:color="auto" w:sz="2" w:space="0"/>
              <w:left w:val="single" w:color="auto" w:sz="2" w:space="0"/>
              <w:bottom w:val="single" w:color="auto" w:sz="2" w:space="0"/>
              <w:right w:val="single" w:color="auto" w:sz="2" w:space="0"/>
            </w:tcBorders>
            <w:vAlign w:val="center"/>
          </w:tcPr>
          <w:p w14:paraId="4F4E4AA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董事长</w:t>
            </w:r>
          </w:p>
        </w:tc>
        <w:tc>
          <w:tcPr>
            <w:tcW w:w="1377" w:type="dxa"/>
            <w:tcBorders>
              <w:top w:val="single" w:color="auto" w:sz="2" w:space="0"/>
              <w:left w:val="single" w:color="auto" w:sz="2" w:space="0"/>
              <w:bottom w:val="single" w:color="auto" w:sz="2" w:space="0"/>
              <w:right w:val="single" w:color="auto" w:sz="2" w:space="0"/>
            </w:tcBorders>
            <w:vAlign w:val="center"/>
          </w:tcPr>
          <w:p w14:paraId="2494B56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047D4C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73.61</w:t>
            </w:r>
          </w:p>
        </w:tc>
        <w:tc>
          <w:tcPr>
            <w:tcW w:w="1377" w:type="dxa"/>
            <w:tcBorders>
              <w:top w:val="single" w:color="auto" w:sz="2" w:space="0"/>
              <w:left w:val="single" w:color="auto" w:sz="2" w:space="0"/>
              <w:bottom w:val="single" w:color="auto" w:sz="2" w:space="0"/>
              <w:right w:val="single" w:color="auto" w:sz="2" w:space="0"/>
            </w:tcBorders>
            <w:vAlign w:val="center"/>
          </w:tcPr>
          <w:p w14:paraId="4C07172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2EDB94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357C4D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1377" w:type="dxa"/>
            <w:tcBorders>
              <w:top w:val="single" w:color="auto" w:sz="2" w:space="0"/>
              <w:left w:val="single" w:color="auto" w:sz="2" w:space="0"/>
              <w:bottom w:val="single" w:color="auto" w:sz="2" w:space="0"/>
              <w:right w:val="single" w:color="auto" w:sz="2" w:space="0"/>
            </w:tcBorders>
            <w:vAlign w:val="center"/>
          </w:tcPr>
          <w:p w14:paraId="711609B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485C03B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52</w:t>
            </w:r>
          </w:p>
        </w:tc>
        <w:tc>
          <w:tcPr>
            <w:tcW w:w="1377" w:type="dxa"/>
            <w:tcBorders>
              <w:top w:val="single" w:color="auto" w:sz="2" w:space="0"/>
              <w:left w:val="single" w:color="auto" w:sz="2" w:space="0"/>
              <w:bottom w:val="single" w:color="auto" w:sz="2" w:space="0"/>
              <w:right w:val="single" w:color="auto" w:sz="2" w:space="0"/>
            </w:tcBorders>
            <w:vAlign w:val="center"/>
          </w:tcPr>
          <w:p w14:paraId="1DBF3B1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副董事长、总经理</w:t>
            </w:r>
          </w:p>
        </w:tc>
        <w:tc>
          <w:tcPr>
            <w:tcW w:w="1377" w:type="dxa"/>
            <w:tcBorders>
              <w:top w:val="single" w:color="auto" w:sz="2" w:space="0"/>
              <w:left w:val="single" w:color="auto" w:sz="2" w:space="0"/>
              <w:bottom w:val="single" w:color="auto" w:sz="2" w:space="0"/>
              <w:right w:val="single" w:color="auto" w:sz="2" w:space="0"/>
            </w:tcBorders>
            <w:vAlign w:val="center"/>
          </w:tcPr>
          <w:p w14:paraId="7320FA2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7F16C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56.02</w:t>
            </w:r>
          </w:p>
        </w:tc>
        <w:tc>
          <w:tcPr>
            <w:tcW w:w="1377" w:type="dxa"/>
            <w:tcBorders>
              <w:top w:val="single" w:color="auto" w:sz="2" w:space="0"/>
              <w:left w:val="single" w:color="auto" w:sz="2" w:space="0"/>
              <w:bottom w:val="single" w:color="auto" w:sz="2" w:space="0"/>
              <w:right w:val="single" w:color="auto" w:sz="2" w:space="0"/>
            </w:tcBorders>
            <w:vAlign w:val="center"/>
          </w:tcPr>
          <w:p w14:paraId="0DB808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F89E0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5648B7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高俊斌</w:t>
            </w:r>
          </w:p>
        </w:tc>
        <w:tc>
          <w:tcPr>
            <w:tcW w:w="1377" w:type="dxa"/>
            <w:tcBorders>
              <w:top w:val="single" w:color="auto" w:sz="2" w:space="0"/>
              <w:left w:val="single" w:color="auto" w:sz="2" w:space="0"/>
              <w:bottom w:val="single" w:color="auto" w:sz="2" w:space="0"/>
              <w:right w:val="single" w:color="auto" w:sz="2" w:space="0"/>
            </w:tcBorders>
            <w:vAlign w:val="center"/>
          </w:tcPr>
          <w:p w14:paraId="672C37B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20874ED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40</w:t>
            </w:r>
          </w:p>
        </w:tc>
        <w:tc>
          <w:tcPr>
            <w:tcW w:w="1377" w:type="dxa"/>
            <w:tcBorders>
              <w:top w:val="single" w:color="auto" w:sz="2" w:space="0"/>
              <w:left w:val="single" w:color="auto" w:sz="2" w:space="0"/>
              <w:bottom w:val="single" w:color="auto" w:sz="2" w:space="0"/>
              <w:right w:val="single" w:color="auto" w:sz="2" w:space="0"/>
            </w:tcBorders>
            <w:vAlign w:val="center"/>
          </w:tcPr>
          <w:p w14:paraId="59043A7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1377" w:type="dxa"/>
            <w:tcBorders>
              <w:top w:val="single" w:color="auto" w:sz="2" w:space="0"/>
              <w:left w:val="single" w:color="auto" w:sz="2" w:space="0"/>
              <w:bottom w:val="single" w:color="auto" w:sz="2" w:space="0"/>
              <w:right w:val="single" w:color="auto" w:sz="2" w:space="0"/>
            </w:tcBorders>
            <w:vAlign w:val="center"/>
          </w:tcPr>
          <w:p w14:paraId="1E4881C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7A373C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25.66</w:t>
            </w:r>
          </w:p>
        </w:tc>
        <w:tc>
          <w:tcPr>
            <w:tcW w:w="1377" w:type="dxa"/>
            <w:tcBorders>
              <w:top w:val="single" w:color="auto" w:sz="2" w:space="0"/>
              <w:left w:val="single" w:color="auto" w:sz="2" w:space="0"/>
              <w:bottom w:val="single" w:color="auto" w:sz="2" w:space="0"/>
              <w:right w:val="single" w:color="auto" w:sz="2" w:space="0"/>
            </w:tcBorders>
            <w:vAlign w:val="center"/>
          </w:tcPr>
          <w:p w14:paraId="325C3A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B8610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5466EF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张毅</w:t>
            </w:r>
          </w:p>
        </w:tc>
        <w:tc>
          <w:tcPr>
            <w:tcW w:w="1377" w:type="dxa"/>
            <w:tcBorders>
              <w:top w:val="single" w:color="auto" w:sz="2" w:space="0"/>
              <w:left w:val="single" w:color="auto" w:sz="2" w:space="0"/>
              <w:bottom w:val="single" w:color="auto" w:sz="2" w:space="0"/>
              <w:right w:val="single" w:color="auto" w:sz="2" w:space="0"/>
            </w:tcBorders>
            <w:vAlign w:val="center"/>
          </w:tcPr>
          <w:p w14:paraId="7C0A57C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2A9DE5C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53</w:t>
            </w:r>
          </w:p>
        </w:tc>
        <w:tc>
          <w:tcPr>
            <w:tcW w:w="1377" w:type="dxa"/>
            <w:tcBorders>
              <w:top w:val="single" w:color="auto" w:sz="2" w:space="0"/>
              <w:left w:val="single" w:color="auto" w:sz="2" w:space="0"/>
              <w:bottom w:val="single" w:color="auto" w:sz="2" w:space="0"/>
              <w:right w:val="single" w:color="auto" w:sz="2" w:space="0"/>
            </w:tcBorders>
            <w:vAlign w:val="center"/>
          </w:tcPr>
          <w:p w14:paraId="458DBBE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1377" w:type="dxa"/>
            <w:tcBorders>
              <w:top w:val="single" w:color="auto" w:sz="2" w:space="0"/>
              <w:left w:val="single" w:color="auto" w:sz="2" w:space="0"/>
              <w:bottom w:val="single" w:color="auto" w:sz="2" w:space="0"/>
              <w:right w:val="single" w:color="auto" w:sz="2" w:space="0"/>
            </w:tcBorders>
            <w:vAlign w:val="center"/>
          </w:tcPr>
          <w:p w14:paraId="34FAFCA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C56D0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21.74</w:t>
            </w:r>
          </w:p>
        </w:tc>
        <w:tc>
          <w:tcPr>
            <w:tcW w:w="1377" w:type="dxa"/>
            <w:tcBorders>
              <w:top w:val="single" w:color="auto" w:sz="2" w:space="0"/>
              <w:left w:val="single" w:color="auto" w:sz="2" w:space="0"/>
              <w:bottom w:val="single" w:color="auto" w:sz="2" w:space="0"/>
              <w:right w:val="single" w:color="auto" w:sz="2" w:space="0"/>
            </w:tcBorders>
            <w:vAlign w:val="center"/>
          </w:tcPr>
          <w:p w14:paraId="01475E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3843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B685C0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1377" w:type="dxa"/>
            <w:tcBorders>
              <w:top w:val="single" w:color="auto" w:sz="2" w:space="0"/>
              <w:left w:val="single" w:color="auto" w:sz="2" w:space="0"/>
              <w:bottom w:val="single" w:color="auto" w:sz="2" w:space="0"/>
              <w:right w:val="single" w:color="auto" w:sz="2" w:space="0"/>
            </w:tcBorders>
            <w:vAlign w:val="center"/>
          </w:tcPr>
          <w:p w14:paraId="5467EF6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6573C89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46</w:t>
            </w:r>
          </w:p>
        </w:tc>
        <w:tc>
          <w:tcPr>
            <w:tcW w:w="1377" w:type="dxa"/>
            <w:tcBorders>
              <w:top w:val="single" w:color="auto" w:sz="2" w:space="0"/>
              <w:left w:val="single" w:color="auto" w:sz="2" w:space="0"/>
              <w:bottom w:val="single" w:color="auto" w:sz="2" w:space="0"/>
              <w:right w:val="single" w:color="auto" w:sz="2" w:space="0"/>
            </w:tcBorders>
            <w:vAlign w:val="center"/>
          </w:tcPr>
          <w:p w14:paraId="149B1E4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1377" w:type="dxa"/>
            <w:tcBorders>
              <w:top w:val="single" w:color="auto" w:sz="2" w:space="0"/>
              <w:left w:val="single" w:color="auto" w:sz="2" w:space="0"/>
              <w:bottom w:val="single" w:color="auto" w:sz="2" w:space="0"/>
              <w:right w:val="single" w:color="auto" w:sz="2" w:space="0"/>
            </w:tcBorders>
            <w:vAlign w:val="center"/>
          </w:tcPr>
          <w:p w14:paraId="35ABFF1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FF4E1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w:t>
            </w:r>
          </w:p>
        </w:tc>
        <w:tc>
          <w:tcPr>
            <w:tcW w:w="1377" w:type="dxa"/>
            <w:tcBorders>
              <w:top w:val="single" w:color="auto" w:sz="2" w:space="0"/>
              <w:left w:val="single" w:color="auto" w:sz="2" w:space="0"/>
              <w:bottom w:val="single" w:color="auto" w:sz="2" w:space="0"/>
              <w:right w:val="single" w:color="auto" w:sz="2" w:space="0"/>
            </w:tcBorders>
            <w:vAlign w:val="center"/>
          </w:tcPr>
          <w:p w14:paraId="24B8B9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EAF19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F5F75A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蔡浩</w:t>
            </w:r>
          </w:p>
        </w:tc>
        <w:tc>
          <w:tcPr>
            <w:tcW w:w="1377" w:type="dxa"/>
            <w:tcBorders>
              <w:top w:val="single" w:color="auto" w:sz="2" w:space="0"/>
              <w:left w:val="single" w:color="auto" w:sz="2" w:space="0"/>
              <w:bottom w:val="single" w:color="auto" w:sz="2" w:space="0"/>
              <w:right w:val="single" w:color="auto" w:sz="2" w:space="0"/>
            </w:tcBorders>
            <w:vAlign w:val="center"/>
          </w:tcPr>
          <w:p w14:paraId="3EB8D83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2B1C5F0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50</w:t>
            </w:r>
          </w:p>
        </w:tc>
        <w:tc>
          <w:tcPr>
            <w:tcW w:w="1377" w:type="dxa"/>
            <w:tcBorders>
              <w:top w:val="single" w:color="auto" w:sz="2" w:space="0"/>
              <w:left w:val="single" w:color="auto" w:sz="2" w:space="0"/>
              <w:bottom w:val="single" w:color="auto" w:sz="2" w:space="0"/>
              <w:right w:val="single" w:color="auto" w:sz="2" w:space="0"/>
            </w:tcBorders>
            <w:vAlign w:val="center"/>
          </w:tcPr>
          <w:p w14:paraId="75AC92D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1377" w:type="dxa"/>
            <w:tcBorders>
              <w:top w:val="single" w:color="auto" w:sz="2" w:space="0"/>
              <w:left w:val="single" w:color="auto" w:sz="2" w:space="0"/>
              <w:bottom w:val="single" w:color="auto" w:sz="2" w:space="0"/>
              <w:right w:val="single" w:color="auto" w:sz="2" w:space="0"/>
            </w:tcBorders>
            <w:vAlign w:val="center"/>
          </w:tcPr>
          <w:p w14:paraId="7D7189F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B61BE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w:t>
            </w:r>
          </w:p>
        </w:tc>
        <w:tc>
          <w:tcPr>
            <w:tcW w:w="1377" w:type="dxa"/>
            <w:tcBorders>
              <w:top w:val="single" w:color="auto" w:sz="2" w:space="0"/>
              <w:left w:val="single" w:color="auto" w:sz="2" w:space="0"/>
              <w:bottom w:val="single" w:color="auto" w:sz="2" w:space="0"/>
              <w:right w:val="single" w:color="auto" w:sz="2" w:space="0"/>
            </w:tcBorders>
            <w:vAlign w:val="center"/>
          </w:tcPr>
          <w:p w14:paraId="7817DF8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67D56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ED8656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w:t>
            </w:r>
          </w:p>
        </w:tc>
        <w:tc>
          <w:tcPr>
            <w:tcW w:w="1377" w:type="dxa"/>
            <w:tcBorders>
              <w:top w:val="single" w:color="auto" w:sz="2" w:space="0"/>
              <w:left w:val="single" w:color="auto" w:sz="2" w:space="0"/>
              <w:bottom w:val="single" w:color="auto" w:sz="2" w:space="0"/>
              <w:right w:val="single" w:color="auto" w:sz="2" w:space="0"/>
            </w:tcBorders>
            <w:vAlign w:val="center"/>
          </w:tcPr>
          <w:p w14:paraId="4451672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5BA734E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51</w:t>
            </w:r>
          </w:p>
        </w:tc>
        <w:tc>
          <w:tcPr>
            <w:tcW w:w="1377" w:type="dxa"/>
            <w:tcBorders>
              <w:top w:val="single" w:color="auto" w:sz="2" w:space="0"/>
              <w:left w:val="single" w:color="auto" w:sz="2" w:space="0"/>
              <w:bottom w:val="single" w:color="auto" w:sz="2" w:space="0"/>
              <w:right w:val="single" w:color="auto" w:sz="2" w:space="0"/>
            </w:tcBorders>
            <w:vAlign w:val="center"/>
          </w:tcPr>
          <w:p w14:paraId="06FB02E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w:t>
            </w:r>
          </w:p>
        </w:tc>
        <w:tc>
          <w:tcPr>
            <w:tcW w:w="1377" w:type="dxa"/>
            <w:tcBorders>
              <w:top w:val="single" w:color="auto" w:sz="2" w:space="0"/>
              <w:left w:val="single" w:color="auto" w:sz="2" w:space="0"/>
              <w:bottom w:val="single" w:color="auto" w:sz="2" w:space="0"/>
              <w:right w:val="single" w:color="auto" w:sz="2" w:space="0"/>
            </w:tcBorders>
            <w:vAlign w:val="center"/>
          </w:tcPr>
          <w:p w14:paraId="2172701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53AB45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w:t>
            </w:r>
          </w:p>
        </w:tc>
        <w:tc>
          <w:tcPr>
            <w:tcW w:w="1377" w:type="dxa"/>
            <w:tcBorders>
              <w:top w:val="single" w:color="auto" w:sz="2" w:space="0"/>
              <w:left w:val="single" w:color="auto" w:sz="2" w:space="0"/>
              <w:bottom w:val="single" w:color="auto" w:sz="2" w:space="0"/>
              <w:right w:val="single" w:color="auto" w:sz="2" w:space="0"/>
            </w:tcBorders>
            <w:vAlign w:val="center"/>
          </w:tcPr>
          <w:p w14:paraId="3E7617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77154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407307D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1377" w:type="dxa"/>
            <w:tcBorders>
              <w:top w:val="single" w:color="auto" w:sz="2" w:space="0"/>
              <w:left w:val="single" w:color="auto" w:sz="2" w:space="0"/>
              <w:bottom w:val="single" w:color="auto" w:sz="2" w:space="0"/>
              <w:right w:val="single" w:color="auto" w:sz="2" w:space="0"/>
            </w:tcBorders>
            <w:vAlign w:val="center"/>
          </w:tcPr>
          <w:p w14:paraId="1C3CE56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4BF7373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32</w:t>
            </w:r>
          </w:p>
        </w:tc>
        <w:tc>
          <w:tcPr>
            <w:tcW w:w="1377" w:type="dxa"/>
            <w:tcBorders>
              <w:top w:val="single" w:color="auto" w:sz="2" w:space="0"/>
              <w:left w:val="single" w:color="auto" w:sz="2" w:space="0"/>
              <w:bottom w:val="single" w:color="auto" w:sz="2" w:space="0"/>
              <w:right w:val="single" w:color="auto" w:sz="2" w:space="0"/>
            </w:tcBorders>
            <w:vAlign w:val="center"/>
          </w:tcPr>
          <w:p w14:paraId="6C7B786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1377" w:type="dxa"/>
            <w:tcBorders>
              <w:top w:val="single" w:color="auto" w:sz="2" w:space="0"/>
              <w:left w:val="single" w:color="auto" w:sz="2" w:space="0"/>
              <w:bottom w:val="single" w:color="auto" w:sz="2" w:space="0"/>
              <w:right w:val="single" w:color="auto" w:sz="2" w:space="0"/>
            </w:tcBorders>
            <w:vAlign w:val="center"/>
          </w:tcPr>
          <w:p w14:paraId="149A343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3B9D58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w:t>
            </w:r>
          </w:p>
        </w:tc>
        <w:tc>
          <w:tcPr>
            <w:tcW w:w="1377" w:type="dxa"/>
            <w:tcBorders>
              <w:top w:val="single" w:color="auto" w:sz="2" w:space="0"/>
              <w:left w:val="single" w:color="auto" w:sz="2" w:space="0"/>
              <w:bottom w:val="single" w:color="auto" w:sz="2" w:space="0"/>
              <w:right w:val="single" w:color="auto" w:sz="2" w:space="0"/>
            </w:tcBorders>
            <w:vAlign w:val="center"/>
          </w:tcPr>
          <w:p w14:paraId="4A192D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461D1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6D5FD6D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毛晓玲</w:t>
            </w:r>
          </w:p>
        </w:tc>
        <w:tc>
          <w:tcPr>
            <w:tcW w:w="1377" w:type="dxa"/>
            <w:tcBorders>
              <w:top w:val="single" w:color="auto" w:sz="2" w:space="0"/>
              <w:left w:val="single" w:color="auto" w:sz="2" w:space="0"/>
              <w:bottom w:val="single" w:color="auto" w:sz="2" w:space="0"/>
              <w:right w:val="single" w:color="auto" w:sz="2" w:space="0"/>
            </w:tcBorders>
            <w:vAlign w:val="center"/>
          </w:tcPr>
          <w:p w14:paraId="04A4271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19FECD7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49</w:t>
            </w:r>
          </w:p>
        </w:tc>
        <w:tc>
          <w:tcPr>
            <w:tcW w:w="1377" w:type="dxa"/>
            <w:tcBorders>
              <w:top w:val="single" w:color="auto" w:sz="2" w:space="0"/>
              <w:left w:val="single" w:color="auto" w:sz="2" w:space="0"/>
              <w:bottom w:val="single" w:color="auto" w:sz="2" w:space="0"/>
              <w:right w:val="single" w:color="auto" w:sz="2" w:space="0"/>
            </w:tcBorders>
            <w:vAlign w:val="center"/>
          </w:tcPr>
          <w:p w14:paraId="60DAF77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监事会主席</w:t>
            </w:r>
          </w:p>
        </w:tc>
        <w:tc>
          <w:tcPr>
            <w:tcW w:w="1377" w:type="dxa"/>
            <w:tcBorders>
              <w:top w:val="single" w:color="auto" w:sz="2" w:space="0"/>
              <w:left w:val="single" w:color="auto" w:sz="2" w:space="0"/>
              <w:bottom w:val="single" w:color="auto" w:sz="2" w:space="0"/>
              <w:right w:val="single" w:color="auto" w:sz="2" w:space="0"/>
            </w:tcBorders>
            <w:vAlign w:val="center"/>
          </w:tcPr>
          <w:p w14:paraId="4E7E339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53A6E1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17.05</w:t>
            </w:r>
          </w:p>
        </w:tc>
        <w:tc>
          <w:tcPr>
            <w:tcW w:w="1377" w:type="dxa"/>
            <w:tcBorders>
              <w:top w:val="single" w:color="auto" w:sz="2" w:space="0"/>
              <w:left w:val="single" w:color="auto" w:sz="2" w:space="0"/>
              <w:bottom w:val="single" w:color="auto" w:sz="2" w:space="0"/>
              <w:right w:val="single" w:color="auto" w:sz="2" w:space="0"/>
            </w:tcBorders>
            <w:vAlign w:val="center"/>
          </w:tcPr>
          <w:p w14:paraId="4F9736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5634E9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C93F9C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刘培璇</w:t>
            </w:r>
          </w:p>
        </w:tc>
        <w:tc>
          <w:tcPr>
            <w:tcW w:w="1377" w:type="dxa"/>
            <w:tcBorders>
              <w:top w:val="single" w:color="auto" w:sz="2" w:space="0"/>
              <w:left w:val="single" w:color="auto" w:sz="2" w:space="0"/>
              <w:bottom w:val="single" w:color="auto" w:sz="2" w:space="0"/>
              <w:right w:val="single" w:color="auto" w:sz="2" w:space="0"/>
            </w:tcBorders>
            <w:vAlign w:val="center"/>
          </w:tcPr>
          <w:p w14:paraId="0A07ECB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3A1FFE7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43</w:t>
            </w:r>
          </w:p>
        </w:tc>
        <w:tc>
          <w:tcPr>
            <w:tcW w:w="1377" w:type="dxa"/>
            <w:tcBorders>
              <w:top w:val="single" w:color="auto" w:sz="2" w:space="0"/>
              <w:left w:val="single" w:color="auto" w:sz="2" w:space="0"/>
              <w:bottom w:val="single" w:color="auto" w:sz="2" w:space="0"/>
              <w:right w:val="single" w:color="auto" w:sz="2" w:space="0"/>
            </w:tcBorders>
            <w:vAlign w:val="center"/>
          </w:tcPr>
          <w:p w14:paraId="27D5DF9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职工代表监事</w:t>
            </w:r>
          </w:p>
        </w:tc>
        <w:tc>
          <w:tcPr>
            <w:tcW w:w="1377" w:type="dxa"/>
            <w:tcBorders>
              <w:top w:val="single" w:color="auto" w:sz="2" w:space="0"/>
              <w:left w:val="single" w:color="auto" w:sz="2" w:space="0"/>
              <w:bottom w:val="single" w:color="auto" w:sz="2" w:space="0"/>
              <w:right w:val="single" w:color="auto" w:sz="2" w:space="0"/>
            </w:tcBorders>
            <w:vAlign w:val="center"/>
          </w:tcPr>
          <w:p w14:paraId="415C8FE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245C6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16.6</w:t>
            </w:r>
          </w:p>
        </w:tc>
        <w:tc>
          <w:tcPr>
            <w:tcW w:w="1377" w:type="dxa"/>
            <w:tcBorders>
              <w:top w:val="single" w:color="auto" w:sz="2" w:space="0"/>
              <w:left w:val="single" w:color="auto" w:sz="2" w:space="0"/>
              <w:bottom w:val="single" w:color="auto" w:sz="2" w:space="0"/>
              <w:right w:val="single" w:color="auto" w:sz="2" w:space="0"/>
            </w:tcBorders>
            <w:vAlign w:val="center"/>
          </w:tcPr>
          <w:p w14:paraId="6C1BE2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FD3D1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15B1F1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黄素芳</w:t>
            </w:r>
          </w:p>
        </w:tc>
        <w:tc>
          <w:tcPr>
            <w:tcW w:w="1377" w:type="dxa"/>
            <w:tcBorders>
              <w:top w:val="single" w:color="auto" w:sz="2" w:space="0"/>
              <w:left w:val="single" w:color="auto" w:sz="2" w:space="0"/>
              <w:bottom w:val="single" w:color="auto" w:sz="2" w:space="0"/>
              <w:right w:val="single" w:color="auto" w:sz="2" w:space="0"/>
            </w:tcBorders>
            <w:vAlign w:val="center"/>
          </w:tcPr>
          <w:p w14:paraId="2370536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女</w:t>
            </w:r>
          </w:p>
        </w:tc>
        <w:tc>
          <w:tcPr>
            <w:tcW w:w="1377" w:type="dxa"/>
            <w:tcBorders>
              <w:top w:val="single" w:color="auto" w:sz="2" w:space="0"/>
              <w:left w:val="single" w:color="auto" w:sz="2" w:space="0"/>
              <w:bottom w:val="single" w:color="auto" w:sz="2" w:space="0"/>
              <w:right w:val="single" w:color="auto" w:sz="2" w:space="0"/>
            </w:tcBorders>
            <w:vAlign w:val="center"/>
          </w:tcPr>
          <w:p w14:paraId="2A7F8BD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45</w:t>
            </w:r>
          </w:p>
        </w:tc>
        <w:tc>
          <w:tcPr>
            <w:tcW w:w="1377" w:type="dxa"/>
            <w:tcBorders>
              <w:top w:val="single" w:color="auto" w:sz="2" w:space="0"/>
              <w:left w:val="single" w:color="auto" w:sz="2" w:space="0"/>
              <w:bottom w:val="single" w:color="auto" w:sz="2" w:space="0"/>
              <w:right w:val="single" w:color="auto" w:sz="2" w:space="0"/>
            </w:tcBorders>
            <w:vAlign w:val="center"/>
          </w:tcPr>
          <w:p w14:paraId="0F6EEDF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职工代表监事</w:t>
            </w:r>
          </w:p>
        </w:tc>
        <w:tc>
          <w:tcPr>
            <w:tcW w:w="1377" w:type="dxa"/>
            <w:tcBorders>
              <w:top w:val="single" w:color="auto" w:sz="2" w:space="0"/>
              <w:left w:val="single" w:color="auto" w:sz="2" w:space="0"/>
              <w:bottom w:val="single" w:color="auto" w:sz="2" w:space="0"/>
              <w:right w:val="single" w:color="auto" w:sz="2" w:space="0"/>
            </w:tcBorders>
            <w:vAlign w:val="center"/>
          </w:tcPr>
          <w:p w14:paraId="46CF771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080C0B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10.14</w:t>
            </w:r>
          </w:p>
        </w:tc>
        <w:tc>
          <w:tcPr>
            <w:tcW w:w="1377" w:type="dxa"/>
            <w:tcBorders>
              <w:top w:val="single" w:color="auto" w:sz="2" w:space="0"/>
              <w:left w:val="single" w:color="auto" w:sz="2" w:space="0"/>
              <w:bottom w:val="single" w:color="auto" w:sz="2" w:space="0"/>
              <w:right w:val="single" w:color="auto" w:sz="2" w:space="0"/>
            </w:tcBorders>
            <w:vAlign w:val="center"/>
          </w:tcPr>
          <w:p w14:paraId="18D20F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3926B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right w:val="single" w:color="auto" w:sz="2" w:space="0"/>
            </w:tcBorders>
            <w:vAlign w:val="center"/>
          </w:tcPr>
          <w:p w14:paraId="6563CD0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李华青</w:t>
            </w:r>
          </w:p>
        </w:tc>
        <w:tc>
          <w:tcPr>
            <w:tcW w:w="1377" w:type="dxa"/>
            <w:vMerge w:val="restart"/>
            <w:tcBorders>
              <w:top w:val="single" w:color="auto" w:sz="2" w:space="0"/>
              <w:left w:val="single" w:color="auto" w:sz="2" w:space="0"/>
              <w:right w:val="single" w:color="auto" w:sz="2" w:space="0"/>
            </w:tcBorders>
            <w:vAlign w:val="center"/>
          </w:tcPr>
          <w:p w14:paraId="5DC7460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vMerge w:val="restart"/>
            <w:tcBorders>
              <w:top w:val="single" w:color="auto" w:sz="2" w:space="0"/>
              <w:left w:val="single" w:color="auto" w:sz="2" w:space="0"/>
              <w:right w:val="single" w:color="auto" w:sz="2" w:space="0"/>
            </w:tcBorders>
            <w:vAlign w:val="center"/>
          </w:tcPr>
          <w:p w14:paraId="3711664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46</w:t>
            </w:r>
          </w:p>
        </w:tc>
        <w:tc>
          <w:tcPr>
            <w:tcW w:w="1377" w:type="dxa"/>
            <w:tcBorders>
              <w:top w:val="single" w:color="auto" w:sz="2" w:space="0"/>
              <w:left w:val="single" w:color="auto" w:sz="2" w:space="0"/>
              <w:bottom w:val="single" w:color="auto" w:sz="2" w:space="0"/>
              <w:right w:val="single" w:color="auto" w:sz="2" w:space="0"/>
            </w:tcBorders>
            <w:vAlign w:val="center"/>
          </w:tcPr>
          <w:p w14:paraId="759FA4A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1377" w:type="dxa"/>
            <w:tcBorders>
              <w:top w:val="single" w:color="auto" w:sz="2" w:space="0"/>
              <w:left w:val="single" w:color="auto" w:sz="2" w:space="0"/>
              <w:bottom w:val="single" w:color="auto" w:sz="2" w:space="0"/>
              <w:right w:val="single" w:color="auto" w:sz="2" w:space="0"/>
            </w:tcBorders>
            <w:vAlign w:val="center"/>
          </w:tcPr>
          <w:p w14:paraId="35D9BAC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vMerge w:val="restart"/>
            <w:tcBorders>
              <w:top w:val="single" w:color="auto" w:sz="2" w:space="0"/>
              <w:left w:val="single" w:color="auto" w:sz="2" w:space="0"/>
              <w:right w:val="single" w:color="auto" w:sz="2" w:space="0"/>
            </w:tcBorders>
            <w:vAlign w:val="center"/>
          </w:tcPr>
          <w:p w14:paraId="6EEB9B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49.78</w:t>
            </w:r>
          </w:p>
        </w:tc>
        <w:tc>
          <w:tcPr>
            <w:tcW w:w="1377" w:type="dxa"/>
            <w:tcBorders>
              <w:top w:val="single" w:color="auto" w:sz="2" w:space="0"/>
              <w:left w:val="single" w:color="auto" w:sz="2" w:space="0"/>
              <w:bottom w:val="single" w:color="auto" w:sz="2" w:space="0"/>
              <w:right w:val="single" w:color="auto" w:sz="2" w:space="0"/>
            </w:tcBorders>
            <w:vAlign w:val="center"/>
          </w:tcPr>
          <w:p w14:paraId="69CC62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5D06DE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left w:val="single" w:color="auto" w:sz="2" w:space="0"/>
              <w:bottom w:val="single" w:color="auto" w:sz="2" w:space="0"/>
              <w:right w:val="single" w:color="auto" w:sz="2" w:space="0"/>
            </w:tcBorders>
            <w:vAlign w:val="center"/>
          </w:tcPr>
          <w:p w14:paraId="59C06550">
            <w:pPr>
              <w:spacing w:line="240" w:lineRule="exact"/>
              <w:jc w:val="center"/>
              <w:rPr>
                <w:rFonts w:ascii="Times New Roman" w:hAnsi="Times New Roman" w:cs="Times New Roman" w:eastAsiaTheme="majorEastAsia"/>
                <w:sz w:val="18"/>
                <w:szCs w:val="18"/>
              </w:rPr>
            </w:pPr>
          </w:p>
        </w:tc>
        <w:tc>
          <w:tcPr>
            <w:tcW w:w="1377" w:type="dxa"/>
            <w:vMerge w:val="continue"/>
            <w:tcBorders>
              <w:left w:val="single" w:color="auto" w:sz="2" w:space="0"/>
              <w:bottom w:val="single" w:color="auto" w:sz="2" w:space="0"/>
              <w:right w:val="single" w:color="auto" w:sz="2" w:space="0"/>
            </w:tcBorders>
            <w:vAlign w:val="center"/>
          </w:tcPr>
          <w:p w14:paraId="25F460A7">
            <w:pPr>
              <w:spacing w:line="240" w:lineRule="exact"/>
              <w:jc w:val="center"/>
              <w:rPr>
                <w:rFonts w:ascii="Times New Roman" w:hAnsi="Times New Roman" w:cs="Times New Roman" w:eastAsiaTheme="majorEastAsia"/>
                <w:sz w:val="18"/>
                <w:szCs w:val="18"/>
              </w:rPr>
            </w:pPr>
          </w:p>
        </w:tc>
        <w:tc>
          <w:tcPr>
            <w:tcW w:w="1377" w:type="dxa"/>
            <w:vMerge w:val="continue"/>
            <w:tcBorders>
              <w:left w:val="single" w:color="auto" w:sz="2" w:space="0"/>
              <w:bottom w:val="single" w:color="auto" w:sz="2" w:space="0"/>
              <w:right w:val="single" w:color="auto" w:sz="2" w:space="0"/>
            </w:tcBorders>
            <w:vAlign w:val="center"/>
          </w:tcPr>
          <w:p w14:paraId="63470612">
            <w:pPr>
              <w:spacing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25E689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董事会秘书</w:t>
            </w:r>
          </w:p>
        </w:tc>
        <w:tc>
          <w:tcPr>
            <w:tcW w:w="1377" w:type="dxa"/>
            <w:tcBorders>
              <w:top w:val="single" w:color="auto" w:sz="2" w:space="0"/>
              <w:left w:val="single" w:color="auto" w:sz="2" w:space="0"/>
              <w:bottom w:val="single" w:color="auto" w:sz="2" w:space="0"/>
              <w:right w:val="single" w:color="auto" w:sz="2" w:space="0"/>
            </w:tcBorders>
            <w:vAlign w:val="center"/>
          </w:tcPr>
          <w:p w14:paraId="09702F5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离任</w:t>
            </w:r>
          </w:p>
        </w:tc>
        <w:tc>
          <w:tcPr>
            <w:tcW w:w="1377" w:type="dxa"/>
            <w:vMerge w:val="continue"/>
            <w:tcBorders>
              <w:left w:val="single" w:color="auto" w:sz="2" w:space="0"/>
              <w:bottom w:val="single" w:color="auto" w:sz="2" w:space="0"/>
              <w:right w:val="single" w:color="auto" w:sz="2" w:space="0"/>
            </w:tcBorders>
            <w:vAlign w:val="center"/>
          </w:tcPr>
          <w:p w14:paraId="304C93A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F729B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CB77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3E871B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林少勇</w:t>
            </w:r>
          </w:p>
        </w:tc>
        <w:tc>
          <w:tcPr>
            <w:tcW w:w="1377" w:type="dxa"/>
            <w:tcBorders>
              <w:top w:val="single" w:color="auto" w:sz="2" w:space="0"/>
              <w:left w:val="single" w:color="auto" w:sz="2" w:space="0"/>
              <w:bottom w:val="single" w:color="auto" w:sz="2" w:space="0"/>
              <w:right w:val="single" w:color="auto" w:sz="2" w:space="0"/>
            </w:tcBorders>
            <w:vAlign w:val="center"/>
          </w:tcPr>
          <w:p w14:paraId="00A426B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2D095B3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50</w:t>
            </w:r>
          </w:p>
        </w:tc>
        <w:tc>
          <w:tcPr>
            <w:tcW w:w="1377" w:type="dxa"/>
            <w:tcBorders>
              <w:top w:val="single" w:color="auto" w:sz="2" w:space="0"/>
              <w:left w:val="single" w:color="auto" w:sz="2" w:space="0"/>
              <w:bottom w:val="single" w:color="auto" w:sz="2" w:space="0"/>
              <w:right w:val="single" w:color="auto" w:sz="2" w:space="0"/>
            </w:tcBorders>
            <w:vAlign w:val="center"/>
          </w:tcPr>
          <w:p w14:paraId="37DA7B7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1377" w:type="dxa"/>
            <w:tcBorders>
              <w:top w:val="single" w:color="auto" w:sz="2" w:space="0"/>
              <w:left w:val="single" w:color="auto" w:sz="2" w:space="0"/>
              <w:bottom w:val="single" w:color="auto" w:sz="2" w:space="0"/>
              <w:right w:val="single" w:color="auto" w:sz="2" w:space="0"/>
            </w:tcBorders>
            <w:vAlign w:val="center"/>
          </w:tcPr>
          <w:p w14:paraId="63DF43F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19F487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33.28</w:t>
            </w:r>
          </w:p>
        </w:tc>
        <w:tc>
          <w:tcPr>
            <w:tcW w:w="1377" w:type="dxa"/>
            <w:tcBorders>
              <w:top w:val="single" w:color="auto" w:sz="2" w:space="0"/>
              <w:left w:val="single" w:color="auto" w:sz="2" w:space="0"/>
              <w:bottom w:val="single" w:color="auto" w:sz="2" w:space="0"/>
              <w:right w:val="single" w:color="auto" w:sz="2" w:space="0"/>
            </w:tcBorders>
            <w:vAlign w:val="center"/>
          </w:tcPr>
          <w:p w14:paraId="42BBAC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06127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F0696C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陈焕盛</w:t>
            </w:r>
          </w:p>
        </w:tc>
        <w:tc>
          <w:tcPr>
            <w:tcW w:w="1377" w:type="dxa"/>
            <w:tcBorders>
              <w:top w:val="single" w:color="auto" w:sz="2" w:space="0"/>
              <w:left w:val="single" w:color="auto" w:sz="2" w:space="0"/>
              <w:bottom w:val="single" w:color="auto" w:sz="2" w:space="0"/>
              <w:right w:val="single" w:color="auto" w:sz="2" w:space="0"/>
            </w:tcBorders>
            <w:vAlign w:val="center"/>
          </w:tcPr>
          <w:p w14:paraId="38C6096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44244D5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41</w:t>
            </w:r>
          </w:p>
        </w:tc>
        <w:tc>
          <w:tcPr>
            <w:tcW w:w="1377" w:type="dxa"/>
            <w:tcBorders>
              <w:top w:val="single" w:color="auto" w:sz="2" w:space="0"/>
              <w:left w:val="single" w:color="auto" w:sz="2" w:space="0"/>
              <w:bottom w:val="single" w:color="auto" w:sz="2" w:space="0"/>
              <w:right w:val="single" w:color="auto" w:sz="2" w:space="0"/>
            </w:tcBorders>
            <w:vAlign w:val="center"/>
          </w:tcPr>
          <w:p w14:paraId="3C40708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财务总监</w:t>
            </w:r>
          </w:p>
        </w:tc>
        <w:tc>
          <w:tcPr>
            <w:tcW w:w="1377" w:type="dxa"/>
            <w:tcBorders>
              <w:top w:val="single" w:color="auto" w:sz="2" w:space="0"/>
              <w:left w:val="single" w:color="auto" w:sz="2" w:space="0"/>
              <w:bottom w:val="single" w:color="auto" w:sz="2" w:space="0"/>
              <w:right w:val="single" w:color="auto" w:sz="2" w:space="0"/>
            </w:tcBorders>
            <w:vAlign w:val="center"/>
          </w:tcPr>
          <w:p w14:paraId="32D599E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363E62A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32.08</w:t>
            </w:r>
          </w:p>
        </w:tc>
        <w:tc>
          <w:tcPr>
            <w:tcW w:w="1377" w:type="dxa"/>
            <w:tcBorders>
              <w:top w:val="single" w:color="auto" w:sz="2" w:space="0"/>
              <w:left w:val="single" w:color="auto" w:sz="2" w:space="0"/>
              <w:bottom w:val="single" w:color="auto" w:sz="2" w:space="0"/>
              <w:right w:val="single" w:color="auto" w:sz="2" w:space="0"/>
            </w:tcBorders>
            <w:vAlign w:val="center"/>
          </w:tcPr>
          <w:p w14:paraId="0EB009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EE07F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E1599C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曹维</w:t>
            </w:r>
          </w:p>
        </w:tc>
        <w:tc>
          <w:tcPr>
            <w:tcW w:w="1377" w:type="dxa"/>
            <w:tcBorders>
              <w:top w:val="single" w:color="auto" w:sz="2" w:space="0"/>
              <w:left w:val="single" w:color="auto" w:sz="2" w:space="0"/>
              <w:bottom w:val="single" w:color="auto" w:sz="2" w:space="0"/>
              <w:right w:val="single" w:color="auto" w:sz="2" w:space="0"/>
            </w:tcBorders>
            <w:vAlign w:val="center"/>
          </w:tcPr>
          <w:p w14:paraId="0F73814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男</w:t>
            </w:r>
          </w:p>
        </w:tc>
        <w:tc>
          <w:tcPr>
            <w:tcW w:w="1377" w:type="dxa"/>
            <w:tcBorders>
              <w:top w:val="single" w:color="auto" w:sz="2" w:space="0"/>
              <w:left w:val="single" w:color="auto" w:sz="2" w:space="0"/>
              <w:bottom w:val="single" w:color="auto" w:sz="2" w:space="0"/>
              <w:right w:val="single" w:color="auto" w:sz="2" w:space="0"/>
            </w:tcBorders>
            <w:vAlign w:val="center"/>
          </w:tcPr>
          <w:p w14:paraId="6416D38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38</w:t>
            </w:r>
          </w:p>
        </w:tc>
        <w:tc>
          <w:tcPr>
            <w:tcW w:w="1377" w:type="dxa"/>
            <w:tcBorders>
              <w:top w:val="single" w:color="auto" w:sz="2" w:space="0"/>
              <w:left w:val="single" w:color="auto" w:sz="2" w:space="0"/>
              <w:bottom w:val="single" w:color="auto" w:sz="2" w:space="0"/>
              <w:right w:val="single" w:color="auto" w:sz="2" w:space="0"/>
            </w:tcBorders>
            <w:vAlign w:val="center"/>
          </w:tcPr>
          <w:p w14:paraId="74EA79E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董事会秘书</w:t>
            </w:r>
          </w:p>
        </w:tc>
        <w:tc>
          <w:tcPr>
            <w:tcW w:w="1377" w:type="dxa"/>
            <w:tcBorders>
              <w:top w:val="single" w:color="auto" w:sz="2" w:space="0"/>
              <w:left w:val="single" w:color="auto" w:sz="2" w:space="0"/>
              <w:bottom w:val="single" w:color="auto" w:sz="2" w:space="0"/>
              <w:right w:val="single" w:color="auto" w:sz="2" w:space="0"/>
            </w:tcBorders>
            <w:vAlign w:val="center"/>
          </w:tcPr>
          <w:p w14:paraId="0C133DF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现任</w:t>
            </w:r>
          </w:p>
        </w:tc>
        <w:tc>
          <w:tcPr>
            <w:tcW w:w="1377" w:type="dxa"/>
            <w:tcBorders>
              <w:top w:val="single" w:color="auto" w:sz="2" w:space="0"/>
              <w:left w:val="single" w:color="auto" w:sz="2" w:space="0"/>
              <w:bottom w:val="single" w:color="auto" w:sz="2" w:space="0"/>
              <w:right w:val="single" w:color="auto" w:sz="2" w:space="0"/>
            </w:tcBorders>
            <w:vAlign w:val="center"/>
          </w:tcPr>
          <w:p w14:paraId="399A5949">
            <w:pPr>
              <w:spacing w:line="240" w:lineRule="exact"/>
              <w:jc w:val="righ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p>
        </w:tc>
        <w:tc>
          <w:tcPr>
            <w:tcW w:w="1377" w:type="dxa"/>
            <w:tcBorders>
              <w:top w:val="single" w:color="auto" w:sz="2" w:space="0"/>
              <w:left w:val="single" w:color="auto" w:sz="2" w:space="0"/>
              <w:bottom w:val="single" w:color="auto" w:sz="2" w:space="0"/>
              <w:right w:val="single" w:color="auto" w:sz="2" w:space="0"/>
            </w:tcBorders>
            <w:vAlign w:val="center"/>
          </w:tcPr>
          <w:p w14:paraId="1C4042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6578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1B81C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273A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F04B1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A65FD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3347A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377" w:type="dxa"/>
            <w:tcBorders>
              <w:top w:val="single" w:color="auto" w:sz="2" w:space="0"/>
              <w:left w:val="single" w:color="auto" w:sz="2" w:space="0"/>
              <w:bottom w:val="single" w:color="auto" w:sz="2" w:space="0"/>
              <w:right w:val="single" w:color="auto" w:sz="2" w:space="0"/>
            </w:tcBorders>
            <w:vAlign w:val="center"/>
          </w:tcPr>
          <w:p w14:paraId="658281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364.36</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74852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5CD4CBA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其他情况说明</w:t>
      </w:r>
    </w:p>
    <w:p w14:paraId="634AE94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AE0B380">
      <w:pPr>
        <w:pStyle w:val="2"/>
        <w:spacing w:before="300" w:after="300" w:line="320" w:lineRule="exact"/>
        <w:rPr>
          <w:rFonts w:ascii="Times New Roman" w:hAnsi="Times New Roman" w:cs="Times New Roman" w:eastAsiaTheme="majorEastAsia"/>
          <w:b/>
          <w:bCs/>
          <w:sz w:val="24"/>
          <w:szCs w:val="24"/>
        </w:rPr>
      </w:pPr>
      <w:bookmarkStart w:id="68" w:name="_Toc988957"/>
      <w:r>
        <w:rPr>
          <w:rFonts w:ascii="Times New Roman" w:hAnsi="Times New Roman" w:cs="Times New Roman" w:eastAsiaTheme="majorEastAsia"/>
          <w:b/>
          <w:bCs/>
          <w:sz w:val="24"/>
          <w:szCs w:val="24"/>
        </w:rPr>
        <w:t>八、报告期内董事履行职责的情况</w:t>
      </w:r>
      <w:bookmarkEnd w:id="68"/>
    </w:p>
    <w:p w14:paraId="14AE357F">
      <w:pPr>
        <w:pStyle w:val="3"/>
        <w:spacing w:line="280" w:lineRule="exact"/>
        <w:jc w:val="left"/>
        <w:rPr>
          <w:rFonts w:ascii="Times New Roman" w:hAnsi="Times New Roman" w:cs="Times New Roman" w:eastAsiaTheme="majorEastAsia"/>
          <w:b/>
          <w:bCs/>
        </w:rPr>
      </w:pPr>
      <w:bookmarkStart w:id="69" w:name="_Toc988958"/>
      <w:r>
        <w:rPr>
          <w:rFonts w:ascii="Times New Roman" w:hAnsi="Times New Roman" w:cs="Times New Roman" w:eastAsiaTheme="majorEastAsia"/>
          <w:b/>
          <w:bCs/>
        </w:rPr>
        <w:t>1、本报告期董事会情况</w:t>
      </w:r>
      <w:bookmarkEnd w:id="69"/>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802"/>
        <w:gridCol w:w="2017"/>
        <w:gridCol w:w="2093"/>
        <w:gridCol w:w="2727"/>
      </w:tblGrid>
      <w:tr w14:paraId="4C0F39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802" w:type="dxa"/>
            <w:tcBorders>
              <w:top w:val="single" w:color="auto" w:sz="2" w:space="0"/>
              <w:left w:val="single" w:color="auto" w:sz="2" w:space="0"/>
              <w:bottom w:val="single" w:color="auto" w:sz="2" w:space="0"/>
              <w:right w:val="single" w:color="auto" w:sz="2" w:space="0"/>
            </w:tcBorders>
            <w:shd w:val="clear" w:color="auto" w:fill="D3D3D3"/>
            <w:vAlign w:val="center"/>
          </w:tcPr>
          <w:p w14:paraId="738CFA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会议届次</w:t>
            </w:r>
          </w:p>
        </w:tc>
        <w:tc>
          <w:tcPr>
            <w:tcW w:w="2017" w:type="dxa"/>
            <w:tcBorders>
              <w:top w:val="single" w:color="auto" w:sz="2" w:space="0"/>
              <w:left w:val="single" w:color="auto" w:sz="2" w:space="0"/>
              <w:bottom w:val="single" w:color="auto" w:sz="2" w:space="0"/>
              <w:right w:val="single" w:color="auto" w:sz="2" w:space="0"/>
            </w:tcBorders>
            <w:shd w:val="clear" w:color="auto" w:fill="D3D3D3"/>
            <w:vAlign w:val="center"/>
          </w:tcPr>
          <w:p w14:paraId="321D04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召开日期</w:t>
            </w:r>
          </w:p>
        </w:tc>
        <w:tc>
          <w:tcPr>
            <w:tcW w:w="2093" w:type="dxa"/>
            <w:tcBorders>
              <w:top w:val="single" w:color="auto" w:sz="2" w:space="0"/>
              <w:left w:val="single" w:color="auto" w:sz="2" w:space="0"/>
              <w:bottom w:val="single" w:color="auto" w:sz="2" w:space="0"/>
              <w:right w:val="single" w:color="auto" w:sz="2" w:space="0"/>
            </w:tcBorders>
            <w:shd w:val="clear" w:color="auto" w:fill="D3D3D3"/>
            <w:vAlign w:val="center"/>
          </w:tcPr>
          <w:p w14:paraId="696116D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披露日期</w:t>
            </w:r>
          </w:p>
        </w:tc>
        <w:tc>
          <w:tcPr>
            <w:tcW w:w="2727" w:type="dxa"/>
            <w:tcBorders>
              <w:top w:val="single" w:color="auto" w:sz="2" w:space="0"/>
              <w:left w:val="single" w:color="auto" w:sz="2" w:space="0"/>
              <w:bottom w:val="single" w:color="auto" w:sz="2" w:space="0"/>
              <w:right w:val="single" w:color="auto" w:sz="2" w:space="0"/>
            </w:tcBorders>
            <w:shd w:val="clear" w:color="auto" w:fill="D3D3D3"/>
            <w:vAlign w:val="center"/>
          </w:tcPr>
          <w:p w14:paraId="72FB13F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会议决议</w:t>
            </w:r>
          </w:p>
        </w:tc>
      </w:tr>
      <w:tr w14:paraId="75EC1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798D85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第三届董事会第二十一次会议</w:t>
            </w:r>
          </w:p>
        </w:tc>
        <w:tc>
          <w:tcPr>
            <w:tcW w:w="2017" w:type="dxa"/>
            <w:tcBorders>
              <w:top w:val="single" w:color="auto" w:sz="2" w:space="0"/>
              <w:left w:val="single" w:color="auto" w:sz="2" w:space="0"/>
              <w:bottom w:val="single" w:color="auto" w:sz="2" w:space="0"/>
              <w:right w:val="single" w:color="auto" w:sz="2" w:space="0"/>
            </w:tcBorders>
            <w:vAlign w:val="center"/>
          </w:tcPr>
          <w:p w14:paraId="1C2BD3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2024年02月05日</w:t>
            </w:r>
          </w:p>
        </w:tc>
        <w:tc>
          <w:tcPr>
            <w:tcW w:w="2093" w:type="dxa"/>
            <w:tcBorders>
              <w:top w:val="single" w:color="auto" w:sz="2" w:space="0"/>
              <w:left w:val="single" w:color="auto" w:sz="2" w:space="0"/>
              <w:bottom w:val="single" w:color="auto" w:sz="2" w:space="0"/>
              <w:right w:val="single" w:color="auto" w:sz="2" w:space="0"/>
            </w:tcBorders>
            <w:vAlign w:val="center"/>
          </w:tcPr>
          <w:p w14:paraId="69C48D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2024年02月05日</w:t>
            </w:r>
          </w:p>
        </w:tc>
        <w:tc>
          <w:tcPr>
            <w:tcW w:w="2727" w:type="dxa"/>
            <w:tcBorders>
              <w:top w:val="single" w:color="auto" w:sz="2" w:space="0"/>
              <w:left w:val="single" w:color="auto" w:sz="2" w:space="0"/>
              <w:bottom w:val="single" w:color="auto" w:sz="2" w:space="0"/>
              <w:right w:val="single" w:color="auto" w:sz="2" w:space="0"/>
            </w:tcBorders>
            <w:vAlign w:val="center"/>
          </w:tcPr>
          <w:p w14:paraId="2FCD7F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详见2024年2月5日披露于巨潮资讯网（www.cninfo.com）的《广东天亿马信息产业股份有限公司第三届董事会第二十一次会议决议公告》（公告编号：2024-008）。</w:t>
            </w:r>
          </w:p>
        </w:tc>
      </w:tr>
      <w:tr w14:paraId="070E2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0B0E19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第三届董事会第二十二次会议</w:t>
            </w:r>
          </w:p>
        </w:tc>
        <w:tc>
          <w:tcPr>
            <w:tcW w:w="2017" w:type="dxa"/>
            <w:tcBorders>
              <w:top w:val="single" w:color="auto" w:sz="2" w:space="0"/>
              <w:left w:val="single" w:color="auto" w:sz="2" w:space="0"/>
              <w:bottom w:val="single" w:color="auto" w:sz="2" w:space="0"/>
              <w:right w:val="single" w:color="auto" w:sz="2" w:space="0"/>
            </w:tcBorders>
            <w:vAlign w:val="center"/>
          </w:tcPr>
          <w:p w14:paraId="662685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2024年04月25日</w:t>
            </w:r>
          </w:p>
        </w:tc>
        <w:tc>
          <w:tcPr>
            <w:tcW w:w="2093" w:type="dxa"/>
            <w:tcBorders>
              <w:top w:val="single" w:color="auto" w:sz="2" w:space="0"/>
              <w:left w:val="single" w:color="auto" w:sz="2" w:space="0"/>
              <w:bottom w:val="single" w:color="auto" w:sz="2" w:space="0"/>
              <w:right w:val="single" w:color="auto" w:sz="2" w:space="0"/>
            </w:tcBorders>
            <w:vAlign w:val="center"/>
          </w:tcPr>
          <w:p w14:paraId="761162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2727" w:type="dxa"/>
            <w:tcBorders>
              <w:top w:val="single" w:color="auto" w:sz="2" w:space="0"/>
              <w:left w:val="single" w:color="auto" w:sz="2" w:space="0"/>
              <w:bottom w:val="single" w:color="auto" w:sz="2" w:space="0"/>
              <w:right w:val="single" w:color="auto" w:sz="2" w:space="0"/>
            </w:tcBorders>
            <w:vAlign w:val="center"/>
          </w:tcPr>
          <w:p w14:paraId="12441A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详见2024年4月29日披露于巨潮资讯网（www.cninfo.com）的《广东天亿马信息产业股份有限公司第三届董事会第二十二次会议决议公告》（公告编号：2024-019）。</w:t>
            </w:r>
          </w:p>
        </w:tc>
      </w:tr>
      <w:tr w14:paraId="4B40C6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251C0B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第三届董事会第二十三次会议</w:t>
            </w:r>
          </w:p>
        </w:tc>
        <w:tc>
          <w:tcPr>
            <w:tcW w:w="2017" w:type="dxa"/>
            <w:tcBorders>
              <w:top w:val="single" w:color="auto" w:sz="2" w:space="0"/>
              <w:left w:val="single" w:color="auto" w:sz="2" w:space="0"/>
              <w:bottom w:val="single" w:color="auto" w:sz="2" w:space="0"/>
              <w:right w:val="single" w:color="auto" w:sz="2" w:space="0"/>
            </w:tcBorders>
            <w:vAlign w:val="center"/>
          </w:tcPr>
          <w:p w14:paraId="21760A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2024年06月14日</w:t>
            </w:r>
          </w:p>
        </w:tc>
        <w:tc>
          <w:tcPr>
            <w:tcW w:w="2093" w:type="dxa"/>
            <w:tcBorders>
              <w:top w:val="single" w:color="auto" w:sz="2" w:space="0"/>
              <w:left w:val="single" w:color="auto" w:sz="2" w:space="0"/>
              <w:bottom w:val="single" w:color="auto" w:sz="2" w:space="0"/>
              <w:right w:val="single" w:color="auto" w:sz="2" w:space="0"/>
            </w:tcBorders>
            <w:vAlign w:val="center"/>
          </w:tcPr>
          <w:p w14:paraId="4822D0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2024年06月15日</w:t>
            </w:r>
          </w:p>
        </w:tc>
        <w:tc>
          <w:tcPr>
            <w:tcW w:w="2727" w:type="dxa"/>
            <w:tcBorders>
              <w:top w:val="single" w:color="auto" w:sz="2" w:space="0"/>
              <w:left w:val="single" w:color="auto" w:sz="2" w:space="0"/>
              <w:bottom w:val="single" w:color="auto" w:sz="2" w:space="0"/>
              <w:right w:val="single" w:color="auto" w:sz="2" w:space="0"/>
            </w:tcBorders>
            <w:vAlign w:val="center"/>
          </w:tcPr>
          <w:p w14:paraId="753868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详见2024年6月15日披露于巨潮资讯网（www.cninfo.com）的《广东天亿马信息产业股份有限公司第三届董事会第二十三次会议决议公告》（公告编号：2024-042）。</w:t>
            </w:r>
          </w:p>
        </w:tc>
      </w:tr>
      <w:tr w14:paraId="3E2A6A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7A8066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第三届董事会第二十四次会议</w:t>
            </w:r>
          </w:p>
        </w:tc>
        <w:tc>
          <w:tcPr>
            <w:tcW w:w="2017" w:type="dxa"/>
            <w:tcBorders>
              <w:top w:val="single" w:color="auto" w:sz="2" w:space="0"/>
              <w:left w:val="single" w:color="auto" w:sz="2" w:space="0"/>
              <w:bottom w:val="single" w:color="auto" w:sz="2" w:space="0"/>
              <w:right w:val="single" w:color="auto" w:sz="2" w:space="0"/>
            </w:tcBorders>
            <w:vAlign w:val="center"/>
          </w:tcPr>
          <w:p w14:paraId="381F7A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2024年08月28日</w:t>
            </w:r>
          </w:p>
        </w:tc>
        <w:tc>
          <w:tcPr>
            <w:tcW w:w="2093" w:type="dxa"/>
            <w:tcBorders>
              <w:top w:val="single" w:color="auto" w:sz="2" w:space="0"/>
              <w:left w:val="single" w:color="auto" w:sz="2" w:space="0"/>
              <w:bottom w:val="single" w:color="auto" w:sz="2" w:space="0"/>
              <w:right w:val="single" w:color="auto" w:sz="2" w:space="0"/>
            </w:tcBorders>
            <w:vAlign w:val="center"/>
          </w:tcPr>
          <w:p w14:paraId="61106E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2024年08月29日</w:t>
            </w:r>
          </w:p>
        </w:tc>
        <w:tc>
          <w:tcPr>
            <w:tcW w:w="2727" w:type="dxa"/>
            <w:tcBorders>
              <w:top w:val="single" w:color="auto" w:sz="2" w:space="0"/>
              <w:left w:val="single" w:color="auto" w:sz="2" w:space="0"/>
              <w:bottom w:val="single" w:color="auto" w:sz="2" w:space="0"/>
              <w:right w:val="single" w:color="auto" w:sz="2" w:space="0"/>
            </w:tcBorders>
            <w:vAlign w:val="center"/>
          </w:tcPr>
          <w:p w14:paraId="70D54A9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详见2024年8月29日披露于巨潮资讯网（www.cninfo.com）的《广东天亿马信息产业股份有限公司第三届董事会第二十四次会议决议公告》（公告编号：2024-054）。</w:t>
            </w:r>
          </w:p>
        </w:tc>
      </w:tr>
      <w:tr w14:paraId="061C95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395679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第三届董事会第二十五次会议</w:t>
            </w:r>
          </w:p>
        </w:tc>
        <w:tc>
          <w:tcPr>
            <w:tcW w:w="2017" w:type="dxa"/>
            <w:tcBorders>
              <w:top w:val="single" w:color="auto" w:sz="2" w:space="0"/>
              <w:left w:val="single" w:color="auto" w:sz="2" w:space="0"/>
              <w:bottom w:val="single" w:color="auto" w:sz="2" w:space="0"/>
              <w:right w:val="single" w:color="auto" w:sz="2" w:space="0"/>
            </w:tcBorders>
            <w:vAlign w:val="center"/>
          </w:tcPr>
          <w:p w14:paraId="559824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2024年10月24日</w:t>
            </w:r>
          </w:p>
        </w:tc>
        <w:tc>
          <w:tcPr>
            <w:tcW w:w="2093" w:type="dxa"/>
            <w:tcBorders>
              <w:top w:val="single" w:color="auto" w:sz="2" w:space="0"/>
              <w:left w:val="single" w:color="auto" w:sz="2" w:space="0"/>
              <w:bottom w:val="single" w:color="auto" w:sz="2" w:space="0"/>
              <w:right w:val="single" w:color="auto" w:sz="2" w:space="0"/>
            </w:tcBorders>
            <w:vAlign w:val="center"/>
          </w:tcPr>
          <w:p w14:paraId="602670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2024年10月25日</w:t>
            </w:r>
          </w:p>
        </w:tc>
        <w:tc>
          <w:tcPr>
            <w:tcW w:w="2727" w:type="dxa"/>
            <w:tcBorders>
              <w:top w:val="single" w:color="auto" w:sz="2" w:space="0"/>
              <w:left w:val="single" w:color="auto" w:sz="2" w:space="0"/>
              <w:bottom w:val="single" w:color="auto" w:sz="2" w:space="0"/>
              <w:right w:val="single" w:color="auto" w:sz="2" w:space="0"/>
            </w:tcBorders>
            <w:vAlign w:val="center"/>
          </w:tcPr>
          <w:p w14:paraId="5D7D86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详见2024年10月25日披露于巨潮资讯网（www.cninfo.com）的《广东天亿马信息产业股份有限公司第三届董事会第二十五次会议决议公告》（公告编号：2024-077）。</w:t>
            </w:r>
          </w:p>
        </w:tc>
      </w:tr>
      <w:tr w14:paraId="000B5B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6A4ED2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第三届董事会第二十六次会议</w:t>
            </w:r>
          </w:p>
        </w:tc>
        <w:tc>
          <w:tcPr>
            <w:tcW w:w="2017" w:type="dxa"/>
            <w:tcBorders>
              <w:top w:val="single" w:color="auto" w:sz="2" w:space="0"/>
              <w:left w:val="single" w:color="auto" w:sz="2" w:space="0"/>
              <w:bottom w:val="single" w:color="auto" w:sz="2" w:space="0"/>
              <w:right w:val="single" w:color="auto" w:sz="2" w:space="0"/>
            </w:tcBorders>
            <w:vAlign w:val="center"/>
          </w:tcPr>
          <w:p w14:paraId="3922ED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2024年12月11日</w:t>
            </w:r>
          </w:p>
        </w:tc>
        <w:tc>
          <w:tcPr>
            <w:tcW w:w="2093" w:type="dxa"/>
            <w:tcBorders>
              <w:top w:val="single" w:color="auto" w:sz="2" w:space="0"/>
              <w:left w:val="single" w:color="auto" w:sz="2" w:space="0"/>
              <w:bottom w:val="single" w:color="auto" w:sz="2" w:space="0"/>
              <w:right w:val="single" w:color="auto" w:sz="2" w:space="0"/>
            </w:tcBorders>
            <w:vAlign w:val="center"/>
          </w:tcPr>
          <w:p w14:paraId="3E8D6D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2024年12月12日</w:t>
            </w:r>
          </w:p>
        </w:tc>
        <w:tc>
          <w:tcPr>
            <w:tcW w:w="2727" w:type="dxa"/>
            <w:tcBorders>
              <w:top w:val="single" w:color="auto" w:sz="2" w:space="0"/>
              <w:left w:val="single" w:color="auto" w:sz="2" w:space="0"/>
              <w:bottom w:val="single" w:color="auto" w:sz="2" w:space="0"/>
              <w:right w:val="single" w:color="auto" w:sz="2" w:space="0"/>
            </w:tcBorders>
            <w:vAlign w:val="center"/>
          </w:tcPr>
          <w:p w14:paraId="169D39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详见2024年12月12日披露于巨潮资讯网（www.cninfo.com）的《广东天亿马信息产业股份有限公司第三届董事会第二十六次会议决议公告》（公告编号：2024-086）。</w:t>
            </w:r>
          </w:p>
        </w:tc>
      </w:tr>
      <w:tr w14:paraId="1DC725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1489DF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第三届董事会第二十七次会议</w:t>
            </w:r>
          </w:p>
        </w:tc>
        <w:tc>
          <w:tcPr>
            <w:tcW w:w="2017" w:type="dxa"/>
            <w:tcBorders>
              <w:top w:val="single" w:color="auto" w:sz="2" w:space="0"/>
              <w:left w:val="single" w:color="auto" w:sz="2" w:space="0"/>
              <w:bottom w:val="single" w:color="auto" w:sz="2" w:space="0"/>
              <w:right w:val="single" w:color="auto" w:sz="2" w:space="0"/>
            </w:tcBorders>
            <w:vAlign w:val="center"/>
          </w:tcPr>
          <w:p w14:paraId="53F5F3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2024年12月27日</w:t>
            </w:r>
          </w:p>
        </w:tc>
        <w:tc>
          <w:tcPr>
            <w:tcW w:w="2093" w:type="dxa"/>
            <w:tcBorders>
              <w:top w:val="single" w:color="auto" w:sz="2" w:space="0"/>
              <w:left w:val="single" w:color="auto" w:sz="2" w:space="0"/>
              <w:bottom w:val="single" w:color="auto" w:sz="2" w:space="0"/>
              <w:right w:val="single" w:color="auto" w:sz="2" w:space="0"/>
            </w:tcBorders>
            <w:vAlign w:val="center"/>
          </w:tcPr>
          <w:p w14:paraId="7BCD5BF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2024年12月30日</w:t>
            </w:r>
          </w:p>
        </w:tc>
        <w:tc>
          <w:tcPr>
            <w:tcW w:w="2727" w:type="dxa"/>
            <w:tcBorders>
              <w:top w:val="single" w:color="auto" w:sz="2" w:space="0"/>
              <w:left w:val="single" w:color="auto" w:sz="2" w:space="0"/>
              <w:bottom w:val="single" w:color="auto" w:sz="2" w:space="0"/>
              <w:right w:val="single" w:color="auto" w:sz="2" w:space="0"/>
            </w:tcBorders>
            <w:vAlign w:val="center"/>
          </w:tcPr>
          <w:p w14:paraId="3EDF18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详见2024年12月30日披露于巨潮资讯网（www.cninfo.com）的《广东天亿马信息产业股份有限公司第三届董事会第二十七次会议决议公告》（公告编号：2024-096）。</w:t>
            </w:r>
          </w:p>
        </w:tc>
      </w:tr>
    </w:tbl>
    <w:p w14:paraId="7A0B2E0A">
      <w:pPr>
        <w:pStyle w:val="3"/>
        <w:spacing w:line="280" w:lineRule="exact"/>
        <w:jc w:val="left"/>
        <w:rPr>
          <w:rFonts w:ascii="Times New Roman" w:hAnsi="Times New Roman" w:cs="Times New Roman" w:eastAsiaTheme="majorEastAsia"/>
          <w:b/>
          <w:bCs/>
        </w:rPr>
      </w:pPr>
      <w:bookmarkStart w:id="70" w:name="_Toc988959"/>
      <w:r>
        <w:rPr>
          <w:rFonts w:ascii="Times New Roman" w:hAnsi="Times New Roman" w:cs="Times New Roman" w:eastAsiaTheme="majorEastAsia"/>
          <w:b/>
          <w:bCs/>
        </w:rPr>
        <w:t>2、董事出席董事会及股东大会的情况</w:t>
      </w:r>
      <w:bookmarkEnd w:id="70"/>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4"/>
        <w:gridCol w:w="1205"/>
        <w:gridCol w:w="1205"/>
        <w:gridCol w:w="1205"/>
        <w:gridCol w:w="1205"/>
        <w:gridCol w:w="1205"/>
        <w:gridCol w:w="1205"/>
        <w:gridCol w:w="1205"/>
      </w:tblGrid>
      <w:tr w14:paraId="4BFBB3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6E410E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董事出席董事会及股东大会的情况</w:t>
            </w:r>
          </w:p>
        </w:tc>
      </w:tr>
      <w:tr w14:paraId="439849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B08BE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董事姓名</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71D0E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本报告期应参加董事会次数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B9B224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现场出席董事会次数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3E34C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以通讯方式参加董事会次数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A408AF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委托出席董事会次数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A8FB39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缺席董事会次数</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4CDB11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是否连续两次未亲自参加董事会会议</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69B962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出席股东大会次数</w:t>
            </w:r>
          </w:p>
        </w:tc>
      </w:tr>
      <w:tr w14:paraId="359C1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63D3B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1205" w:type="dxa"/>
            <w:tcBorders>
              <w:top w:val="single" w:color="auto" w:sz="2" w:space="0"/>
              <w:left w:val="single" w:color="auto" w:sz="2" w:space="0"/>
              <w:bottom w:val="single" w:color="auto" w:sz="2" w:space="0"/>
              <w:right w:val="single" w:color="auto" w:sz="2" w:space="0"/>
            </w:tcBorders>
            <w:vAlign w:val="center"/>
          </w:tcPr>
          <w:p w14:paraId="5553C58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351135F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1D6388F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2965CAE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25A572F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399A255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4834808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4F6FB8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99A1D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1205" w:type="dxa"/>
            <w:tcBorders>
              <w:top w:val="single" w:color="auto" w:sz="2" w:space="0"/>
              <w:left w:val="single" w:color="auto" w:sz="2" w:space="0"/>
              <w:bottom w:val="single" w:color="auto" w:sz="2" w:space="0"/>
              <w:right w:val="single" w:color="auto" w:sz="2" w:space="0"/>
            </w:tcBorders>
            <w:vAlign w:val="center"/>
          </w:tcPr>
          <w:p w14:paraId="7F5EF38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75EB826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4</w:t>
            </w:r>
          </w:p>
        </w:tc>
        <w:tc>
          <w:tcPr>
            <w:tcW w:w="1205" w:type="dxa"/>
            <w:tcBorders>
              <w:top w:val="single" w:color="auto" w:sz="2" w:space="0"/>
              <w:left w:val="single" w:color="auto" w:sz="2" w:space="0"/>
              <w:bottom w:val="single" w:color="auto" w:sz="2" w:space="0"/>
              <w:right w:val="single" w:color="auto" w:sz="2" w:space="0"/>
            </w:tcBorders>
            <w:vAlign w:val="center"/>
          </w:tcPr>
          <w:p w14:paraId="3C4627B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w:t>
            </w:r>
          </w:p>
        </w:tc>
        <w:tc>
          <w:tcPr>
            <w:tcW w:w="1205" w:type="dxa"/>
            <w:tcBorders>
              <w:top w:val="single" w:color="auto" w:sz="2" w:space="0"/>
              <w:left w:val="single" w:color="auto" w:sz="2" w:space="0"/>
              <w:bottom w:val="single" w:color="auto" w:sz="2" w:space="0"/>
              <w:right w:val="single" w:color="auto" w:sz="2" w:space="0"/>
            </w:tcBorders>
            <w:vAlign w:val="center"/>
          </w:tcPr>
          <w:p w14:paraId="2EDA3BC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179FD82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547F8D5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540E927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2806F4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4ED052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高俊斌</w:t>
            </w:r>
          </w:p>
        </w:tc>
        <w:tc>
          <w:tcPr>
            <w:tcW w:w="1205" w:type="dxa"/>
            <w:tcBorders>
              <w:top w:val="single" w:color="auto" w:sz="2" w:space="0"/>
              <w:left w:val="single" w:color="auto" w:sz="2" w:space="0"/>
              <w:bottom w:val="single" w:color="auto" w:sz="2" w:space="0"/>
              <w:right w:val="single" w:color="auto" w:sz="2" w:space="0"/>
            </w:tcBorders>
            <w:vAlign w:val="center"/>
          </w:tcPr>
          <w:p w14:paraId="7F5B087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2D71032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470A09E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34EE1BF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0CA9B8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2771CB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6C93FB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3B7F39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19F7DD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张毅</w:t>
            </w:r>
          </w:p>
        </w:tc>
        <w:tc>
          <w:tcPr>
            <w:tcW w:w="1205" w:type="dxa"/>
            <w:tcBorders>
              <w:top w:val="single" w:color="auto" w:sz="2" w:space="0"/>
              <w:left w:val="single" w:color="auto" w:sz="2" w:space="0"/>
              <w:bottom w:val="single" w:color="auto" w:sz="2" w:space="0"/>
              <w:right w:val="single" w:color="auto" w:sz="2" w:space="0"/>
            </w:tcBorders>
            <w:vAlign w:val="center"/>
          </w:tcPr>
          <w:p w14:paraId="0344828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1D126B8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205" w:type="dxa"/>
            <w:tcBorders>
              <w:top w:val="single" w:color="auto" w:sz="2" w:space="0"/>
              <w:left w:val="single" w:color="auto" w:sz="2" w:space="0"/>
              <w:bottom w:val="single" w:color="auto" w:sz="2" w:space="0"/>
              <w:right w:val="single" w:color="auto" w:sz="2" w:space="0"/>
            </w:tcBorders>
            <w:vAlign w:val="center"/>
          </w:tcPr>
          <w:p w14:paraId="05F8452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1205" w:type="dxa"/>
            <w:tcBorders>
              <w:top w:val="single" w:color="auto" w:sz="2" w:space="0"/>
              <w:left w:val="single" w:color="auto" w:sz="2" w:space="0"/>
              <w:bottom w:val="single" w:color="auto" w:sz="2" w:space="0"/>
              <w:right w:val="single" w:color="auto" w:sz="2" w:space="0"/>
            </w:tcBorders>
            <w:vAlign w:val="center"/>
          </w:tcPr>
          <w:p w14:paraId="4E2D690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EAB977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0C42F94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604DE1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2E9EA1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55310E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w:t>
            </w:r>
          </w:p>
        </w:tc>
        <w:tc>
          <w:tcPr>
            <w:tcW w:w="1205" w:type="dxa"/>
            <w:tcBorders>
              <w:top w:val="single" w:color="auto" w:sz="2" w:space="0"/>
              <w:left w:val="single" w:color="auto" w:sz="2" w:space="0"/>
              <w:bottom w:val="single" w:color="auto" w:sz="2" w:space="0"/>
              <w:right w:val="single" w:color="auto" w:sz="2" w:space="0"/>
            </w:tcBorders>
            <w:vAlign w:val="center"/>
          </w:tcPr>
          <w:p w14:paraId="0104688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562E0C6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19967E7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3937F76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64FDC1A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0572AE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4960715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386043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4C455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蔡浩</w:t>
            </w:r>
          </w:p>
        </w:tc>
        <w:tc>
          <w:tcPr>
            <w:tcW w:w="1205" w:type="dxa"/>
            <w:tcBorders>
              <w:top w:val="single" w:color="auto" w:sz="2" w:space="0"/>
              <w:left w:val="single" w:color="auto" w:sz="2" w:space="0"/>
              <w:bottom w:val="single" w:color="auto" w:sz="2" w:space="0"/>
              <w:right w:val="single" w:color="auto" w:sz="2" w:space="0"/>
            </w:tcBorders>
            <w:vAlign w:val="center"/>
          </w:tcPr>
          <w:p w14:paraId="3D0B409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457E7F6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w:t>
            </w:r>
          </w:p>
        </w:tc>
        <w:tc>
          <w:tcPr>
            <w:tcW w:w="1205" w:type="dxa"/>
            <w:tcBorders>
              <w:top w:val="single" w:color="auto" w:sz="2" w:space="0"/>
              <w:left w:val="single" w:color="auto" w:sz="2" w:space="0"/>
              <w:bottom w:val="single" w:color="auto" w:sz="2" w:space="0"/>
              <w:right w:val="single" w:color="auto" w:sz="2" w:space="0"/>
            </w:tcBorders>
            <w:vAlign w:val="center"/>
          </w:tcPr>
          <w:p w14:paraId="1025ECF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1205" w:type="dxa"/>
            <w:tcBorders>
              <w:top w:val="single" w:color="auto" w:sz="2" w:space="0"/>
              <w:left w:val="single" w:color="auto" w:sz="2" w:space="0"/>
              <w:bottom w:val="single" w:color="auto" w:sz="2" w:space="0"/>
              <w:right w:val="single" w:color="auto" w:sz="2" w:space="0"/>
            </w:tcBorders>
            <w:vAlign w:val="center"/>
          </w:tcPr>
          <w:p w14:paraId="68708AB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2DA9884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434A092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3F8849C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638AB7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04C4E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w:t>
            </w:r>
          </w:p>
        </w:tc>
        <w:tc>
          <w:tcPr>
            <w:tcW w:w="1205" w:type="dxa"/>
            <w:tcBorders>
              <w:top w:val="single" w:color="auto" w:sz="2" w:space="0"/>
              <w:left w:val="single" w:color="auto" w:sz="2" w:space="0"/>
              <w:bottom w:val="single" w:color="auto" w:sz="2" w:space="0"/>
              <w:right w:val="single" w:color="auto" w:sz="2" w:space="0"/>
            </w:tcBorders>
            <w:vAlign w:val="center"/>
          </w:tcPr>
          <w:p w14:paraId="773DE49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45C93A6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0D90334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48F589B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540B747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CC7DB0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16E9329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r w14:paraId="3FF3EC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453E35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1205" w:type="dxa"/>
            <w:tcBorders>
              <w:top w:val="single" w:color="auto" w:sz="2" w:space="0"/>
              <w:left w:val="single" w:color="auto" w:sz="2" w:space="0"/>
              <w:bottom w:val="single" w:color="auto" w:sz="2" w:space="0"/>
              <w:right w:val="single" w:color="auto" w:sz="2" w:space="0"/>
            </w:tcBorders>
            <w:vAlign w:val="center"/>
          </w:tcPr>
          <w:p w14:paraId="5811977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57DA51C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0B413BA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205" w:type="dxa"/>
            <w:tcBorders>
              <w:top w:val="single" w:color="auto" w:sz="2" w:space="0"/>
              <w:left w:val="single" w:color="auto" w:sz="2" w:space="0"/>
              <w:bottom w:val="single" w:color="auto" w:sz="2" w:space="0"/>
              <w:right w:val="single" w:color="auto" w:sz="2" w:space="0"/>
            </w:tcBorders>
            <w:vAlign w:val="center"/>
          </w:tcPr>
          <w:p w14:paraId="03B1996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2BE185C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205" w:type="dxa"/>
            <w:tcBorders>
              <w:top w:val="single" w:color="auto" w:sz="2" w:space="0"/>
              <w:left w:val="single" w:color="auto" w:sz="2" w:space="0"/>
              <w:bottom w:val="single" w:color="auto" w:sz="2" w:space="0"/>
              <w:right w:val="single" w:color="auto" w:sz="2" w:space="0"/>
            </w:tcBorders>
            <w:vAlign w:val="center"/>
          </w:tcPr>
          <w:p w14:paraId="7E85ACC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1205" w:type="dxa"/>
            <w:tcBorders>
              <w:top w:val="single" w:color="auto" w:sz="2" w:space="0"/>
              <w:left w:val="single" w:color="auto" w:sz="2" w:space="0"/>
              <w:bottom w:val="single" w:color="auto" w:sz="2" w:space="0"/>
              <w:right w:val="single" w:color="auto" w:sz="2" w:space="0"/>
            </w:tcBorders>
            <w:vAlign w:val="center"/>
          </w:tcPr>
          <w:p w14:paraId="0F06C56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r>
    </w:tbl>
    <w:p w14:paraId="62ECD6D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连续两次未亲自出席董事会的说明</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6BB96A45">
      <w:pPr>
        <w:pStyle w:val="3"/>
        <w:spacing w:line="280" w:lineRule="exact"/>
        <w:jc w:val="left"/>
        <w:rPr>
          <w:rFonts w:ascii="Times New Roman" w:hAnsi="Times New Roman" w:cs="Times New Roman" w:eastAsiaTheme="majorEastAsia"/>
          <w:b/>
          <w:bCs/>
        </w:rPr>
      </w:pPr>
      <w:bookmarkStart w:id="71" w:name="_Toc988960"/>
      <w:r>
        <w:rPr>
          <w:rFonts w:ascii="Times New Roman" w:hAnsi="Times New Roman" w:cs="Times New Roman" w:eastAsiaTheme="majorEastAsia"/>
          <w:b/>
          <w:bCs/>
        </w:rPr>
        <w:t>3、董事对公司有关事项提出异议的情况</w:t>
      </w:r>
      <w:bookmarkEnd w:id="71"/>
    </w:p>
    <w:p w14:paraId="7BA4940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董事对公司有关事项是否提出异议</w:t>
      </w:r>
    </w:p>
    <w:p w14:paraId="4E20632A">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1CCC8B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报告期内董事对公司有关事项未提出异议。</w:t>
      </w:r>
    </w:p>
    <w:p w14:paraId="356CCE7E">
      <w:pPr>
        <w:pStyle w:val="3"/>
        <w:spacing w:line="280" w:lineRule="exact"/>
        <w:jc w:val="left"/>
        <w:rPr>
          <w:rFonts w:ascii="Times New Roman" w:hAnsi="Times New Roman" w:cs="Times New Roman" w:eastAsiaTheme="majorEastAsia"/>
          <w:b/>
          <w:bCs/>
        </w:rPr>
      </w:pPr>
      <w:bookmarkStart w:id="72" w:name="_Toc988961"/>
      <w:r>
        <w:rPr>
          <w:rFonts w:ascii="Times New Roman" w:hAnsi="Times New Roman" w:cs="Times New Roman" w:eastAsiaTheme="majorEastAsia"/>
          <w:b/>
          <w:bCs/>
        </w:rPr>
        <w:t>4、董事履行职责的其他说明</w:t>
      </w:r>
      <w:bookmarkEnd w:id="72"/>
    </w:p>
    <w:p w14:paraId="4C39611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董事对公司有关建议是否被采纳</w:t>
      </w:r>
    </w:p>
    <w:p w14:paraId="61481E9D">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27CBBA6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董事对公司有关建议被采纳或未被采纳的说明</w:t>
      </w:r>
    </w:p>
    <w:p w14:paraId="60859FDE">
      <w:pPr>
        <w:pStyle w:val="1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p w14:paraId="7538D3DD">
      <w:pPr>
        <w:pStyle w:val="2"/>
        <w:spacing w:before="300" w:after="300" w:line="320" w:lineRule="exact"/>
        <w:rPr>
          <w:rFonts w:ascii="Times New Roman" w:hAnsi="Times New Roman" w:cs="Times New Roman" w:eastAsiaTheme="majorEastAsia"/>
          <w:b/>
          <w:bCs/>
          <w:sz w:val="24"/>
          <w:szCs w:val="24"/>
        </w:rPr>
      </w:pPr>
      <w:bookmarkStart w:id="73" w:name="_Toc988962"/>
      <w:r>
        <w:rPr>
          <w:rFonts w:ascii="Times New Roman" w:hAnsi="Times New Roman" w:cs="Times New Roman" w:eastAsiaTheme="majorEastAsia"/>
          <w:b/>
          <w:bCs/>
          <w:sz w:val="24"/>
          <w:szCs w:val="24"/>
        </w:rPr>
        <w:t>九、董事会下设专门委员会在报告期内的情况</w:t>
      </w:r>
      <w:bookmarkEnd w:id="73"/>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57"/>
        <w:gridCol w:w="783"/>
        <w:gridCol w:w="511"/>
        <w:gridCol w:w="716"/>
        <w:gridCol w:w="3021"/>
        <w:gridCol w:w="2879"/>
        <w:gridCol w:w="580"/>
        <w:gridCol w:w="806"/>
      </w:tblGrid>
      <w:tr w14:paraId="669AD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F6955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委员会名称</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4DC2C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成员情况</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99AF1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召开会议次数</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B86AE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召开日期</w:t>
            </w:r>
          </w:p>
        </w:tc>
        <w:tc>
          <w:tcPr>
            <w:tcW w:w="3022" w:type="dxa"/>
            <w:tcBorders>
              <w:top w:val="single" w:color="auto" w:sz="2" w:space="0"/>
              <w:left w:val="single" w:color="auto" w:sz="2" w:space="0"/>
              <w:bottom w:val="single" w:color="auto" w:sz="2" w:space="0"/>
              <w:right w:val="single" w:color="auto" w:sz="2" w:space="0"/>
            </w:tcBorders>
            <w:shd w:val="clear" w:color="auto" w:fill="D3D3D3"/>
            <w:vAlign w:val="center"/>
          </w:tcPr>
          <w:p w14:paraId="6F3A139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会议内容</w:t>
            </w:r>
          </w:p>
        </w:tc>
        <w:tc>
          <w:tcPr>
            <w:tcW w:w="2879" w:type="dxa"/>
            <w:tcBorders>
              <w:top w:val="single" w:color="auto" w:sz="2" w:space="0"/>
              <w:left w:val="single" w:color="auto" w:sz="2" w:space="0"/>
              <w:bottom w:val="single" w:color="auto" w:sz="2" w:space="0"/>
              <w:right w:val="single" w:color="auto" w:sz="2" w:space="0"/>
            </w:tcBorders>
            <w:shd w:val="clear" w:color="auto" w:fill="D3D3D3"/>
            <w:vAlign w:val="center"/>
          </w:tcPr>
          <w:p w14:paraId="339599D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提出的重要意见和建议</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1DF9F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其他履行职责的情况</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0A169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异议事项具体情况（如有）</w:t>
            </w:r>
          </w:p>
        </w:tc>
      </w:tr>
      <w:tr w14:paraId="2C52DA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9539E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5E60E5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33BD43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5C4A4E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2024年02月05日</w:t>
            </w:r>
          </w:p>
        </w:tc>
        <w:tc>
          <w:tcPr>
            <w:tcW w:w="3022" w:type="dxa"/>
            <w:tcBorders>
              <w:top w:val="single" w:color="auto" w:sz="2" w:space="0"/>
              <w:left w:val="single" w:color="auto" w:sz="2" w:space="0"/>
              <w:bottom w:val="single" w:color="auto" w:sz="2" w:space="0"/>
              <w:right w:val="single" w:color="auto" w:sz="2" w:space="0"/>
            </w:tcBorders>
            <w:vAlign w:val="center"/>
          </w:tcPr>
          <w:p w14:paraId="36D328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审议《关于公司&lt;2023年度内部审计报告&gt;的议案》</w:t>
            </w:r>
          </w:p>
        </w:tc>
        <w:tc>
          <w:tcPr>
            <w:tcW w:w="2879" w:type="dxa"/>
            <w:tcBorders>
              <w:top w:val="single" w:color="auto" w:sz="2" w:space="0"/>
              <w:left w:val="single" w:color="auto" w:sz="2" w:space="0"/>
              <w:bottom w:val="single" w:color="auto" w:sz="2" w:space="0"/>
              <w:right w:val="single" w:color="auto" w:sz="2" w:space="0"/>
            </w:tcBorders>
            <w:vAlign w:val="center"/>
          </w:tcPr>
          <w:p w14:paraId="10E931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审议通过该议案。</w:t>
            </w:r>
          </w:p>
        </w:tc>
        <w:tc>
          <w:tcPr>
            <w:tcW w:w="0" w:type="auto"/>
            <w:tcBorders>
              <w:top w:val="single" w:color="auto" w:sz="2" w:space="0"/>
              <w:left w:val="single" w:color="auto" w:sz="2" w:space="0"/>
              <w:bottom w:val="single" w:color="auto" w:sz="2" w:space="0"/>
              <w:right w:val="single" w:color="auto" w:sz="2" w:space="0"/>
            </w:tcBorders>
            <w:vAlign w:val="center"/>
          </w:tcPr>
          <w:p w14:paraId="0255CA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46F386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0A7ED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96B6C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2CD9CDE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5FC800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4F99C2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2024年04月12日</w:t>
            </w:r>
          </w:p>
        </w:tc>
        <w:tc>
          <w:tcPr>
            <w:tcW w:w="3022" w:type="dxa"/>
            <w:tcBorders>
              <w:top w:val="single" w:color="auto" w:sz="2" w:space="0"/>
              <w:left w:val="single" w:color="auto" w:sz="2" w:space="0"/>
              <w:bottom w:val="single" w:color="auto" w:sz="2" w:space="0"/>
              <w:right w:val="single" w:color="auto" w:sz="2" w:space="0"/>
            </w:tcBorders>
            <w:vAlign w:val="center"/>
          </w:tcPr>
          <w:p w14:paraId="1E7F44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1.审议《关于&lt;2023年度财务决算报告&gt;的议案》；</w:t>
            </w:r>
          </w:p>
          <w:p w14:paraId="604A97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2.审议《关于&lt;2023年度利润分配预案&gt;的议案》；</w:t>
            </w:r>
          </w:p>
          <w:p w14:paraId="472AB4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3.审议《关于预计2024年度日常性关联交易的议案》；</w:t>
            </w:r>
          </w:p>
          <w:p w14:paraId="11303F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4.审议《关于公司及子公司拟申请综合授信额度暨关联方提供担保的议案》；</w:t>
            </w:r>
          </w:p>
          <w:p w14:paraId="787E7B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5.审议《关于子公司拟申请金融机构综合授信额度并由公司为其提供担保的议案》；</w:t>
            </w:r>
          </w:p>
          <w:p w14:paraId="4B9816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6.审议《关于&lt;公司2023年年度报告&gt;及&lt;公司2023年年度报告摘要&gt;的议案》；</w:t>
            </w:r>
          </w:p>
          <w:p w14:paraId="59CD78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7.审议《关于&lt;公司2023年度募集资金存放与使用情况的专项报告&gt;的议案》；</w:t>
            </w:r>
          </w:p>
          <w:p w14:paraId="010D57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8.审议《关于&lt;公司内部控制有效性的自我评价报告&gt;及&lt;公司2023年度内部控制审计报告&gt;的议案》；</w:t>
            </w:r>
          </w:p>
          <w:p w14:paraId="21F051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9.审议《关于&lt;2023年度财务审计报告&gt;的议案》；</w:t>
            </w:r>
          </w:p>
          <w:p w14:paraId="2A81FC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10.审议《关于&lt;公司2024年第一季度报告&gt;的议案》；</w:t>
            </w:r>
          </w:p>
          <w:p w14:paraId="277732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11.审议《关于&lt;董事会审计委员会关于对会计师事务所2023年度履职情况评估及履行监督职责情况的报告&gt;的议案》；</w:t>
            </w:r>
          </w:p>
          <w:p w14:paraId="56DC60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12.审议《关于2023年度计提资产减值准备及核销资产的议案》；</w:t>
            </w:r>
          </w:p>
          <w:p w14:paraId="64BF72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13.审议《关于为子公司提供财务资助的议案》。</w:t>
            </w:r>
          </w:p>
        </w:tc>
        <w:tc>
          <w:tcPr>
            <w:tcW w:w="2879" w:type="dxa"/>
            <w:tcBorders>
              <w:top w:val="single" w:color="auto" w:sz="2" w:space="0"/>
              <w:left w:val="single" w:color="auto" w:sz="2" w:space="0"/>
              <w:bottom w:val="single" w:color="auto" w:sz="2" w:space="0"/>
              <w:right w:val="single" w:color="auto" w:sz="2" w:space="0"/>
            </w:tcBorders>
            <w:vAlign w:val="center"/>
          </w:tcPr>
          <w:p w14:paraId="46A22A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了以上议案，并同意将《2023年度财务决算报告》《2023年度利润分配预案》《关于预计2024年度日常性关联交易的议案》《关于子公司拟申请金融机构综合授信额度并由公司为其提供担保的议案》《关于&lt;公司2023年年度报告&gt;及&lt;公司2023年年度报告摘要&gt;的议案》《关于&lt;公司2023年度募集资金存放与使用情况的专项报告&gt;的议案》《关于&lt;公司内部控制有效性的自我评价报告&gt;的议案》《关于&lt;2023年度财务审计报告&gt;的议案》《关于&lt;公司2024年第一季度报告&gt;的议案》《关于2023年度计提资产减值准备及核销资产的议案》《关于为子公司提供财务资助的议案》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2B8AD3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661835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2F19D0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4FC8A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1FF53F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00E9FD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04F3B5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2024年08月17日</w:t>
            </w:r>
          </w:p>
        </w:tc>
        <w:tc>
          <w:tcPr>
            <w:tcW w:w="3022" w:type="dxa"/>
            <w:tcBorders>
              <w:top w:val="single" w:color="auto" w:sz="2" w:space="0"/>
              <w:left w:val="single" w:color="auto" w:sz="2" w:space="0"/>
              <w:bottom w:val="single" w:color="auto" w:sz="2" w:space="0"/>
              <w:right w:val="single" w:color="auto" w:sz="2" w:space="0"/>
            </w:tcBorders>
            <w:vAlign w:val="center"/>
          </w:tcPr>
          <w:p w14:paraId="65AF5BF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1.审议《关于公司&lt;2024年半年度报告&gt;及&lt;2024年半年度报告摘要&gt;的议案》；</w:t>
            </w:r>
          </w:p>
          <w:p w14:paraId="7AFC15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2.审议《关于公司&lt;2024年半年度内部审计报告&gt;的议案》；</w:t>
            </w:r>
          </w:p>
          <w:p w14:paraId="013D36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3.审议《关于公司&lt;2024年第三季度内部审计计划&gt;的议案》。</w:t>
            </w:r>
          </w:p>
        </w:tc>
        <w:tc>
          <w:tcPr>
            <w:tcW w:w="2879" w:type="dxa"/>
            <w:tcBorders>
              <w:top w:val="single" w:color="auto" w:sz="2" w:space="0"/>
              <w:left w:val="single" w:color="auto" w:sz="2" w:space="0"/>
              <w:bottom w:val="single" w:color="auto" w:sz="2" w:space="0"/>
              <w:right w:val="single" w:color="auto" w:sz="2" w:space="0"/>
            </w:tcBorders>
            <w:vAlign w:val="center"/>
          </w:tcPr>
          <w:p w14:paraId="1F7EDF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审议通过了以上议案，并同意将《关于公司&lt;2024年半年度报告&gt;及&lt;2024年半年度报告摘要&gt;的议案》提交至公司董事会审议。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6711F72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176A3C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3936BF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3BBAD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22B90B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79D290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2F9933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2024年10月21日</w:t>
            </w:r>
          </w:p>
        </w:tc>
        <w:tc>
          <w:tcPr>
            <w:tcW w:w="3022" w:type="dxa"/>
            <w:tcBorders>
              <w:top w:val="single" w:color="auto" w:sz="2" w:space="0"/>
              <w:left w:val="single" w:color="auto" w:sz="2" w:space="0"/>
              <w:bottom w:val="single" w:color="auto" w:sz="2" w:space="0"/>
              <w:right w:val="single" w:color="auto" w:sz="2" w:space="0"/>
            </w:tcBorders>
            <w:vAlign w:val="center"/>
          </w:tcPr>
          <w:p w14:paraId="0E0B80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1.审议《关于公司&lt;2024年第三季度报告&gt;的议案》；</w:t>
            </w:r>
          </w:p>
          <w:p w14:paraId="412294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2.审议《关于公司&lt;2024年第三季度内部审计报告&gt;的议案》；</w:t>
            </w:r>
          </w:p>
          <w:p w14:paraId="03C574C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3.《关于公司&lt;2024年第四季度内部审计计划&gt;的议案》。</w:t>
            </w:r>
          </w:p>
        </w:tc>
        <w:tc>
          <w:tcPr>
            <w:tcW w:w="2879" w:type="dxa"/>
            <w:tcBorders>
              <w:top w:val="single" w:color="auto" w:sz="2" w:space="0"/>
              <w:left w:val="single" w:color="auto" w:sz="2" w:space="0"/>
              <w:bottom w:val="single" w:color="auto" w:sz="2" w:space="0"/>
              <w:right w:val="single" w:color="auto" w:sz="2" w:space="0"/>
            </w:tcBorders>
            <w:vAlign w:val="center"/>
          </w:tcPr>
          <w:p w14:paraId="0DF515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审议通过了以上议案，并同意将《关于公司&lt;2024年第三季度报告&gt;的议案》提交至公司董事会审议。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79ABD9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5C2315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3391F8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87059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6C4EDC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45CBDA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694049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2024年12月08日</w:t>
            </w:r>
          </w:p>
        </w:tc>
        <w:tc>
          <w:tcPr>
            <w:tcW w:w="3022" w:type="dxa"/>
            <w:tcBorders>
              <w:top w:val="single" w:color="auto" w:sz="2" w:space="0"/>
              <w:left w:val="single" w:color="auto" w:sz="2" w:space="0"/>
              <w:bottom w:val="single" w:color="auto" w:sz="2" w:space="0"/>
              <w:right w:val="single" w:color="auto" w:sz="2" w:space="0"/>
            </w:tcBorders>
            <w:vAlign w:val="center"/>
          </w:tcPr>
          <w:p w14:paraId="4B6757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1.《关于拟聘任2024年度审计机构的议案》。</w:t>
            </w:r>
          </w:p>
        </w:tc>
        <w:tc>
          <w:tcPr>
            <w:tcW w:w="2879" w:type="dxa"/>
            <w:tcBorders>
              <w:top w:val="single" w:color="auto" w:sz="2" w:space="0"/>
              <w:left w:val="single" w:color="auto" w:sz="2" w:space="0"/>
              <w:bottom w:val="single" w:color="auto" w:sz="2" w:space="0"/>
              <w:right w:val="single" w:color="auto" w:sz="2" w:space="0"/>
            </w:tcBorders>
            <w:vAlign w:val="center"/>
          </w:tcPr>
          <w:p w14:paraId="665C976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审议通过该议案，并同意将其提交至公司董事会审议。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374543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6716CC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31456B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1B44B1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审计委员会</w:t>
            </w:r>
          </w:p>
        </w:tc>
        <w:tc>
          <w:tcPr>
            <w:tcW w:w="0" w:type="auto"/>
            <w:tcBorders>
              <w:top w:val="single" w:color="auto" w:sz="2" w:space="0"/>
              <w:left w:val="single" w:color="auto" w:sz="2" w:space="0"/>
              <w:bottom w:val="single" w:color="auto" w:sz="2" w:space="0"/>
              <w:right w:val="single" w:color="auto" w:sz="2" w:space="0"/>
            </w:tcBorders>
            <w:vAlign w:val="center"/>
          </w:tcPr>
          <w:p w14:paraId="12C8B10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曹丽梅、石洁芝、高俊斌</w:t>
            </w:r>
          </w:p>
        </w:tc>
        <w:tc>
          <w:tcPr>
            <w:tcW w:w="0" w:type="auto"/>
            <w:tcBorders>
              <w:top w:val="single" w:color="auto" w:sz="2" w:space="0"/>
              <w:left w:val="single" w:color="auto" w:sz="2" w:space="0"/>
              <w:bottom w:val="single" w:color="auto" w:sz="2" w:space="0"/>
              <w:right w:val="single" w:color="auto" w:sz="2" w:space="0"/>
            </w:tcBorders>
            <w:vAlign w:val="center"/>
          </w:tcPr>
          <w:p w14:paraId="5BDDF7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c>
          <w:tcPr>
            <w:tcW w:w="0" w:type="auto"/>
            <w:tcBorders>
              <w:top w:val="single" w:color="auto" w:sz="2" w:space="0"/>
              <w:left w:val="single" w:color="auto" w:sz="2" w:space="0"/>
              <w:bottom w:val="single" w:color="auto" w:sz="2" w:space="0"/>
              <w:right w:val="single" w:color="auto" w:sz="2" w:space="0"/>
            </w:tcBorders>
            <w:vAlign w:val="center"/>
          </w:tcPr>
          <w:p w14:paraId="7F8289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2024年12月17日</w:t>
            </w:r>
          </w:p>
        </w:tc>
        <w:tc>
          <w:tcPr>
            <w:tcW w:w="3022" w:type="dxa"/>
            <w:tcBorders>
              <w:top w:val="single" w:color="auto" w:sz="2" w:space="0"/>
              <w:left w:val="single" w:color="auto" w:sz="2" w:space="0"/>
              <w:bottom w:val="single" w:color="auto" w:sz="2" w:space="0"/>
              <w:right w:val="single" w:color="auto" w:sz="2" w:space="0"/>
            </w:tcBorders>
            <w:vAlign w:val="center"/>
          </w:tcPr>
          <w:p w14:paraId="083787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1.《关于2025年内部审计工作计划的议案》。</w:t>
            </w:r>
          </w:p>
        </w:tc>
        <w:tc>
          <w:tcPr>
            <w:tcW w:w="2879" w:type="dxa"/>
            <w:tcBorders>
              <w:top w:val="single" w:color="auto" w:sz="2" w:space="0"/>
              <w:left w:val="single" w:color="auto" w:sz="2" w:space="0"/>
              <w:bottom w:val="single" w:color="auto" w:sz="2" w:space="0"/>
              <w:right w:val="single" w:color="auto" w:sz="2" w:space="0"/>
            </w:tcBorders>
            <w:vAlign w:val="center"/>
          </w:tcPr>
          <w:p w14:paraId="79D387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审议通过该议案。</w:t>
            </w:r>
          </w:p>
        </w:tc>
        <w:tc>
          <w:tcPr>
            <w:tcW w:w="0" w:type="auto"/>
            <w:tcBorders>
              <w:top w:val="single" w:color="auto" w:sz="2" w:space="0"/>
              <w:left w:val="single" w:color="auto" w:sz="2" w:space="0"/>
              <w:bottom w:val="single" w:color="auto" w:sz="2" w:space="0"/>
              <w:right w:val="single" w:color="auto" w:sz="2" w:space="0"/>
            </w:tcBorders>
            <w:vAlign w:val="center"/>
          </w:tcPr>
          <w:p w14:paraId="60EFDA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4BF2C30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2A5D64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64D1D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薪酬与考核委员会</w:t>
            </w:r>
          </w:p>
        </w:tc>
        <w:tc>
          <w:tcPr>
            <w:tcW w:w="0" w:type="auto"/>
            <w:tcBorders>
              <w:top w:val="single" w:color="auto" w:sz="2" w:space="0"/>
              <w:left w:val="single" w:color="auto" w:sz="2" w:space="0"/>
              <w:bottom w:val="single" w:color="auto" w:sz="2" w:space="0"/>
              <w:right w:val="single" w:color="auto" w:sz="2" w:space="0"/>
            </w:tcBorders>
            <w:vAlign w:val="center"/>
          </w:tcPr>
          <w:p w14:paraId="0CAF9F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石洁芝、曹丽梅、张毅</w:t>
            </w:r>
          </w:p>
        </w:tc>
        <w:tc>
          <w:tcPr>
            <w:tcW w:w="0" w:type="auto"/>
            <w:tcBorders>
              <w:top w:val="single" w:color="auto" w:sz="2" w:space="0"/>
              <w:left w:val="single" w:color="auto" w:sz="2" w:space="0"/>
              <w:bottom w:val="single" w:color="auto" w:sz="2" w:space="0"/>
              <w:right w:val="single" w:color="auto" w:sz="2" w:space="0"/>
            </w:tcBorders>
            <w:vAlign w:val="center"/>
          </w:tcPr>
          <w:p w14:paraId="643BD1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0" w:type="auto"/>
            <w:tcBorders>
              <w:top w:val="single" w:color="auto" w:sz="2" w:space="0"/>
              <w:left w:val="single" w:color="auto" w:sz="2" w:space="0"/>
              <w:bottom w:val="single" w:color="auto" w:sz="2" w:space="0"/>
              <w:right w:val="single" w:color="auto" w:sz="2" w:space="0"/>
            </w:tcBorders>
            <w:vAlign w:val="center"/>
          </w:tcPr>
          <w:p w14:paraId="4DAF72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2024年04月12日</w:t>
            </w:r>
          </w:p>
        </w:tc>
        <w:tc>
          <w:tcPr>
            <w:tcW w:w="3022" w:type="dxa"/>
            <w:tcBorders>
              <w:top w:val="single" w:color="auto" w:sz="2" w:space="0"/>
              <w:left w:val="single" w:color="auto" w:sz="2" w:space="0"/>
              <w:bottom w:val="single" w:color="auto" w:sz="2" w:space="0"/>
              <w:right w:val="single" w:color="auto" w:sz="2" w:space="0"/>
            </w:tcBorders>
            <w:vAlign w:val="center"/>
          </w:tcPr>
          <w:p w14:paraId="4A5411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1.《关于公司董事及高级管理人员2024年度薪酬待遇方案的议案》；</w:t>
            </w:r>
          </w:p>
          <w:p w14:paraId="34FB46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2.《关于回购注销部分已授予但尚未解除限售的限制性股票的议案》；</w:t>
            </w:r>
          </w:p>
          <w:p w14:paraId="7012817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3.《关于作废部分已授予但尚未归属的限制性股票的议案》。</w:t>
            </w:r>
          </w:p>
        </w:tc>
        <w:tc>
          <w:tcPr>
            <w:tcW w:w="2879" w:type="dxa"/>
            <w:tcBorders>
              <w:top w:val="single" w:color="auto" w:sz="2" w:space="0"/>
              <w:left w:val="single" w:color="auto" w:sz="2" w:space="0"/>
              <w:bottom w:val="single" w:color="auto" w:sz="2" w:space="0"/>
              <w:right w:val="single" w:color="auto" w:sz="2" w:space="0"/>
            </w:tcBorders>
            <w:vAlign w:val="center"/>
          </w:tcPr>
          <w:p w14:paraId="7FD3A9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审议通过了以上议案，并同意提交至公司董事会审议。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6083B9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04D8FC5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0E59FF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4890C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薪酬与考核委员会</w:t>
            </w:r>
          </w:p>
        </w:tc>
        <w:tc>
          <w:tcPr>
            <w:tcW w:w="0" w:type="auto"/>
            <w:tcBorders>
              <w:top w:val="single" w:color="auto" w:sz="2" w:space="0"/>
              <w:left w:val="single" w:color="auto" w:sz="2" w:space="0"/>
              <w:bottom w:val="single" w:color="auto" w:sz="2" w:space="0"/>
              <w:right w:val="single" w:color="auto" w:sz="2" w:space="0"/>
            </w:tcBorders>
            <w:vAlign w:val="center"/>
          </w:tcPr>
          <w:p w14:paraId="01E90C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石洁芝、曹丽梅、张毅</w:t>
            </w:r>
          </w:p>
        </w:tc>
        <w:tc>
          <w:tcPr>
            <w:tcW w:w="0" w:type="auto"/>
            <w:tcBorders>
              <w:top w:val="single" w:color="auto" w:sz="2" w:space="0"/>
              <w:left w:val="single" w:color="auto" w:sz="2" w:space="0"/>
              <w:bottom w:val="single" w:color="auto" w:sz="2" w:space="0"/>
              <w:right w:val="single" w:color="auto" w:sz="2" w:space="0"/>
            </w:tcBorders>
            <w:vAlign w:val="center"/>
          </w:tcPr>
          <w:p w14:paraId="5ECB00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c>
          <w:tcPr>
            <w:tcW w:w="0" w:type="auto"/>
            <w:tcBorders>
              <w:top w:val="single" w:color="auto" w:sz="2" w:space="0"/>
              <w:left w:val="single" w:color="auto" w:sz="2" w:space="0"/>
              <w:bottom w:val="single" w:color="auto" w:sz="2" w:space="0"/>
              <w:right w:val="single" w:color="auto" w:sz="2" w:space="0"/>
            </w:tcBorders>
            <w:vAlign w:val="center"/>
          </w:tcPr>
          <w:p w14:paraId="220A16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2024年08月17日</w:t>
            </w:r>
          </w:p>
        </w:tc>
        <w:tc>
          <w:tcPr>
            <w:tcW w:w="3022" w:type="dxa"/>
            <w:tcBorders>
              <w:top w:val="single" w:color="auto" w:sz="2" w:space="0"/>
              <w:left w:val="single" w:color="auto" w:sz="2" w:space="0"/>
              <w:bottom w:val="single" w:color="auto" w:sz="2" w:space="0"/>
              <w:right w:val="single" w:color="auto" w:sz="2" w:space="0"/>
            </w:tcBorders>
            <w:vAlign w:val="center"/>
          </w:tcPr>
          <w:p w14:paraId="45D4C3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《关于调整2023年限制性股票激励计划第一类限制性股票回购价格、第二类限制性股票授予价格的议案》</w:t>
            </w:r>
          </w:p>
        </w:tc>
        <w:tc>
          <w:tcPr>
            <w:tcW w:w="2879" w:type="dxa"/>
            <w:tcBorders>
              <w:top w:val="single" w:color="auto" w:sz="2" w:space="0"/>
              <w:left w:val="single" w:color="auto" w:sz="2" w:space="0"/>
              <w:bottom w:val="single" w:color="auto" w:sz="2" w:space="0"/>
              <w:right w:val="single" w:color="auto" w:sz="2" w:space="0"/>
            </w:tcBorders>
            <w:vAlign w:val="center"/>
          </w:tcPr>
          <w:p w14:paraId="520C15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审议通过该议案，并同意将其提交至公司董事会审议。</w:t>
            </w:r>
          </w:p>
        </w:tc>
        <w:tc>
          <w:tcPr>
            <w:tcW w:w="0" w:type="auto"/>
            <w:tcBorders>
              <w:top w:val="single" w:color="auto" w:sz="2" w:space="0"/>
              <w:left w:val="single" w:color="auto" w:sz="2" w:space="0"/>
              <w:bottom w:val="single" w:color="auto" w:sz="2" w:space="0"/>
              <w:right w:val="single" w:color="auto" w:sz="2" w:space="0"/>
            </w:tcBorders>
            <w:vAlign w:val="center"/>
          </w:tcPr>
          <w:p w14:paraId="3B96E4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7925857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3E207E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E89B55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战略委员会</w:t>
            </w:r>
          </w:p>
        </w:tc>
        <w:tc>
          <w:tcPr>
            <w:tcW w:w="0" w:type="auto"/>
            <w:tcBorders>
              <w:top w:val="single" w:color="auto" w:sz="2" w:space="0"/>
              <w:left w:val="single" w:color="auto" w:sz="2" w:space="0"/>
              <w:bottom w:val="single" w:color="auto" w:sz="2" w:space="0"/>
              <w:right w:val="single" w:color="auto" w:sz="2" w:space="0"/>
            </w:tcBorders>
            <w:vAlign w:val="center"/>
          </w:tcPr>
          <w:p w14:paraId="432D91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林明玲、马学沛、蔡浩</w:t>
            </w:r>
          </w:p>
        </w:tc>
        <w:tc>
          <w:tcPr>
            <w:tcW w:w="0" w:type="auto"/>
            <w:tcBorders>
              <w:top w:val="single" w:color="auto" w:sz="2" w:space="0"/>
              <w:left w:val="single" w:color="auto" w:sz="2" w:space="0"/>
              <w:bottom w:val="single" w:color="auto" w:sz="2" w:space="0"/>
              <w:right w:val="single" w:color="auto" w:sz="2" w:space="0"/>
            </w:tcBorders>
            <w:vAlign w:val="center"/>
          </w:tcPr>
          <w:p w14:paraId="3EB7A7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w:t>
            </w:r>
          </w:p>
        </w:tc>
        <w:tc>
          <w:tcPr>
            <w:tcW w:w="0" w:type="auto"/>
            <w:tcBorders>
              <w:top w:val="single" w:color="auto" w:sz="2" w:space="0"/>
              <w:left w:val="single" w:color="auto" w:sz="2" w:space="0"/>
              <w:bottom w:val="single" w:color="auto" w:sz="2" w:space="0"/>
              <w:right w:val="single" w:color="auto" w:sz="2" w:space="0"/>
            </w:tcBorders>
            <w:vAlign w:val="center"/>
          </w:tcPr>
          <w:p w14:paraId="132F13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2025年04月12日</w:t>
            </w:r>
          </w:p>
        </w:tc>
        <w:tc>
          <w:tcPr>
            <w:tcW w:w="3022" w:type="dxa"/>
            <w:tcBorders>
              <w:top w:val="single" w:color="auto" w:sz="2" w:space="0"/>
              <w:left w:val="single" w:color="auto" w:sz="2" w:space="0"/>
              <w:bottom w:val="single" w:color="auto" w:sz="2" w:space="0"/>
              <w:right w:val="single" w:color="auto" w:sz="2" w:space="0"/>
            </w:tcBorders>
            <w:vAlign w:val="center"/>
          </w:tcPr>
          <w:p w14:paraId="403A7D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《关于公司2024年度目标与发展规划的议案》</w:t>
            </w:r>
          </w:p>
        </w:tc>
        <w:tc>
          <w:tcPr>
            <w:tcW w:w="2879" w:type="dxa"/>
            <w:tcBorders>
              <w:top w:val="single" w:color="auto" w:sz="2" w:space="0"/>
              <w:left w:val="single" w:color="auto" w:sz="2" w:space="0"/>
              <w:bottom w:val="single" w:color="auto" w:sz="2" w:space="0"/>
              <w:right w:val="single" w:color="auto" w:sz="2" w:space="0"/>
            </w:tcBorders>
            <w:vAlign w:val="center"/>
          </w:tcPr>
          <w:p w14:paraId="67CCB7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审议通过该议案。</w:t>
            </w:r>
          </w:p>
        </w:tc>
        <w:tc>
          <w:tcPr>
            <w:tcW w:w="0" w:type="auto"/>
            <w:tcBorders>
              <w:top w:val="single" w:color="auto" w:sz="2" w:space="0"/>
              <w:left w:val="single" w:color="auto" w:sz="2" w:space="0"/>
              <w:bottom w:val="single" w:color="auto" w:sz="2" w:space="0"/>
              <w:right w:val="single" w:color="auto" w:sz="2" w:space="0"/>
            </w:tcBorders>
            <w:vAlign w:val="center"/>
          </w:tcPr>
          <w:p w14:paraId="738243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0" w:type="auto"/>
            <w:tcBorders>
              <w:top w:val="single" w:color="auto" w:sz="2" w:space="0"/>
              <w:left w:val="single" w:color="auto" w:sz="2" w:space="0"/>
              <w:bottom w:val="single" w:color="auto" w:sz="2" w:space="0"/>
              <w:right w:val="single" w:color="auto" w:sz="2" w:space="0"/>
            </w:tcBorders>
            <w:vAlign w:val="center"/>
          </w:tcPr>
          <w:p w14:paraId="395800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bl>
    <w:p w14:paraId="0D5B110A">
      <w:pPr>
        <w:pStyle w:val="2"/>
        <w:spacing w:before="300" w:after="300" w:line="320" w:lineRule="exact"/>
        <w:rPr>
          <w:rFonts w:ascii="Times New Roman" w:hAnsi="Times New Roman" w:cs="Times New Roman" w:eastAsiaTheme="majorEastAsia"/>
          <w:b/>
          <w:bCs/>
          <w:sz w:val="24"/>
          <w:szCs w:val="24"/>
        </w:rPr>
      </w:pPr>
      <w:bookmarkStart w:id="74" w:name="_Toc988963"/>
      <w:r>
        <w:rPr>
          <w:rFonts w:ascii="Times New Roman" w:hAnsi="Times New Roman" w:cs="Times New Roman" w:eastAsiaTheme="majorEastAsia"/>
          <w:b/>
          <w:bCs/>
          <w:sz w:val="24"/>
          <w:szCs w:val="24"/>
        </w:rPr>
        <w:t>十、监事会工作情况</w:t>
      </w:r>
      <w:bookmarkEnd w:id="74"/>
    </w:p>
    <w:p w14:paraId="085D1DA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监事会在报告期内的监督活动中发现公司是否存在风险</w:t>
      </w:r>
    </w:p>
    <w:p w14:paraId="1C8BFAE4">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38AF85F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监事会对报告期内的监督事项无异议。</w:t>
      </w:r>
    </w:p>
    <w:p w14:paraId="35FA265F">
      <w:pPr>
        <w:pStyle w:val="2"/>
        <w:spacing w:before="300" w:after="300" w:line="320" w:lineRule="exact"/>
        <w:rPr>
          <w:rFonts w:ascii="Times New Roman" w:hAnsi="Times New Roman" w:cs="Times New Roman" w:eastAsiaTheme="majorEastAsia"/>
          <w:b/>
          <w:bCs/>
          <w:sz w:val="24"/>
          <w:szCs w:val="24"/>
        </w:rPr>
      </w:pPr>
      <w:bookmarkStart w:id="75" w:name="_Toc988964"/>
      <w:r>
        <w:rPr>
          <w:rFonts w:ascii="Times New Roman" w:hAnsi="Times New Roman" w:cs="Times New Roman" w:eastAsiaTheme="majorEastAsia"/>
          <w:b/>
          <w:bCs/>
          <w:sz w:val="24"/>
          <w:szCs w:val="24"/>
        </w:rPr>
        <w:t>十一、公司员工情况</w:t>
      </w:r>
      <w:bookmarkEnd w:id="75"/>
    </w:p>
    <w:p w14:paraId="0ADB245C">
      <w:pPr>
        <w:pStyle w:val="3"/>
        <w:spacing w:line="280" w:lineRule="exact"/>
        <w:jc w:val="left"/>
        <w:rPr>
          <w:rFonts w:ascii="Times New Roman" w:hAnsi="Times New Roman" w:cs="Times New Roman" w:eastAsiaTheme="majorEastAsia"/>
          <w:b/>
          <w:bCs/>
        </w:rPr>
      </w:pPr>
      <w:bookmarkStart w:id="76" w:name="_Toc988965"/>
      <w:r>
        <w:rPr>
          <w:rFonts w:ascii="Times New Roman" w:hAnsi="Times New Roman" w:cs="Times New Roman" w:eastAsiaTheme="majorEastAsia"/>
          <w:b/>
          <w:bCs/>
        </w:rPr>
        <w:t>1、员工数量、专业构成及教育程度</w:t>
      </w:r>
      <w:bookmarkEnd w:id="76"/>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F3CC6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C4212D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报告期末母公司在职员工的数量（人）</w:t>
            </w:r>
          </w:p>
        </w:tc>
        <w:tc>
          <w:tcPr>
            <w:tcW w:w="4820" w:type="dxa"/>
            <w:tcBorders>
              <w:top w:val="single" w:color="auto" w:sz="2" w:space="0"/>
              <w:left w:val="single" w:color="auto" w:sz="2" w:space="0"/>
              <w:bottom w:val="single" w:color="auto" w:sz="2" w:space="0"/>
              <w:right w:val="single" w:color="auto" w:sz="2" w:space="0"/>
            </w:tcBorders>
            <w:vAlign w:val="center"/>
          </w:tcPr>
          <w:p w14:paraId="2E82E2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199</w:t>
            </w:r>
          </w:p>
        </w:tc>
      </w:tr>
      <w:tr w14:paraId="25135E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116138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报告期末主要子公司在职员工的数量（人）</w:t>
            </w:r>
          </w:p>
        </w:tc>
        <w:tc>
          <w:tcPr>
            <w:tcW w:w="4820" w:type="dxa"/>
            <w:tcBorders>
              <w:top w:val="single" w:color="auto" w:sz="2" w:space="0"/>
              <w:left w:val="single" w:color="auto" w:sz="2" w:space="0"/>
              <w:bottom w:val="single" w:color="auto" w:sz="2" w:space="0"/>
              <w:right w:val="single" w:color="auto" w:sz="2" w:space="0"/>
            </w:tcBorders>
            <w:vAlign w:val="center"/>
          </w:tcPr>
          <w:p w14:paraId="4FB713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w:t>
            </w:r>
          </w:p>
        </w:tc>
      </w:tr>
      <w:tr w14:paraId="45BF41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6AE369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报告期末在职员工的数量合计（人）</w:t>
            </w:r>
          </w:p>
        </w:tc>
        <w:tc>
          <w:tcPr>
            <w:tcW w:w="4820" w:type="dxa"/>
            <w:tcBorders>
              <w:top w:val="single" w:color="auto" w:sz="2" w:space="0"/>
              <w:left w:val="single" w:color="auto" w:sz="2" w:space="0"/>
              <w:bottom w:val="single" w:color="auto" w:sz="2" w:space="0"/>
              <w:right w:val="single" w:color="auto" w:sz="2" w:space="0"/>
            </w:tcBorders>
            <w:vAlign w:val="center"/>
          </w:tcPr>
          <w:p w14:paraId="1D9ADE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w:t>
            </w:r>
          </w:p>
        </w:tc>
      </w:tr>
      <w:tr w14:paraId="537CB8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BF5CF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当期领取薪酬员工总人数（人）</w:t>
            </w:r>
          </w:p>
        </w:tc>
        <w:tc>
          <w:tcPr>
            <w:tcW w:w="4820" w:type="dxa"/>
            <w:tcBorders>
              <w:top w:val="single" w:color="auto" w:sz="2" w:space="0"/>
              <w:left w:val="single" w:color="auto" w:sz="2" w:space="0"/>
              <w:bottom w:val="single" w:color="auto" w:sz="2" w:space="0"/>
              <w:right w:val="single" w:color="auto" w:sz="2" w:space="0"/>
            </w:tcBorders>
            <w:vAlign w:val="center"/>
          </w:tcPr>
          <w:p w14:paraId="317DC8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w:t>
            </w:r>
          </w:p>
        </w:tc>
      </w:tr>
      <w:tr w14:paraId="39D841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CAD3AB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母公司及主要子公司需承担费用的离退休职工人数（人）</w:t>
            </w:r>
          </w:p>
        </w:tc>
        <w:tc>
          <w:tcPr>
            <w:tcW w:w="4820" w:type="dxa"/>
            <w:tcBorders>
              <w:top w:val="single" w:color="auto" w:sz="2" w:space="0"/>
              <w:left w:val="single" w:color="auto" w:sz="2" w:space="0"/>
              <w:bottom w:val="single" w:color="auto" w:sz="2" w:space="0"/>
              <w:right w:val="single" w:color="auto" w:sz="2" w:space="0"/>
            </w:tcBorders>
            <w:vAlign w:val="center"/>
          </w:tcPr>
          <w:p w14:paraId="10F2D7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w:t>
            </w:r>
          </w:p>
        </w:tc>
      </w:tr>
      <w:tr w14:paraId="23FBDD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6F1F6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专业构成</w:t>
            </w:r>
          </w:p>
        </w:tc>
      </w:tr>
      <w:tr w14:paraId="670F5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9E6355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专业构成类别</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9DE2C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专业构成人数（人）</w:t>
            </w:r>
          </w:p>
        </w:tc>
      </w:tr>
      <w:tr w14:paraId="709773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645611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销售人员</w:t>
            </w:r>
          </w:p>
        </w:tc>
        <w:tc>
          <w:tcPr>
            <w:tcW w:w="4820" w:type="dxa"/>
            <w:tcBorders>
              <w:top w:val="single" w:color="auto" w:sz="2" w:space="0"/>
              <w:left w:val="single" w:color="auto" w:sz="2" w:space="0"/>
              <w:bottom w:val="single" w:color="auto" w:sz="2" w:space="0"/>
              <w:right w:val="single" w:color="auto" w:sz="2" w:space="0"/>
            </w:tcBorders>
            <w:vAlign w:val="center"/>
          </w:tcPr>
          <w:p w14:paraId="1FB8D9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w:t>
            </w:r>
          </w:p>
        </w:tc>
      </w:tr>
      <w:tr w14:paraId="233AD1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2B536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技术人员</w:t>
            </w:r>
          </w:p>
        </w:tc>
        <w:tc>
          <w:tcPr>
            <w:tcW w:w="4820" w:type="dxa"/>
            <w:tcBorders>
              <w:top w:val="single" w:color="auto" w:sz="2" w:space="0"/>
              <w:left w:val="single" w:color="auto" w:sz="2" w:space="0"/>
              <w:bottom w:val="single" w:color="auto" w:sz="2" w:space="0"/>
              <w:right w:val="single" w:color="auto" w:sz="2" w:space="0"/>
            </w:tcBorders>
            <w:vAlign w:val="center"/>
          </w:tcPr>
          <w:p w14:paraId="63AA81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w:t>
            </w:r>
          </w:p>
        </w:tc>
      </w:tr>
      <w:tr w14:paraId="0E8DD8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58DF86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财务人员</w:t>
            </w:r>
          </w:p>
        </w:tc>
        <w:tc>
          <w:tcPr>
            <w:tcW w:w="4820" w:type="dxa"/>
            <w:tcBorders>
              <w:top w:val="single" w:color="auto" w:sz="2" w:space="0"/>
              <w:left w:val="single" w:color="auto" w:sz="2" w:space="0"/>
              <w:bottom w:val="single" w:color="auto" w:sz="2" w:space="0"/>
              <w:right w:val="single" w:color="auto" w:sz="2" w:space="0"/>
            </w:tcBorders>
            <w:vAlign w:val="center"/>
          </w:tcPr>
          <w:p w14:paraId="54E858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w:t>
            </w:r>
          </w:p>
        </w:tc>
      </w:tr>
      <w:tr w14:paraId="23D3E3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1BBADE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行政人员</w:t>
            </w:r>
          </w:p>
        </w:tc>
        <w:tc>
          <w:tcPr>
            <w:tcW w:w="4820" w:type="dxa"/>
            <w:tcBorders>
              <w:top w:val="single" w:color="auto" w:sz="2" w:space="0"/>
              <w:left w:val="single" w:color="auto" w:sz="2" w:space="0"/>
              <w:bottom w:val="single" w:color="auto" w:sz="2" w:space="0"/>
              <w:right w:val="single" w:color="auto" w:sz="2" w:space="0"/>
            </w:tcBorders>
            <w:vAlign w:val="center"/>
          </w:tcPr>
          <w:p w14:paraId="48D068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w:t>
            </w:r>
          </w:p>
        </w:tc>
      </w:tr>
      <w:tr w14:paraId="480FD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B57BA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项目实施人员</w:t>
            </w:r>
          </w:p>
        </w:tc>
        <w:tc>
          <w:tcPr>
            <w:tcW w:w="4820" w:type="dxa"/>
            <w:tcBorders>
              <w:top w:val="single" w:color="auto" w:sz="2" w:space="0"/>
              <w:left w:val="single" w:color="auto" w:sz="2" w:space="0"/>
              <w:bottom w:val="single" w:color="auto" w:sz="2" w:space="0"/>
              <w:right w:val="single" w:color="auto" w:sz="2" w:space="0"/>
            </w:tcBorders>
            <w:vAlign w:val="center"/>
          </w:tcPr>
          <w:p w14:paraId="69818B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w:t>
            </w:r>
          </w:p>
        </w:tc>
      </w:tr>
      <w:tr w14:paraId="39FFB4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A9530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4820" w:type="dxa"/>
            <w:tcBorders>
              <w:top w:val="single" w:color="auto" w:sz="2" w:space="0"/>
              <w:left w:val="single" w:color="auto" w:sz="2" w:space="0"/>
              <w:bottom w:val="single" w:color="auto" w:sz="2" w:space="0"/>
              <w:right w:val="single" w:color="auto" w:sz="2" w:space="0"/>
            </w:tcBorders>
            <w:vAlign w:val="center"/>
          </w:tcPr>
          <w:p w14:paraId="0555C3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w:t>
            </w:r>
          </w:p>
        </w:tc>
      </w:tr>
      <w:tr w14:paraId="35B3D7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76FC0D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教育程度</w:t>
            </w:r>
          </w:p>
        </w:tc>
      </w:tr>
      <w:tr w14:paraId="126CD9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AE23E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教育程度类别</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88F31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数量（人）</w:t>
            </w:r>
          </w:p>
        </w:tc>
      </w:tr>
      <w:tr w14:paraId="5629DB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11DF5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硕士及以上</w:t>
            </w:r>
          </w:p>
        </w:tc>
        <w:tc>
          <w:tcPr>
            <w:tcW w:w="4820" w:type="dxa"/>
            <w:tcBorders>
              <w:top w:val="single" w:color="auto" w:sz="2" w:space="0"/>
              <w:left w:val="single" w:color="auto" w:sz="2" w:space="0"/>
              <w:bottom w:val="single" w:color="auto" w:sz="2" w:space="0"/>
              <w:right w:val="single" w:color="auto" w:sz="2" w:space="0"/>
            </w:tcBorders>
            <w:vAlign w:val="center"/>
          </w:tcPr>
          <w:p w14:paraId="6F28B6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w:t>
            </w:r>
          </w:p>
        </w:tc>
      </w:tr>
      <w:tr w14:paraId="58391F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1A305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本科</w:t>
            </w:r>
          </w:p>
        </w:tc>
        <w:tc>
          <w:tcPr>
            <w:tcW w:w="4820" w:type="dxa"/>
            <w:tcBorders>
              <w:top w:val="single" w:color="auto" w:sz="2" w:space="0"/>
              <w:left w:val="single" w:color="auto" w:sz="2" w:space="0"/>
              <w:bottom w:val="single" w:color="auto" w:sz="2" w:space="0"/>
              <w:right w:val="single" w:color="auto" w:sz="2" w:space="0"/>
            </w:tcBorders>
            <w:vAlign w:val="center"/>
          </w:tcPr>
          <w:p w14:paraId="111CBF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w:t>
            </w:r>
          </w:p>
        </w:tc>
      </w:tr>
      <w:tr w14:paraId="2D5E7F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BA862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大专</w:t>
            </w:r>
          </w:p>
        </w:tc>
        <w:tc>
          <w:tcPr>
            <w:tcW w:w="4820" w:type="dxa"/>
            <w:tcBorders>
              <w:top w:val="single" w:color="auto" w:sz="2" w:space="0"/>
              <w:left w:val="single" w:color="auto" w:sz="2" w:space="0"/>
              <w:bottom w:val="single" w:color="auto" w:sz="2" w:space="0"/>
              <w:right w:val="single" w:color="auto" w:sz="2" w:space="0"/>
            </w:tcBorders>
            <w:vAlign w:val="center"/>
          </w:tcPr>
          <w:p w14:paraId="2DF982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w:t>
            </w:r>
          </w:p>
        </w:tc>
      </w:tr>
      <w:tr w14:paraId="2A04AF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E2CAC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大专以下</w:t>
            </w:r>
          </w:p>
        </w:tc>
        <w:tc>
          <w:tcPr>
            <w:tcW w:w="4820" w:type="dxa"/>
            <w:tcBorders>
              <w:top w:val="single" w:color="auto" w:sz="2" w:space="0"/>
              <w:left w:val="single" w:color="auto" w:sz="2" w:space="0"/>
              <w:bottom w:val="single" w:color="auto" w:sz="2" w:space="0"/>
              <w:right w:val="single" w:color="auto" w:sz="2" w:space="0"/>
            </w:tcBorders>
            <w:vAlign w:val="center"/>
          </w:tcPr>
          <w:p w14:paraId="176389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w:t>
            </w:r>
          </w:p>
        </w:tc>
      </w:tr>
      <w:tr w14:paraId="222566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DFC3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4820" w:type="dxa"/>
            <w:tcBorders>
              <w:top w:val="single" w:color="auto" w:sz="2" w:space="0"/>
              <w:left w:val="single" w:color="auto" w:sz="2" w:space="0"/>
              <w:bottom w:val="single" w:color="auto" w:sz="2" w:space="0"/>
              <w:right w:val="single" w:color="auto" w:sz="2" w:space="0"/>
            </w:tcBorders>
            <w:vAlign w:val="center"/>
          </w:tcPr>
          <w:p w14:paraId="276975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w:t>
            </w:r>
          </w:p>
        </w:tc>
      </w:tr>
    </w:tbl>
    <w:p w14:paraId="75FC4F3D">
      <w:pPr>
        <w:pStyle w:val="3"/>
        <w:spacing w:line="280" w:lineRule="exact"/>
        <w:jc w:val="left"/>
        <w:rPr>
          <w:rFonts w:ascii="Times New Roman" w:hAnsi="Times New Roman" w:cs="Times New Roman" w:eastAsiaTheme="majorEastAsia"/>
          <w:b/>
          <w:bCs/>
        </w:rPr>
      </w:pPr>
      <w:bookmarkStart w:id="77" w:name="_Toc988966"/>
      <w:r>
        <w:rPr>
          <w:rFonts w:ascii="Times New Roman" w:hAnsi="Times New Roman" w:cs="Times New Roman" w:eastAsiaTheme="majorEastAsia"/>
          <w:b/>
          <w:bCs/>
        </w:rPr>
        <w:t>2、薪酬政策</w:t>
      </w:r>
      <w:bookmarkEnd w:id="77"/>
    </w:p>
    <w:p w14:paraId="7D1CA379">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公司基于IT行业人力资源管理的特点和难点，建立起了系统的人力资源管理体系来保障员工的合法权益。为了吸引、激励和保留优秀人才以帮助公司达成战略目标，公司在兼顾市场竞争力和内部公平性的基础上，为员工提供全面的、富有竞争力的报酬，经理级及以上级别采用年薪制，普通员工实行基本工资+浮动工资+绩效奖金年终资金组成的薪酬结构，制定和实施了明确的薪酬增长机制和考核奖励制度，有效激发员工的主动性和创造性，增强了企业的凝聚力和战斗力。</w:t>
      </w:r>
    </w:p>
    <w:p w14:paraId="27FD854B">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公司职工薪酬总额（计入成本部分）10,633,612.2元，占公司营业成本194,156,829.92元的5.48%。</w:t>
      </w:r>
    </w:p>
    <w:p w14:paraId="4841F713">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截至2024年12月31日，公司核心技术人员为6人，占全体员工人数的1.61%</w:t>
      </w:r>
      <w:r>
        <w:rPr>
          <w:rFonts w:hint="eastAsia" w:ascii="Times New Roman" w:hAnsi="Times New Roman" w:cs="Times New Roman" w:eastAsiaTheme="majorEastAsia"/>
          <w:color w:val="000000"/>
          <w:sz w:val="21"/>
          <w:szCs w:val="21"/>
        </w:rPr>
        <w:t>；</w:t>
      </w:r>
      <w:r>
        <w:rPr>
          <w:rFonts w:ascii="Times New Roman" w:hAnsi="Times New Roman" w:cs="Times New Roman" w:eastAsiaTheme="majorEastAsia"/>
          <w:color w:val="000000"/>
          <w:sz w:val="21"/>
          <w:szCs w:val="21"/>
        </w:rPr>
        <w:t>上年同期核心技术人员为6人，占全体员工人数的1.88%</w:t>
      </w:r>
      <w:r>
        <w:rPr>
          <w:rFonts w:hint="eastAsia" w:ascii="Times New Roman" w:hAnsi="Times New Roman" w:cs="Times New Roman" w:eastAsiaTheme="majorEastAsia"/>
          <w:color w:val="000000"/>
          <w:sz w:val="21"/>
          <w:szCs w:val="21"/>
        </w:rPr>
        <w:t>。</w:t>
      </w:r>
      <w:r>
        <w:rPr>
          <w:rFonts w:ascii="Times New Roman" w:hAnsi="Times New Roman" w:cs="Times New Roman" w:eastAsiaTheme="majorEastAsia"/>
          <w:color w:val="000000"/>
          <w:sz w:val="21"/>
          <w:szCs w:val="21"/>
        </w:rPr>
        <w:t>截至报告期末，核心技术人员薪酬占全体员工薪酬的2.68%，上年同期为3.30%。</w:t>
      </w:r>
    </w:p>
    <w:p w14:paraId="6C2019FA">
      <w:pPr>
        <w:pStyle w:val="3"/>
        <w:spacing w:line="280" w:lineRule="exact"/>
        <w:jc w:val="left"/>
        <w:rPr>
          <w:rFonts w:ascii="Times New Roman" w:hAnsi="Times New Roman" w:cs="Times New Roman" w:eastAsiaTheme="majorEastAsia"/>
          <w:b/>
          <w:bCs/>
        </w:rPr>
      </w:pPr>
      <w:bookmarkStart w:id="78" w:name="_Toc988967"/>
      <w:r>
        <w:rPr>
          <w:rFonts w:ascii="Times New Roman" w:hAnsi="Times New Roman" w:cs="Times New Roman" w:eastAsiaTheme="majorEastAsia"/>
          <w:b/>
          <w:bCs/>
        </w:rPr>
        <w:t>3、培训计划</w:t>
      </w:r>
      <w:bookmarkEnd w:id="78"/>
    </w:p>
    <w:p w14:paraId="6CD4CB9F">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确保员工安全高效开展工作，在思想理念价值观与企业保持一致，并与社会、企业发展同步进步，公司每年初制定年度培训计划，长期有序推进企业职业技能培训工作和管理干部管理能力提升培训、营销培训、保密培训等，线上、线下教学，电子、纸质资料相结合等多种形式进行员工培训。培训内容涵盖行业信息、政策导向，企业文化、制度流程，素质、技能技术等多方面，培训效果显著，团队战斗力、凝聚力，员工素养、工匠精神、业务技能、服务意识等均有较大提升。</w:t>
      </w:r>
    </w:p>
    <w:p w14:paraId="1EC77EAA">
      <w:pPr>
        <w:pStyle w:val="3"/>
        <w:spacing w:line="280" w:lineRule="exact"/>
        <w:jc w:val="left"/>
        <w:rPr>
          <w:rFonts w:ascii="Times New Roman" w:hAnsi="Times New Roman" w:cs="Times New Roman" w:eastAsiaTheme="majorEastAsia"/>
          <w:b/>
          <w:bCs/>
        </w:rPr>
      </w:pPr>
      <w:bookmarkStart w:id="79" w:name="_Toc988968"/>
      <w:r>
        <w:rPr>
          <w:rFonts w:ascii="Times New Roman" w:hAnsi="Times New Roman" w:cs="Times New Roman" w:eastAsiaTheme="majorEastAsia"/>
          <w:b/>
          <w:bCs/>
        </w:rPr>
        <w:t>4、劳务外包情况</w:t>
      </w:r>
      <w:bookmarkEnd w:id="79"/>
    </w:p>
    <w:p w14:paraId="386483FC">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8FB9CEE">
      <w:pPr>
        <w:pStyle w:val="2"/>
        <w:spacing w:before="300" w:after="300" w:line="320" w:lineRule="exact"/>
        <w:rPr>
          <w:rFonts w:ascii="Times New Roman" w:hAnsi="Times New Roman" w:cs="Times New Roman" w:eastAsiaTheme="majorEastAsia"/>
          <w:b/>
          <w:bCs/>
          <w:sz w:val="24"/>
          <w:szCs w:val="24"/>
        </w:rPr>
      </w:pPr>
      <w:bookmarkStart w:id="80" w:name="_Toc988969"/>
      <w:r>
        <w:rPr>
          <w:rFonts w:ascii="Times New Roman" w:hAnsi="Times New Roman" w:cs="Times New Roman" w:eastAsiaTheme="majorEastAsia"/>
          <w:b/>
          <w:bCs/>
          <w:sz w:val="24"/>
          <w:szCs w:val="24"/>
        </w:rPr>
        <w:t>十二、公司利润分配及资本公积金转增股本情况</w:t>
      </w:r>
      <w:bookmarkEnd w:id="80"/>
    </w:p>
    <w:p w14:paraId="7776B6B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报告期内利润分配政策，特别是现金分红政策的制定、执行或调整情况</w:t>
      </w:r>
    </w:p>
    <w:p w14:paraId="223C0A2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76A8D51B">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报告期内，公司的利润分配政策未发生变化。公司严格遵循《公司章程》中涉及利润分配的相关政策和审议程序实施利润分配方案，分红标准和分红比例明确、清晰；相关议案经由公司董事会、监事会审议通过后提交股东会审议批准，相关的决策程序和机制完备；该事项事前须经公司独立董事专门会议审议通过，公司独立董事发表明确意见，尽职履责，充分维护了中小股东的合法权益。</w:t>
      </w:r>
    </w:p>
    <w:p w14:paraId="0FB5B9CD">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报告期内，公司实施了2023年度权益分派。公司于2024年4月25日召开第三届董事会第二十二次会议和第三届监事会第二十次会议，并于2024年5月20日召开2023年年度股东大会，审议通过公司2023年年度利润分配方案。分配方案为：以总股本67,236,800为基数，向全体股东每10股派发现金股利人民币1.00元（含税），合计派发现金股利人民币6,723,680.00（含税）；不送红股；不以资本公积金转增股本。</w:t>
      </w:r>
    </w:p>
    <w:p w14:paraId="1CC26343">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截至公司权益分派实施日，公司回购专用证券专户中股份数量为1,006,140股，根据《公司法》和《深圳证券交易所上市公司自律监管指引第9号--回购股份》的相关规定，回购专用账户中的股份不享有利润分配权利，因此，公司回购专用账户中的回购股份不参与2023年度权益分派。本公司2023年度权益分派方案为：以公司现有总股本剔除已回购股份1,006,140股后的66,230,660股为基数，向全体股东每10股派1.00元人民币现金（含税；扣税后，QFII、RQFII以及持有首发前限售股的个人和证券投资基金每10股派0.90元。</w:t>
      </w:r>
    </w:p>
    <w:p w14:paraId="5D36ACB7">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本次权益分派股权登记日为：2024年7月11日；除权除息日为：2024年7月12日。</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54"/>
        <w:gridCol w:w="2585"/>
      </w:tblGrid>
      <w:tr w14:paraId="125B5E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318F1A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现金分红政策的专项说明</w:t>
            </w:r>
          </w:p>
        </w:tc>
      </w:tr>
      <w:tr w14:paraId="77DC47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21AB065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是否符合公司章程的规定或股东大会决议的要求：</w:t>
            </w:r>
          </w:p>
        </w:tc>
        <w:tc>
          <w:tcPr>
            <w:tcW w:w="2585" w:type="dxa"/>
            <w:tcBorders>
              <w:top w:val="single" w:color="auto" w:sz="2" w:space="0"/>
              <w:left w:val="single" w:color="auto" w:sz="2" w:space="0"/>
              <w:bottom w:val="single" w:color="auto" w:sz="2" w:space="0"/>
              <w:right w:val="single" w:color="auto" w:sz="2" w:space="0"/>
            </w:tcBorders>
            <w:vAlign w:val="center"/>
          </w:tcPr>
          <w:p w14:paraId="78C6B0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48754D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5A7F8B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分红标准和比例是否明确和清晰：</w:t>
            </w:r>
          </w:p>
        </w:tc>
        <w:tc>
          <w:tcPr>
            <w:tcW w:w="2585" w:type="dxa"/>
            <w:tcBorders>
              <w:top w:val="single" w:color="auto" w:sz="2" w:space="0"/>
              <w:left w:val="single" w:color="auto" w:sz="2" w:space="0"/>
              <w:bottom w:val="single" w:color="auto" w:sz="2" w:space="0"/>
              <w:right w:val="single" w:color="auto" w:sz="2" w:space="0"/>
            </w:tcBorders>
            <w:vAlign w:val="center"/>
          </w:tcPr>
          <w:p w14:paraId="4CAC2F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28485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601025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相关的决策程序和机制是否完备：</w:t>
            </w:r>
          </w:p>
        </w:tc>
        <w:tc>
          <w:tcPr>
            <w:tcW w:w="2585" w:type="dxa"/>
            <w:tcBorders>
              <w:top w:val="single" w:color="auto" w:sz="2" w:space="0"/>
              <w:left w:val="single" w:color="auto" w:sz="2" w:space="0"/>
              <w:bottom w:val="single" w:color="auto" w:sz="2" w:space="0"/>
              <w:right w:val="single" w:color="auto" w:sz="2" w:space="0"/>
            </w:tcBorders>
            <w:vAlign w:val="center"/>
          </w:tcPr>
          <w:p w14:paraId="2269F0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0DED9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6E991CA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独立董事是否履职尽责并发挥了应有的作用：</w:t>
            </w:r>
          </w:p>
        </w:tc>
        <w:tc>
          <w:tcPr>
            <w:tcW w:w="2585" w:type="dxa"/>
            <w:tcBorders>
              <w:top w:val="single" w:color="auto" w:sz="2" w:space="0"/>
              <w:left w:val="single" w:color="auto" w:sz="2" w:space="0"/>
              <w:bottom w:val="single" w:color="auto" w:sz="2" w:space="0"/>
              <w:right w:val="single" w:color="auto" w:sz="2" w:space="0"/>
            </w:tcBorders>
            <w:vAlign w:val="center"/>
          </w:tcPr>
          <w:p w14:paraId="61683D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0919D7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4301BF0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公司未进行现金分红的，应当披露具体原因，以及下一步为增强投资者回报水平拟采取的举措：</w:t>
            </w:r>
          </w:p>
        </w:tc>
        <w:tc>
          <w:tcPr>
            <w:tcW w:w="2585" w:type="dxa"/>
            <w:tcBorders>
              <w:top w:val="single" w:color="auto" w:sz="2" w:space="0"/>
              <w:left w:val="single" w:color="auto" w:sz="2" w:space="0"/>
              <w:bottom w:val="single" w:color="auto" w:sz="2" w:space="0"/>
              <w:right w:val="single" w:color="auto" w:sz="2" w:space="0"/>
            </w:tcBorders>
            <w:vAlign w:val="center"/>
          </w:tcPr>
          <w:p w14:paraId="72C2B8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3B2C14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1E928F8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中小股东是否有充分表达意见和诉求的机会，其合法权益是否得到了充分保护：</w:t>
            </w:r>
          </w:p>
        </w:tc>
        <w:tc>
          <w:tcPr>
            <w:tcW w:w="2585" w:type="dxa"/>
            <w:tcBorders>
              <w:top w:val="single" w:color="auto" w:sz="2" w:space="0"/>
              <w:left w:val="single" w:color="auto" w:sz="2" w:space="0"/>
              <w:bottom w:val="single" w:color="auto" w:sz="2" w:space="0"/>
              <w:right w:val="single" w:color="auto" w:sz="2" w:space="0"/>
            </w:tcBorders>
            <w:vAlign w:val="center"/>
          </w:tcPr>
          <w:p w14:paraId="30CBFD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31E4A0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054" w:type="dxa"/>
            <w:tcBorders>
              <w:top w:val="single" w:color="auto" w:sz="2" w:space="0"/>
              <w:left w:val="single" w:color="auto" w:sz="2" w:space="0"/>
              <w:bottom w:val="single" w:color="auto" w:sz="2" w:space="0"/>
              <w:right w:val="single" w:color="auto" w:sz="2" w:space="0"/>
            </w:tcBorders>
            <w:shd w:val="clear" w:color="auto" w:fill="D3D3D3"/>
            <w:vAlign w:val="center"/>
          </w:tcPr>
          <w:p w14:paraId="450DA14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现金分红政策进行调整或变更的，条件及程序是否合规、透明：</w:t>
            </w:r>
          </w:p>
        </w:tc>
        <w:tc>
          <w:tcPr>
            <w:tcW w:w="2585" w:type="dxa"/>
            <w:tcBorders>
              <w:top w:val="single" w:color="auto" w:sz="2" w:space="0"/>
              <w:left w:val="single" w:color="auto" w:sz="2" w:space="0"/>
              <w:bottom w:val="single" w:color="auto" w:sz="2" w:space="0"/>
              <w:right w:val="single" w:color="auto" w:sz="2" w:space="0"/>
            </w:tcBorders>
            <w:vAlign w:val="center"/>
          </w:tcPr>
          <w:p w14:paraId="21F1E3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6AEA158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公司报告期利润分配预案及资本公积金转增股本预案与公司章程和分红管理办法等的相关规定一致</w:t>
      </w:r>
    </w:p>
    <w:p w14:paraId="3350380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是 □否 □不适用</w:t>
      </w:r>
    </w:p>
    <w:p w14:paraId="0FC4101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公司报告期利润分配预案及资本公积金转增股本预案符合公司章程等的相关规定。</w:t>
      </w:r>
    </w:p>
    <w:p w14:paraId="194E23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本年度利润分配及资本公积金转增股本情况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27EF2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A526BD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分配预案的股本基数（股）</w:t>
            </w:r>
          </w:p>
        </w:tc>
        <w:tc>
          <w:tcPr>
            <w:tcW w:w="4820" w:type="dxa"/>
            <w:tcBorders>
              <w:top w:val="single" w:color="auto" w:sz="2" w:space="0"/>
              <w:left w:val="single" w:color="auto" w:sz="2" w:space="0"/>
              <w:bottom w:val="single" w:color="auto" w:sz="2" w:space="0"/>
              <w:right w:val="single" w:color="auto" w:sz="2" w:space="0"/>
            </w:tcBorders>
            <w:vAlign w:val="center"/>
          </w:tcPr>
          <w:p w14:paraId="3FFF9D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65,884,660</w:t>
            </w:r>
          </w:p>
        </w:tc>
      </w:tr>
      <w:tr w14:paraId="700196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BBB3F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现金分红金额（元）（含税）</w:t>
            </w:r>
          </w:p>
        </w:tc>
        <w:tc>
          <w:tcPr>
            <w:tcW w:w="4820" w:type="dxa"/>
            <w:tcBorders>
              <w:top w:val="single" w:color="auto" w:sz="2" w:space="0"/>
              <w:left w:val="single" w:color="auto" w:sz="2" w:space="0"/>
              <w:bottom w:val="single" w:color="auto" w:sz="2" w:space="0"/>
              <w:right w:val="single" w:color="auto" w:sz="2" w:space="0"/>
            </w:tcBorders>
            <w:vAlign w:val="center"/>
          </w:tcPr>
          <w:p w14:paraId="6292E4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31AB5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A272E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以其他方式（如回购股份）现金分红金额（元）</w:t>
            </w:r>
          </w:p>
        </w:tc>
        <w:tc>
          <w:tcPr>
            <w:tcW w:w="4820" w:type="dxa"/>
            <w:tcBorders>
              <w:top w:val="single" w:color="auto" w:sz="2" w:space="0"/>
              <w:left w:val="single" w:color="auto" w:sz="2" w:space="0"/>
              <w:bottom w:val="single" w:color="auto" w:sz="2" w:space="0"/>
              <w:right w:val="single" w:color="auto" w:sz="2" w:space="0"/>
            </w:tcBorders>
            <w:vAlign w:val="center"/>
          </w:tcPr>
          <w:p w14:paraId="239BAA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0202D0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63338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现金分红总额（含其他方式）（元）</w:t>
            </w:r>
          </w:p>
        </w:tc>
        <w:tc>
          <w:tcPr>
            <w:tcW w:w="4820" w:type="dxa"/>
            <w:tcBorders>
              <w:top w:val="single" w:color="auto" w:sz="2" w:space="0"/>
              <w:left w:val="single" w:color="auto" w:sz="2" w:space="0"/>
              <w:bottom w:val="single" w:color="auto" w:sz="2" w:space="0"/>
              <w:right w:val="single" w:color="auto" w:sz="2" w:space="0"/>
            </w:tcBorders>
            <w:vAlign w:val="center"/>
          </w:tcPr>
          <w:p w14:paraId="5019B9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4D6F28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3D2F88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现金分红总额（含其他方式）占利润分配总额的比例</w:t>
            </w:r>
          </w:p>
        </w:tc>
        <w:tc>
          <w:tcPr>
            <w:tcW w:w="4820" w:type="dxa"/>
            <w:tcBorders>
              <w:top w:val="single" w:color="auto" w:sz="2" w:space="0"/>
              <w:left w:val="single" w:color="auto" w:sz="2" w:space="0"/>
              <w:bottom w:val="single" w:color="auto" w:sz="2" w:space="0"/>
              <w:right w:val="single" w:color="auto" w:sz="2" w:space="0"/>
            </w:tcBorders>
            <w:vAlign w:val="center"/>
          </w:tcPr>
          <w:p w14:paraId="38236D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684FBE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2EACD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本次现金分红情况</w:t>
            </w:r>
          </w:p>
        </w:tc>
      </w:tr>
      <w:tr w14:paraId="41F2B0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627A7D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r>
      <w:tr w14:paraId="605516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22E5E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利润分配或资本公积金转增预案的详细情况说明</w:t>
            </w:r>
          </w:p>
        </w:tc>
      </w:tr>
      <w:tr w14:paraId="19666A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3E3DCB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公司于2025年4月18日召开第三届董事会第三十次会议、第三届监事会第二十六次会议，审议通过《关于2024年度本年度拟不进行利润分配的议案》。议案尚需提交股东会审议通过后方可实施。</w:t>
            </w:r>
          </w:p>
        </w:tc>
      </w:tr>
    </w:tbl>
    <w:p w14:paraId="4AD9489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公司报告期内盈利且母公司可供股东分配利润为正但未提出现金红利分配预案</w:t>
      </w:r>
    </w:p>
    <w:p w14:paraId="6BFAE32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0CD890C">
      <w:pPr>
        <w:pStyle w:val="2"/>
        <w:spacing w:before="300" w:after="300" w:line="320" w:lineRule="exact"/>
        <w:rPr>
          <w:rFonts w:ascii="Times New Roman" w:hAnsi="Times New Roman" w:cs="Times New Roman" w:eastAsiaTheme="majorEastAsia"/>
          <w:b/>
          <w:bCs/>
          <w:sz w:val="24"/>
          <w:szCs w:val="24"/>
        </w:rPr>
      </w:pPr>
      <w:bookmarkStart w:id="81" w:name="_Toc988970"/>
      <w:r>
        <w:rPr>
          <w:rFonts w:ascii="Times New Roman" w:hAnsi="Times New Roman" w:cs="Times New Roman" w:eastAsiaTheme="majorEastAsia"/>
          <w:b/>
          <w:bCs/>
          <w:sz w:val="24"/>
          <w:szCs w:val="24"/>
        </w:rPr>
        <w:t>十三、公司股权激励计划、员工持股计划或其他员工激励措施的实施情况</w:t>
      </w:r>
      <w:bookmarkEnd w:id="81"/>
    </w:p>
    <w:p w14:paraId="77FA00E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754F6254">
      <w:pPr>
        <w:pStyle w:val="3"/>
        <w:spacing w:line="280" w:lineRule="exact"/>
        <w:jc w:val="left"/>
        <w:rPr>
          <w:rFonts w:ascii="Times New Roman" w:hAnsi="Times New Roman" w:cs="Times New Roman" w:eastAsiaTheme="majorEastAsia"/>
          <w:b/>
          <w:bCs/>
        </w:rPr>
      </w:pPr>
      <w:bookmarkStart w:id="82" w:name="_Toc988971"/>
      <w:r>
        <w:rPr>
          <w:rFonts w:ascii="Times New Roman" w:hAnsi="Times New Roman" w:cs="Times New Roman" w:eastAsiaTheme="majorEastAsia"/>
          <w:b/>
          <w:bCs/>
        </w:rPr>
        <w:t>1、股权激励</w:t>
      </w:r>
      <w:bookmarkEnd w:id="82"/>
    </w:p>
    <w:p w14:paraId="5BBB0146">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1.2023年8月2日，公司召开第三届董事会第十四次会议，审议通过《关于〈广东天亿马信息产业股份有限公司2023年限制性股票激励计划（草案）〉及其摘要的议案》《关于〈广东天亿马信息产业股份有限公司2023年限制性股票激励计划实施考核管理办法〉的议案》《关于提请股东大会授权董事会办理公司2023年限制性股票激励计划相关事宜的议案》。公司独立董事就本激励计划发表了同意的独立意见。</w:t>
      </w:r>
    </w:p>
    <w:p w14:paraId="5DEBCD3F">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2.2023年8月2日，公司召开第三届监事会第十二次会议，审议通过《关于〈广东天亿马信息产业股份有限公司2023年限制性股票激励计划（草案）〉及其摘要的议案》《关于〈广东天亿马信息产业股份有限公司2023年限制性股票激励计划实施考核管理办法〉的议案》《关于核实〈广东天亿马信息产业股份有限公司2023年限制性股票激励计划首次授予激励对象名单〉的议案》并发表了核查意见。</w:t>
      </w:r>
    </w:p>
    <w:p w14:paraId="5ED7C9E7">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3.2023年8月18日，公司召开第三届董事会第十五次会议，审议通过《关于〈广东天亿马信息产业股份有限公司2023年限制性股票激励计划（草案修订稿）〉及其摘要的议案》《关于〈广东天亿马信息产业股份有限公司2023年限制性股票激励计划实施考核管理办法（修订稿）〉的议案》。公司独立董事就本激励计划的修订发表了同意的独立意见。</w:t>
      </w:r>
    </w:p>
    <w:p w14:paraId="53A281AC">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4.2023年8月18日，公司召开第三届监事会第十三次会议，审议通过了《关于〈广东天亿马信息产业股份有限公司2023年限制性股票激励计划（草案修订稿）〉及其摘要的议案》《关于〈广东天亿马信息产业股份有限公司2023年限制性股票激励计划实施考核管理办法（修订稿）〉的议案》，并发表了核查意见。</w:t>
      </w:r>
    </w:p>
    <w:p w14:paraId="31CCD180">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5.2023年9月11日，公司召开2023年第四次临时股东大会，以特别决议审议通过了《关于〈广东天亿马信息产业股份有限公司2023年限制性股票激励计划（草案修订稿）〉及其摘要的议案》《关于〈广东天亿马信息产业股份有限公司2023年限制性股票激励计划实施考核管理办法（修订稿）的议案》《关于提请股东大会授权董事会办理公司2023年限制性股票激励计划相关事宜的议案》。</w:t>
      </w:r>
    </w:p>
    <w:p w14:paraId="28082D6D">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6.2023年9月19日，公司召开第三届董事会第十七次会议，审议通过了《关于向2023年限制性股票激励计划激励对象首次授予限制性股票的议案》。公司董事会认为本次激励计划规定的授予条件已经成就，公司独立董事对此发表了同意的独立意见。</w:t>
      </w:r>
    </w:p>
    <w:p w14:paraId="6D08EAF9">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7.2023年9月19日，公司召开第三届监事会第十五次会议，审议通过了《关于向2023年限制性股票激励计划激励对象首次授予限制性股票的议案》，监事会对授予日的激励对象名单进行了核查并发表了意见。</w:t>
      </w:r>
    </w:p>
    <w:p w14:paraId="106BA5A5">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8.2024年4月25日，公司召开第三届董事会第二十二次会议和第三届监事会第二十次会议，审议通过了《关于回购注销部分已授予但尚未解除限售的限制性股票的议案》《关于作废部分已授予但尚未归属的限制性股票的议案》。根据《上市公司股权激励管理办法》及公司《2023年限制性股票激励计划》等相关规定，因公司层面业绩考核未达标，2023年度限制性股票激励计划已授予的限制性股票第一期解限售/归属条件未成就，公司同意回购并注销已授予但尚未解除限售的限制性股票128,000股，另已授予但尚未归属的限制性股票作废。</w:t>
      </w:r>
    </w:p>
    <w:p w14:paraId="5210B3EE">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9.2024年8月28日，公司召开第三届董事会第二十四次会议和第三届监事会第二十二次会议，审议通过了《关于调整2023年限制性股票激励计划第一类限制性股票回购价格、第二类限制性股票授予价格的议案》。</w:t>
      </w:r>
    </w:p>
    <w:p w14:paraId="321688AA">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10.2023年9月11日，公司召开2023年第四次临时股东大会，以特别决议审议通过了《关于〈广东天亿马信息产业股份有限公司2023年限制性股票激励计划（草案修订稿）〉及其摘要的议案》，计划向激励对象授予394.12万股。其中，首次授予334.12万股，预留60万股。预留部分的限制性股票须在激励计划经股东大会审议通过后12个月内确定。截至2024年9月10日，公司尚未对上述预留权益进行授予，上述预留权益已过期作废，不再授予确认。</w:t>
      </w:r>
    </w:p>
    <w:p w14:paraId="1A06EAC1">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11.2024年11月27日，经中国证券登记结算有限责任公司深圳分公司审核确认，公司回购注销2023年限制性股票激励计划部分已获授尚未解除限售的第一类限制性股票登记完成，共计注销限制性股票128,000股。注销完成后，公司股份总数由67,236,800股减少至67,108,800股。</w:t>
      </w:r>
    </w:p>
    <w:p w14:paraId="06C46045">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以上具体内容详见公司披露于巨潮资讯网（http://www.cninfo.com.cn）的相关公告。</w:t>
      </w:r>
    </w:p>
    <w:p w14:paraId="466D934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董事、高级管理人员获得的股权激励</w:t>
      </w:r>
    </w:p>
    <w:p w14:paraId="2A0BF7B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76C314E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单位：股</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35"/>
        <w:gridCol w:w="698"/>
        <w:gridCol w:w="577"/>
        <w:gridCol w:w="619"/>
        <w:gridCol w:w="558"/>
        <w:gridCol w:w="558"/>
        <w:gridCol w:w="885"/>
        <w:gridCol w:w="577"/>
        <w:gridCol w:w="743"/>
        <w:gridCol w:w="1072"/>
        <w:gridCol w:w="558"/>
        <w:gridCol w:w="638"/>
        <w:gridCol w:w="863"/>
        <w:gridCol w:w="1072"/>
      </w:tblGrid>
      <w:tr w14:paraId="22257B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21" w:type="pct"/>
            <w:tcBorders>
              <w:top w:val="single" w:color="auto" w:sz="2" w:space="0"/>
              <w:left w:val="single" w:color="auto" w:sz="2" w:space="0"/>
              <w:bottom w:val="single" w:color="auto" w:sz="2" w:space="0"/>
              <w:right w:val="single" w:color="auto" w:sz="2" w:space="0"/>
            </w:tcBorders>
            <w:shd w:val="clear" w:color="auto" w:fill="D3D3D3"/>
            <w:vAlign w:val="center"/>
          </w:tcPr>
          <w:p w14:paraId="1BBB9A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姓名</w:t>
            </w:r>
          </w:p>
        </w:tc>
        <w:tc>
          <w:tcPr>
            <w:tcW w:w="354" w:type="pct"/>
            <w:tcBorders>
              <w:top w:val="single" w:color="auto" w:sz="2" w:space="0"/>
              <w:left w:val="single" w:color="auto" w:sz="2" w:space="0"/>
              <w:bottom w:val="single" w:color="auto" w:sz="2" w:space="0"/>
              <w:right w:val="single" w:color="auto" w:sz="2" w:space="0"/>
            </w:tcBorders>
            <w:shd w:val="clear" w:color="auto" w:fill="D3D3D3"/>
            <w:vAlign w:val="center"/>
          </w:tcPr>
          <w:p w14:paraId="1F3AD0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职务</w:t>
            </w:r>
          </w:p>
        </w:tc>
        <w:tc>
          <w:tcPr>
            <w:tcW w:w="293" w:type="pct"/>
            <w:tcBorders>
              <w:top w:val="single" w:color="auto" w:sz="2" w:space="0"/>
              <w:left w:val="single" w:color="auto" w:sz="2" w:space="0"/>
              <w:bottom w:val="single" w:color="auto" w:sz="2" w:space="0"/>
              <w:right w:val="single" w:color="auto" w:sz="2" w:space="0"/>
            </w:tcBorders>
            <w:shd w:val="clear" w:color="auto" w:fill="D3D3D3"/>
            <w:vAlign w:val="center"/>
          </w:tcPr>
          <w:p w14:paraId="5F7D64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年初持有股票期权数量</w:t>
            </w:r>
          </w:p>
        </w:tc>
        <w:tc>
          <w:tcPr>
            <w:tcW w:w="314" w:type="pct"/>
            <w:tcBorders>
              <w:top w:val="single" w:color="auto" w:sz="2" w:space="0"/>
              <w:left w:val="single" w:color="auto" w:sz="2" w:space="0"/>
              <w:bottom w:val="single" w:color="auto" w:sz="2" w:space="0"/>
              <w:right w:val="single" w:color="auto" w:sz="2" w:space="0"/>
            </w:tcBorders>
            <w:shd w:val="clear" w:color="auto" w:fill="D3D3D3"/>
            <w:vAlign w:val="center"/>
          </w:tcPr>
          <w:p w14:paraId="23CAA2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报告期新授予股票期权数量</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1D18E2D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报告期内可行权股数</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36F4D4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报告期内已行权股数</w:t>
            </w:r>
          </w:p>
        </w:tc>
        <w:tc>
          <w:tcPr>
            <w:tcW w:w="449" w:type="pct"/>
            <w:tcBorders>
              <w:top w:val="single" w:color="auto" w:sz="2" w:space="0"/>
              <w:left w:val="single" w:color="auto" w:sz="2" w:space="0"/>
              <w:bottom w:val="single" w:color="auto" w:sz="2" w:space="0"/>
              <w:right w:val="single" w:color="auto" w:sz="2" w:space="0"/>
            </w:tcBorders>
            <w:shd w:val="clear" w:color="auto" w:fill="D3D3D3"/>
            <w:vAlign w:val="center"/>
          </w:tcPr>
          <w:p w14:paraId="57EF69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报告期内已行权股数行权价格（元/股）</w:t>
            </w:r>
          </w:p>
        </w:tc>
        <w:tc>
          <w:tcPr>
            <w:tcW w:w="293" w:type="pct"/>
            <w:tcBorders>
              <w:top w:val="single" w:color="auto" w:sz="2" w:space="0"/>
              <w:left w:val="single" w:color="auto" w:sz="2" w:space="0"/>
              <w:bottom w:val="single" w:color="auto" w:sz="2" w:space="0"/>
              <w:right w:val="single" w:color="auto" w:sz="2" w:space="0"/>
            </w:tcBorders>
            <w:shd w:val="clear" w:color="auto" w:fill="D3D3D3"/>
            <w:vAlign w:val="center"/>
          </w:tcPr>
          <w:p w14:paraId="7589B3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期末持有股票期权数量</w:t>
            </w:r>
          </w:p>
        </w:tc>
        <w:tc>
          <w:tcPr>
            <w:tcW w:w="377" w:type="pct"/>
            <w:tcBorders>
              <w:top w:val="single" w:color="auto" w:sz="2" w:space="0"/>
              <w:left w:val="single" w:color="auto" w:sz="2" w:space="0"/>
              <w:bottom w:val="single" w:color="auto" w:sz="2" w:space="0"/>
              <w:right w:val="single" w:color="auto" w:sz="2" w:space="0"/>
            </w:tcBorders>
            <w:shd w:val="clear" w:color="auto" w:fill="D3D3D3"/>
            <w:vAlign w:val="center"/>
          </w:tcPr>
          <w:p w14:paraId="311A1FC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报告期末市价（元/股）</w:t>
            </w:r>
          </w:p>
        </w:tc>
        <w:tc>
          <w:tcPr>
            <w:tcW w:w="544" w:type="pct"/>
            <w:tcBorders>
              <w:top w:val="single" w:color="auto" w:sz="2" w:space="0"/>
              <w:left w:val="single" w:color="auto" w:sz="2" w:space="0"/>
              <w:bottom w:val="single" w:color="auto" w:sz="2" w:space="0"/>
              <w:right w:val="single" w:color="auto" w:sz="2" w:space="0"/>
            </w:tcBorders>
            <w:shd w:val="clear" w:color="auto" w:fill="D3D3D3"/>
            <w:vAlign w:val="center"/>
          </w:tcPr>
          <w:p w14:paraId="18BBDB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期初持有限制性股票数量</w:t>
            </w:r>
          </w:p>
        </w:tc>
        <w:tc>
          <w:tcPr>
            <w:tcW w:w="283" w:type="pct"/>
            <w:tcBorders>
              <w:top w:val="single" w:color="auto" w:sz="2" w:space="0"/>
              <w:left w:val="single" w:color="auto" w:sz="2" w:space="0"/>
              <w:bottom w:val="single" w:color="auto" w:sz="2" w:space="0"/>
              <w:right w:val="single" w:color="auto" w:sz="2" w:space="0"/>
            </w:tcBorders>
            <w:shd w:val="clear" w:color="auto" w:fill="D3D3D3"/>
            <w:vAlign w:val="center"/>
          </w:tcPr>
          <w:p w14:paraId="204D85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本期已解锁股份数量</w:t>
            </w:r>
          </w:p>
        </w:tc>
        <w:tc>
          <w:tcPr>
            <w:tcW w:w="324" w:type="pct"/>
            <w:tcBorders>
              <w:top w:val="single" w:color="auto" w:sz="2" w:space="0"/>
              <w:left w:val="single" w:color="auto" w:sz="2" w:space="0"/>
              <w:bottom w:val="single" w:color="auto" w:sz="2" w:space="0"/>
              <w:right w:val="single" w:color="auto" w:sz="2" w:space="0"/>
            </w:tcBorders>
            <w:shd w:val="clear" w:color="auto" w:fill="D3D3D3"/>
            <w:vAlign w:val="center"/>
          </w:tcPr>
          <w:p w14:paraId="3B4C91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报告期新授予限制性股票数量</w:t>
            </w:r>
          </w:p>
        </w:tc>
        <w:tc>
          <w:tcPr>
            <w:tcW w:w="438" w:type="pct"/>
            <w:tcBorders>
              <w:top w:val="single" w:color="auto" w:sz="2" w:space="0"/>
              <w:left w:val="single" w:color="auto" w:sz="2" w:space="0"/>
              <w:bottom w:val="single" w:color="auto" w:sz="2" w:space="0"/>
              <w:right w:val="single" w:color="auto" w:sz="2" w:space="0"/>
            </w:tcBorders>
            <w:shd w:val="clear" w:color="auto" w:fill="D3D3D3"/>
            <w:vAlign w:val="center"/>
          </w:tcPr>
          <w:p w14:paraId="76D192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限制性股票的授予价格（元/股）</w:t>
            </w:r>
          </w:p>
        </w:tc>
        <w:tc>
          <w:tcPr>
            <w:tcW w:w="547" w:type="pct"/>
            <w:tcBorders>
              <w:top w:val="single" w:color="auto" w:sz="2" w:space="0"/>
              <w:left w:val="single" w:color="auto" w:sz="2" w:space="0"/>
              <w:bottom w:val="single" w:color="auto" w:sz="2" w:space="0"/>
              <w:right w:val="single" w:color="auto" w:sz="2" w:space="0"/>
            </w:tcBorders>
            <w:shd w:val="clear" w:color="auto" w:fill="D3D3D3"/>
            <w:vAlign w:val="center"/>
          </w:tcPr>
          <w:p w14:paraId="54FEF8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期末持有限制性股票数量</w:t>
            </w:r>
          </w:p>
        </w:tc>
      </w:tr>
      <w:tr w14:paraId="3763F5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5FAB9F9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354" w:type="pct"/>
            <w:tcBorders>
              <w:top w:val="single" w:color="auto" w:sz="2" w:space="0"/>
              <w:left w:val="single" w:color="auto" w:sz="2" w:space="0"/>
              <w:bottom w:val="single" w:color="auto" w:sz="2" w:space="0"/>
              <w:right w:val="single" w:color="auto" w:sz="2" w:space="0"/>
            </w:tcBorders>
            <w:vAlign w:val="center"/>
          </w:tcPr>
          <w:p w14:paraId="654A29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董事长</w:t>
            </w:r>
          </w:p>
        </w:tc>
        <w:tc>
          <w:tcPr>
            <w:tcW w:w="293" w:type="pct"/>
            <w:tcBorders>
              <w:top w:val="single" w:color="auto" w:sz="2" w:space="0"/>
              <w:left w:val="single" w:color="auto" w:sz="2" w:space="0"/>
              <w:bottom w:val="single" w:color="auto" w:sz="2" w:space="0"/>
              <w:right w:val="single" w:color="auto" w:sz="2" w:space="0"/>
            </w:tcBorders>
            <w:vAlign w:val="center"/>
          </w:tcPr>
          <w:p w14:paraId="7A129A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0D9BB7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267E37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1EDFDF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2D0698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2A103C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066224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55EE6E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640,000</w:t>
            </w:r>
          </w:p>
        </w:tc>
        <w:tc>
          <w:tcPr>
            <w:tcW w:w="283" w:type="pct"/>
            <w:tcBorders>
              <w:top w:val="single" w:color="auto" w:sz="2" w:space="0"/>
              <w:left w:val="single" w:color="auto" w:sz="2" w:space="0"/>
              <w:bottom w:val="single" w:color="auto" w:sz="2" w:space="0"/>
              <w:right w:val="single" w:color="auto" w:sz="2" w:space="0"/>
            </w:tcBorders>
            <w:vAlign w:val="center"/>
          </w:tcPr>
          <w:p w14:paraId="479714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0948A5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14A4F3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15.91</w:t>
            </w:r>
          </w:p>
        </w:tc>
        <w:tc>
          <w:tcPr>
            <w:tcW w:w="547" w:type="pct"/>
            <w:tcBorders>
              <w:top w:val="single" w:color="auto" w:sz="2" w:space="0"/>
              <w:left w:val="single" w:color="auto" w:sz="2" w:space="0"/>
              <w:bottom w:val="single" w:color="auto" w:sz="2" w:space="0"/>
              <w:right w:val="single" w:color="auto" w:sz="2" w:space="0"/>
            </w:tcBorders>
            <w:vAlign w:val="center"/>
          </w:tcPr>
          <w:p w14:paraId="76C389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576,000</w:t>
            </w:r>
          </w:p>
        </w:tc>
      </w:tr>
      <w:tr w14:paraId="36EE40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678618B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354" w:type="pct"/>
            <w:tcBorders>
              <w:top w:val="single" w:color="auto" w:sz="2" w:space="0"/>
              <w:left w:val="single" w:color="auto" w:sz="2" w:space="0"/>
              <w:bottom w:val="single" w:color="auto" w:sz="2" w:space="0"/>
              <w:right w:val="single" w:color="auto" w:sz="2" w:space="0"/>
            </w:tcBorders>
            <w:vAlign w:val="center"/>
          </w:tcPr>
          <w:p w14:paraId="21592D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副董事长、总经理</w:t>
            </w:r>
          </w:p>
        </w:tc>
        <w:tc>
          <w:tcPr>
            <w:tcW w:w="293" w:type="pct"/>
            <w:tcBorders>
              <w:top w:val="single" w:color="auto" w:sz="2" w:space="0"/>
              <w:left w:val="single" w:color="auto" w:sz="2" w:space="0"/>
              <w:bottom w:val="single" w:color="auto" w:sz="2" w:space="0"/>
              <w:right w:val="single" w:color="auto" w:sz="2" w:space="0"/>
            </w:tcBorders>
            <w:vAlign w:val="center"/>
          </w:tcPr>
          <w:p w14:paraId="09F5EF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2BF48D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72D408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2F43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39CC89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48FE22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4B5A76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21A452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640,000</w:t>
            </w:r>
          </w:p>
        </w:tc>
        <w:tc>
          <w:tcPr>
            <w:tcW w:w="283" w:type="pct"/>
            <w:tcBorders>
              <w:top w:val="single" w:color="auto" w:sz="2" w:space="0"/>
              <w:left w:val="single" w:color="auto" w:sz="2" w:space="0"/>
              <w:bottom w:val="single" w:color="auto" w:sz="2" w:space="0"/>
              <w:right w:val="single" w:color="auto" w:sz="2" w:space="0"/>
            </w:tcBorders>
            <w:vAlign w:val="center"/>
          </w:tcPr>
          <w:p w14:paraId="58D8C9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0487A7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45D0FB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15.91</w:t>
            </w:r>
          </w:p>
        </w:tc>
        <w:tc>
          <w:tcPr>
            <w:tcW w:w="547" w:type="pct"/>
            <w:tcBorders>
              <w:top w:val="single" w:color="auto" w:sz="2" w:space="0"/>
              <w:left w:val="single" w:color="auto" w:sz="2" w:space="0"/>
              <w:bottom w:val="single" w:color="auto" w:sz="2" w:space="0"/>
              <w:right w:val="single" w:color="auto" w:sz="2" w:space="0"/>
            </w:tcBorders>
            <w:vAlign w:val="center"/>
          </w:tcPr>
          <w:p w14:paraId="0E1963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576,000</w:t>
            </w:r>
          </w:p>
        </w:tc>
      </w:tr>
      <w:tr w14:paraId="437408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490912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高俊斌</w:t>
            </w:r>
          </w:p>
        </w:tc>
        <w:tc>
          <w:tcPr>
            <w:tcW w:w="354" w:type="pct"/>
            <w:tcBorders>
              <w:top w:val="single" w:color="auto" w:sz="2" w:space="0"/>
              <w:left w:val="single" w:color="auto" w:sz="2" w:space="0"/>
              <w:bottom w:val="single" w:color="auto" w:sz="2" w:space="0"/>
              <w:right w:val="single" w:color="auto" w:sz="2" w:space="0"/>
            </w:tcBorders>
            <w:vAlign w:val="center"/>
          </w:tcPr>
          <w:p w14:paraId="22E3B8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293" w:type="pct"/>
            <w:tcBorders>
              <w:top w:val="single" w:color="auto" w:sz="2" w:space="0"/>
              <w:left w:val="single" w:color="auto" w:sz="2" w:space="0"/>
              <w:bottom w:val="single" w:color="auto" w:sz="2" w:space="0"/>
              <w:right w:val="single" w:color="auto" w:sz="2" w:space="0"/>
            </w:tcBorders>
            <w:vAlign w:val="center"/>
          </w:tcPr>
          <w:p w14:paraId="2CB67C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5A29A7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5E2466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09D9CB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0EBBB1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52CD9D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0FE621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0BEF63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85,000</w:t>
            </w:r>
          </w:p>
        </w:tc>
        <w:tc>
          <w:tcPr>
            <w:tcW w:w="283" w:type="pct"/>
            <w:tcBorders>
              <w:top w:val="single" w:color="auto" w:sz="2" w:space="0"/>
              <w:left w:val="single" w:color="auto" w:sz="2" w:space="0"/>
              <w:bottom w:val="single" w:color="auto" w:sz="2" w:space="0"/>
              <w:right w:val="single" w:color="auto" w:sz="2" w:space="0"/>
            </w:tcBorders>
            <w:vAlign w:val="center"/>
          </w:tcPr>
          <w:p w14:paraId="48965C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613BBC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3C7382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529906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76,500</w:t>
            </w:r>
          </w:p>
        </w:tc>
      </w:tr>
      <w:tr w14:paraId="45A3A9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0AE7D3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张毅</w:t>
            </w:r>
          </w:p>
        </w:tc>
        <w:tc>
          <w:tcPr>
            <w:tcW w:w="354" w:type="pct"/>
            <w:tcBorders>
              <w:top w:val="single" w:color="auto" w:sz="2" w:space="0"/>
              <w:left w:val="single" w:color="auto" w:sz="2" w:space="0"/>
              <w:bottom w:val="single" w:color="auto" w:sz="2" w:space="0"/>
              <w:right w:val="single" w:color="auto" w:sz="2" w:space="0"/>
            </w:tcBorders>
            <w:vAlign w:val="center"/>
          </w:tcPr>
          <w:p w14:paraId="674ADF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293" w:type="pct"/>
            <w:tcBorders>
              <w:top w:val="single" w:color="auto" w:sz="2" w:space="0"/>
              <w:left w:val="single" w:color="auto" w:sz="2" w:space="0"/>
              <w:bottom w:val="single" w:color="auto" w:sz="2" w:space="0"/>
              <w:right w:val="single" w:color="auto" w:sz="2" w:space="0"/>
            </w:tcBorders>
            <w:vAlign w:val="center"/>
          </w:tcPr>
          <w:p w14:paraId="423FDA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0AC48E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CBDF1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523207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69142C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2ED8D6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1D29F8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366F0F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85,000</w:t>
            </w:r>
          </w:p>
        </w:tc>
        <w:tc>
          <w:tcPr>
            <w:tcW w:w="283" w:type="pct"/>
            <w:tcBorders>
              <w:top w:val="single" w:color="auto" w:sz="2" w:space="0"/>
              <w:left w:val="single" w:color="auto" w:sz="2" w:space="0"/>
              <w:bottom w:val="single" w:color="auto" w:sz="2" w:space="0"/>
              <w:right w:val="single" w:color="auto" w:sz="2" w:space="0"/>
            </w:tcBorders>
            <w:vAlign w:val="center"/>
          </w:tcPr>
          <w:p w14:paraId="0FE469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101975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59C2B5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79D314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76,500</w:t>
            </w:r>
          </w:p>
        </w:tc>
      </w:tr>
      <w:tr w14:paraId="0AECD0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0B02CE3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马淦江</w:t>
            </w:r>
          </w:p>
        </w:tc>
        <w:tc>
          <w:tcPr>
            <w:tcW w:w="354" w:type="pct"/>
            <w:tcBorders>
              <w:top w:val="single" w:color="auto" w:sz="2" w:space="0"/>
              <w:left w:val="single" w:color="auto" w:sz="2" w:space="0"/>
              <w:bottom w:val="single" w:color="auto" w:sz="2" w:space="0"/>
              <w:right w:val="single" w:color="auto" w:sz="2" w:space="0"/>
            </w:tcBorders>
            <w:vAlign w:val="center"/>
          </w:tcPr>
          <w:p w14:paraId="7F5A0A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w:t>
            </w:r>
          </w:p>
        </w:tc>
        <w:tc>
          <w:tcPr>
            <w:tcW w:w="293" w:type="pct"/>
            <w:tcBorders>
              <w:top w:val="single" w:color="auto" w:sz="2" w:space="0"/>
              <w:left w:val="single" w:color="auto" w:sz="2" w:space="0"/>
              <w:bottom w:val="single" w:color="auto" w:sz="2" w:space="0"/>
              <w:right w:val="single" w:color="auto" w:sz="2" w:space="0"/>
            </w:tcBorders>
            <w:vAlign w:val="center"/>
          </w:tcPr>
          <w:p w14:paraId="22CEF7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7B5383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0DCB2E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10AD8D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54657E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60ACE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2DDDB5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09B3C1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80,000</w:t>
            </w:r>
          </w:p>
        </w:tc>
        <w:tc>
          <w:tcPr>
            <w:tcW w:w="283" w:type="pct"/>
            <w:tcBorders>
              <w:top w:val="single" w:color="auto" w:sz="2" w:space="0"/>
              <w:left w:val="single" w:color="auto" w:sz="2" w:space="0"/>
              <w:bottom w:val="single" w:color="auto" w:sz="2" w:space="0"/>
              <w:right w:val="single" w:color="auto" w:sz="2" w:space="0"/>
            </w:tcBorders>
            <w:vAlign w:val="center"/>
          </w:tcPr>
          <w:p w14:paraId="681DAC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70F926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1FFFF3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53E0A4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72,000</w:t>
            </w:r>
          </w:p>
        </w:tc>
      </w:tr>
      <w:tr w14:paraId="1AE317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407F95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林少勇</w:t>
            </w:r>
          </w:p>
        </w:tc>
        <w:tc>
          <w:tcPr>
            <w:tcW w:w="354" w:type="pct"/>
            <w:tcBorders>
              <w:top w:val="single" w:color="auto" w:sz="2" w:space="0"/>
              <w:left w:val="single" w:color="auto" w:sz="2" w:space="0"/>
              <w:bottom w:val="single" w:color="auto" w:sz="2" w:space="0"/>
              <w:right w:val="single" w:color="auto" w:sz="2" w:space="0"/>
            </w:tcBorders>
            <w:vAlign w:val="center"/>
          </w:tcPr>
          <w:p w14:paraId="418826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293" w:type="pct"/>
            <w:tcBorders>
              <w:top w:val="single" w:color="auto" w:sz="2" w:space="0"/>
              <w:left w:val="single" w:color="auto" w:sz="2" w:space="0"/>
              <w:bottom w:val="single" w:color="auto" w:sz="2" w:space="0"/>
              <w:right w:val="single" w:color="auto" w:sz="2" w:space="0"/>
            </w:tcBorders>
            <w:vAlign w:val="center"/>
          </w:tcPr>
          <w:p w14:paraId="5FCEDB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312EF8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79BFB4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1A8A2D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542FFB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5DA6D5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3D045F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11886D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137,800</w:t>
            </w:r>
          </w:p>
        </w:tc>
        <w:tc>
          <w:tcPr>
            <w:tcW w:w="283" w:type="pct"/>
            <w:tcBorders>
              <w:top w:val="single" w:color="auto" w:sz="2" w:space="0"/>
              <w:left w:val="single" w:color="auto" w:sz="2" w:space="0"/>
              <w:bottom w:val="single" w:color="auto" w:sz="2" w:space="0"/>
              <w:right w:val="single" w:color="auto" w:sz="2" w:space="0"/>
            </w:tcBorders>
            <w:vAlign w:val="center"/>
          </w:tcPr>
          <w:p w14:paraId="56F9A1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35CDC5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3DE27B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2F3E60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124,020</w:t>
            </w:r>
          </w:p>
        </w:tc>
      </w:tr>
      <w:tr w14:paraId="1D82CA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62D5610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李华青</w:t>
            </w:r>
          </w:p>
        </w:tc>
        <w:tc>
          <w:tcPr>
            <w:tcW w:w="354" w:type="pct"/>
            <w:tcBorders>
              <w:top w:val="single" w:color="auto" w:sz="2" w:space="0"/>
              <w:left w:val="single" w:color="auto" w:sz="2" w:space="0"/>
              <w:bottom w:val="single" w:color="auto" w:sz="2" w:space="0"/>
              <w:right w:val="single" w:color="auto" w:sz="2" w:space="0"/>
            </w:tcBorders>
            <w:vAlign w:val="center"/>
          </w:tcPr>
          <w:p w14:paraId="66AED7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副总经理</w:t>
            </w:r>
          </w:p>
        </w:tc>
        <w:tc>
          <w:tcPr>
            <w:tcW w:w="293" w:type="pct"/>
            <w:tcBorders>
              <w:top w:val="single" w:color="auto" w:sz="2" w:space="0"/>
              <w:left w:val="single" w:color="auto" w:sz="2" w:space="0"/>
              <w:bottom w:val="single" w:color="auto" w:sz="2" w:space="0"/>
              <w:right w:val="single" w:color="auto" w:sz="2" w:space="0"/>
            </w:tcBorders>
            <w:vAlign w:val="center"/>
          </w:tcPr>
          <w:p w14:paraId="1D3552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62BAEF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962AF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4FAEB9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3DCA0E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6AD82B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177EFA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1A75CD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389,000</w:t>
            </w:r>
          </w:p>
        </w:tc>
        <w:tc>
          <w:tcPr>
            <w:tcW w:w="283" w:type="pct"/>
            <w:tcBorders>
              <w:top w:val="single" w:color="auto" w:sz="2" w:space="0"/>
              <w:left w:val="single" w:color="auto" w:sz="2" w:space="0"/>
              <w:bottom w:val="single" w:color="auto" w:sz="2" w:space="0"/>
              <w:right w:val="single" w:color="auto" w:sz="2" w:space="0"/>
            </w:tcBorders>
            <w:vAlign w:val="center"/>
          </w:tcPr>
          <w:p w14:paraId="43F0B8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252D5D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235634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18427F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350,100</w:t>
            </w:r>
          </w:p>
        </w:tc>
      </w:tr>
      <w:tr w14:paraId="748D14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vAlign w:val="center"/>
          </w:tcPr>
          <w:p w14:paraId="0406512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陈焕盛</w:t>
            </w:r>
          </w:p>
        </w:tc>
        <w:tc>
          <w:tcPr>
            <w:tcW w:w="354" w:type="pct"/>
            <w:tcBorders>
              <w:top w:val="single" w:color="auto" w:sz="2" w:space="0"/>
              <w:left w:val="single" w:color="auto" w:sz="2" w:space="0"/>
              <w:bottom w:val="single" w:color="auto" w:sz="2" w:space="0"/>
              <w:right w:val="single" w:color="auto" w:sz="2" w:space="0"/>
            </w:tcBorders>
            <w:vAlign w:val="center"/>
          </w:tcPr>
          <w:p w14:paraId="359954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财务总监</w:t>
            </w:r>
          </w:p>
        </w:tc>
        <w:tc>
          <w:tcPr>
            <w:tcW w:w="293" w:type="pct"/>
            <w:tcBorders>
              <w:top w:val="single" w:color="auto" w:sz="2" w:space="0"/>
              <w:left w:val="single" w:color="auto" w:sz="2" w:space="0"/>
              <w:bottom w:val="single" w:color="auto" w:sz="2" w:space="0"/>
              <w:right w:val="single" w:color="auto" w:sz="2" w:space="0"/>
            </w:tcBorders>
            <w:vAlign w:val="center"/>
          </w:tcPr>
          <w:p w14:paraId="541263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4F0E33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16933C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15DFB5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vAlign w:val="center"/>
          </w:tcPr>
          <w:p w14:paraId="3B7E1B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93" w:type="pct"/>
            <w:tcBorders>
              <w:top w:val="single" w:color="auto" w:sz="2" w:space="0"/>
              <w:left w:val="single" w:color="auto" w:sz="2" w:space="0"/>
              <w:bottom w:val="single" w:color="auto" w:sz="2" w:space="0"/>
              <w:right w:val="single" w:color="auto" w:sz="2" w:space="0"/>
            </w:tcBorders>
            <w:vAlign w:val="center"/>
          </w:tcPr>
          <w:p w14:paraId="647A14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vAlign w:val="center"/>
          </w:tcPr>
          <w:p w14:paraId="57FCBA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4" w:type="pct"/>
            <w:tcBorders>
              <w:top w:val="single" w:color="auto" w:sz="2" w:space="0"/>
              <w:left w:val="single" w:color="auto" w:sz="2" w:space="0"/>
              <w:bottom w:val="single" w:color="auto" w:sz="2" w:space="0"/>
              <w:right w:val="single" w:color="auto" w:sz="2" w:space="0"/>
            </w:tcBorders>
            <w:vAlign w:val="center"/>
          </w:tcPr>
          <w:p w14:paraId="5AF545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56,000</w:t>
            </w:r>
          </w:p>
        </w:tc>
        <w:tc>
          <w:tcPr>
            <w:tcW w:w="283" w:type="pct"/>
            <w:tcBorders>
              <w:top w:val="single" w:color="auto" w:sz="2" w:space="0"/>
              <w:left w:val="single" w:color="auto" w:sz="2" w:space="0"/>
              <w:bottom w:val="single" w:color="auto" w:sz="2" w:space="0"/>
              <w:right w:val="single" w:color="auto" w:sz="2" w:space="0"/>
            </w:tcBorders>
            <w:vAlign w:val="center"/>
          </w:tcPr>
          <w:p w14:paraId="6DA70B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146714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vAlign w:val="center"/>
          </w:tcPr>
          <w:p w14:paraId="6BC012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547" w:type="pct"/>
            <w:tcBorders>
              <w:top w:val="single" w:color="auto" w:sz="2" w:space="0"/>
              <w:left w:val="single" w:color="auto" w:sz="2" w:space="0"/>
              <w:bottom w:val="single" w:color="auto" w:sz="2" w:space="0"/>
              <w:right w:val="single" w:color="auto" w:sz="2" w:space="0"/>
            </w:tcBorders>
            <w:vAlign w:val="center"/>
          </w:tcPr>
          <w:p w14:paraId="468C11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50,400</w:t>
            </w:r>
          </w:p>
        </w:tc>
      </w:tr>
      <w:tr w14:paraId="6797AE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1" w:type="pct"/>
            <w:tcBorders>
              <w:top w:val="single" w:color="auto" w:sz="2" w:space="0"/>
              <w:left w:val="single" w:color="auto" w:sz="2" w:space="0"/>
              <w:bottom w:val="single" w:color="auto" w:sz="2" w:space="0"/>
              <w:right w:val="single" w:color="auto" w:sz="2" w:space="0"/>
            </w:tcBorders>
            <w:shd w:val="clear" w:color="auto" w:fill="D3D3D3"/>
            <w:vAlign w:val="center"/>
          </w:tcPr>
          <w:p w14:paraId="2799F6F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54" w:type="pct"/>
            <w:tcBorders>
              <w:top w:val="single" w:color="auto" w:sz="2" w:space="0"/>
              <w:left w:val="single" w:color="auto" w:sz="2" w:space="0"/>
              <w:bottom w:val="single" w:color="auto" w:sz="2" w:space="0"/>
              <w:right w:val="single" w:color="auto" w:sz="2" w:space="0"/>
            </w:tcBorders>
            <w:shd w:val="clear" w:color="auto" w:fill="D3D3D3"/>
            <w:vAlign w:val="center"/>
          </w:tcPr>
          <w:p w14:paraId="35ACEE6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93" w:type="pct"/>
            <w:tcBorders>
              <w:top w:val="single" w:color="auto" w:sz="2" w:space="0"/>
              <w:left w:val="single" w:color="auto" w:sz="2" w:space="0"/>
              <w:bottom w:val="single" w:color="auto" w:sz="2" w:space="0"/>
              <w:right w:val="single" w:color="auto" w:sz="2" w:space="0"/>
            </w:tcBorders>
            <w:vAlign w:val="center"/>
          </w:tcPr>
          <w:p w14:paraId="7EB8B6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14" w:type="pct"/>
            <w:tcBorders>
              <w:top w:val="single" w:color="auto" w:sz="2" w:space="0"/>
              <w:left w:val="single" w:color="auto" w:sz="2" w:space="0"/>
              <w:bottom w:val="single" w:color="auto" w:sz="2" w:space="0"/>
              <w:right w:val="single" w:color="auto" w:sz="2" w:space="0"/>
            </w:tcBorders>
            <w:vAlign w:val="center"/>
          </w:tcPr>
          <w:p w14:paraId="729CEF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732914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3" w:type="pct"/>
            <w:tcBorders>
              <w:top w:val="single" w:color="auto" w:sz="2" w:space="0"/>
              <w:left w:val="single" w:color="auto" w:sz="2" w:space="0"/>
              <w:bottom w:val="single" w:color="auto" w:sz="2" w:space="0"/>
              <w:right w:val="single" w:color="auto" w:sz="2" w:space="0"/>
            </w:tcBorders>
            <w:vAlign w:val="center"/>
          </w:tcPr>
          <w:p w14:paraId="308F0F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49" w:type="pct"/>
            <w:tcBorders>
              <w:top w:val="single" w:color="auto" w:sz="2" w:space="0"/>
              <w:left w:val="single" w:color="auto" w:sz="2" w:space="0"/>
              <w:bottom w:val="single" w:color="auto" w:sz="2" w:space="0"/>
              <w:right w:val="single" w:color="auto" w:sz="2" w:space="0"/>
            </w:tcBorders>
            <w:shd w:val="clear" w:color="auto" w:fill="D3D3D3"/>
            <w:vAlign w:val="center"/>
          </w:tcPr>
          <w:p w14:paraId="6B24D7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293" w:type="pct"/>
            <w:tcBorders>
              <w:top w:val="single" w:color="auto" w:sz="2" w:space="0"/>
              <w:left w:val="single" w:color="auto" w:sz="2" w:space="0"/>
              <w:bottom w:val="single" w:color="auto" w:sz="2" w:space="0"/>
              <w:right w:val="single" w:color="auto" w:sz="2" w:space="0"/>
            </w:tcBorders>
            <w:vAlign w:val="center"/>
          </w:tcPr>
          <w:p w14:paraId="55F3E1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77" w:type="pct"/>
            <w:tcBorders>
              <w:top w:val="single" w:color="auto" w:sz="2" w:space="0"/>
              <w:left w:val="single" w:color="auto" w:sz="2" w:space="0"/>
              <w:bottom w:val="single" w:color="auto" w:sz="2" w:space="0"/>
              <w:right w:val="single" w:color="auto" w:sz="2" w:space="0"/>
            </w:tcBorders>
            <w:shd w:val="clear" w:color="auto" w:fill="D3D3D3"/>
            <w:vAlign w:val="center"/>
          </w:tcPr>
          <w:p w14:paraId="3887D0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44" w:type="pct"/>
            <w:tcBorders>
              <w:top w:val="single" w:color="auto" w:sz="2" w:space="0"/>
              <w:left w:val="single" w:color="auto" w:sz="2" w:space="0"/>
              <w:bottom w:val="single" w:color="auto" w:sz="2" w:space="0"/>
              <w:right w:val="single" w:color="auto" w:sz="2" w:space="0"/>
            </w:tcBorders>
            <w:vAlign w:val="center"/>
          </w:tcPr>
          <w:p w14:paraId="31557A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2,112,800</w:t>
            </w:r>
          </w:p>
        </w:tc>
        <w:tc>
          <w:tcPr>
            <w:tcW w:w="283" w:type="pct"/>
            <w:tcBorders>
              <w:top w:val="single" w:color="auto" w:sz="2" w:space="0"/>
              <w:left w:val="single" w:color="auto" w:sz="2" w:space="0"/>
              <w:bottom w:val="single" w:color="auto" w:sz="2" w:space="0"/>
              <w:right w:val="single" w:color="auto" w:sz="2" w:space="0"/>
            </w:tcBorders>
            <w:vAlign w:val="center"/>
          </w:tcPr>
          <w:p w14:paraId="1E823E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324" w:type="pct"/>
            <w:tcBorders>
              <w:top w:val="single" w:color="auto" w:sz="2" w:space="0"/>
              <w:left w:val="single" w:color="auto" w:sz="2" w:space="0"/>
              <w:bottom w:val="single" w:color="auto" w:sz="2" w:space="0"/>
              <w:right w:val="single" w:color="auto" w:sz="2" w:space="0"/>
            </w:tcBorders>
            <w:vAlign w:val="center"/>
          </w:tcPr>
          <w:p w14:paraId="4B923C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8" w:type="pct"/>
            <w:tcBorders>
              <w:top w:val="single" w:color="auto" w:sz="2" w:space="0"/>
              <w:left w:val="single" w:color="auto" w:sz="2" w:space="0"/>
              <w:bottom w:val="single" w:color="auto" w:sz="2" w:space="0"/>
              <w:right w:val="single" w:color="auto" w:sz="2" w:space="0"/>
            </w:tcBorders>
            <w:shd w:val="clear" w:color="auto" w:fill="D3D3D3"/>
            <w:vAlign w:val="center"/>
          </w:tcPr>
          <w:p w14:paraId="25696B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47" w:type="pct"/>
            <w:tcBorders>
              <w:top w:val="single" w:color="auto" w:sz="2" w:space="0"/>
              <w:left w:val="single" w:color="auto" w:sz="2" w:space="0"/>
              <w:bottom w:val="single" w:color="auto" w:sz="2" w:space="0"/>
              <w:right w:val="single" w:color="auto" w:sz="2" w:space="0"/>
            </w:tcBorders>
            <w:vAlign w:val="center"/>
          </w:tcPr>
          <w:p w14:paraId="4D5983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1,901,520</w:t>
            </w:r>
          </w:p>
        </w:tc>
      </w:tr>
      <w:tr w14:paraId="77C9B6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5"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561355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备注（如有）</w:t>
            </w:r>
          </w:p>
        </w:tc>
        <w:tc>
          <w:tcPr>
            <w:tcW w:w="4425" w:type="pct"/>
            <w:gridSpan w:val="12"/>
            <w:tcBorders>
              <w:top w:val="single" w:color="auto" w:sz="2" w:space="0"/>
              <w:left w:val="single" w:color="auto" w:sz="2" w:space="0"/>
              <w:bottom w:val="single" w:color="auto" w:sz="2" w:space="0"/>
              <w:right w:val="single" w:color="auto" w:sz="2" w:space="0"/>
            </w:tcBorders>
            <w:vAlign w:val="center"/>
          </w:tcPr>
          <w:p w14:paraId="26092E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因公司层面业绩考核未达标，2023年度限制性股票激励计划已授予的限制性股票第一期解限售/归属条件未成就，公司同意回购并注销已授予但尚未解除限售的限制性股票128,000股，另已授予但尚未归属的限制性股票作废。</w:t>
            </w:r>
          </w:p>
        </w:tc>
      </w:tr>
    </w:tbl>
    <w:p w14:paraId="11AC103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高级管理人员的考评机制及激励情况</w:t>
      </w:r>
    </w:p>
    <w:p w14:paraId="5A427B76">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董事会下设薪酬与考核委员会作为公司董事、高级管理人员的薪酬考核管理机构，负责制订董事、高级管理人员的薪酬标准与方案，审查其履行职责情况并进行年度考评。报告期内，公司高级管理人员严格按照《公司法》《公司章程》及有关法律法规认真履行职责，积极落实公司股东会和董事会相关决议。</w:t>
      </w:r>
    </w:p>
    <w:p w14:paraId="47810DB8">
      <w:pPr>
        <w:pStyle w:val="3"/>
        <w:spacing w:line="280" w:lineRule="exact"/>
        <w:jc w:val="left"/>
        <w:rPr>
          <w:rFonts w:ascii="Times New Roman" w:hAnsi="Times New Roman" w:cs="Times New Roman" w:eastAsiaTheme="majorEastAsia"/>
          <w:b/>
          <w:bCs/>
        </w:rPr>
      </w:pPr>
      <w:bookmarkStart w:id="83" w:name="_Toc988972"/>
      <w:r>
        <w:rPr>
          <w:rFonts w:ascii="Times New Roman" w:hAnsi="Times New Roman" w:cs="Times New Roman" w:eastAsiaTheme="majorEastAsia"/>
          <w:b/>
          <w:bCs/>
        </w:rPr>
        <w:t>2、员工持股计划的实施情况</w:t>
      </w:r>
      <w:bookmarkEnd w:id="83"/>
    </w:p>
    <w:p w14:paraId="6B95E4C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041AC74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报告期内全部有效的员工持股计划情况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007C23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E80C1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员工的范围</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C2C2D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员工人数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48228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持有的股票总数（股）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86AB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变更情况</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689777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占上市公司股本总额的比例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59C87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实施计划的资金来源</w:t>
            </w:r>
          </w:p>
        </w:tc>
      </w:tr>
      <w:tr w14:paraId="26E1C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AE5AF5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公司（含子公司）的监事及核心员工</w:t>
            </w:r>
          </w:p>
        </w:tc>
        <w:tc>
          <w:tcPr>
            <w:tcW w:w="1606" w:type="dxa"/>
            <w:tcBorders>
              <w:top w:val="single" w:color="auto" w:sz="2" w:space="0"/>
              <w:left w:val="single" w:color="auto" w:sz="2" w:space="0"/>
              <w:bottom w:val="single" w:color="auto" w:sz="2" w:space="0"/>
              <w:right w:val="single" w:color="auto" w:sz="2" w:space="0"/>
            </w:tcBorders>
            <w:vAlign w:val="center"/>
          </w:tcPr>
          <w:p w14:paraId="112BD4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c>
          <w:tcPr>
            <w:tcW w:w="1606" w:type="dxa"/>
            <w:tcBorders>
              <w:top w:val="single" w:color="auto" w:sz="2" w:space="0"/>
              <w:left w:val="single" w:color="auto" w:sz="2" w:space="0"/>
              <w:bottom w:val="single" w:color="auto" w:sz="2" w:space="0"/>
              <w:right w:val="single" w:color="auto" w:sz="2" w:space="0"/>
            </w:tcBorders>
            <w:vAlign w:val="center"/>
          </w:tcPr>
          <w:p w14:paraId="73CE24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472,400</w:t>
            </w:r>
          </w:p>
        </w:tc>
        <w:tc>
          <w:tcPr>
            <w:tcW w:w="1606" w:type="dxa"/>
            <w:tcBorders>
              <w:top w:val="single" w:color="auto" w:sz="2" w:space="0"/>
              <w:left w:val="single" w:color="auto" w:sz="2" w:space="0"/>
              <w:bottom w:val="single" w:color="auto" w:sz="2" w:space="0"/>
              <w:right w:val="single" w:color="auto" w:sz="2" w:space="0"/>
            </w:tcBorders>
            <w:vAlign w:val="center"/>
          </w:tcPr>
          <w:p w14:paraId="322E376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17F320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0.70%</w:t>
            </w:r>
          </w:p>
        </w:tc>
        <w:tc>
          <w:tcPr>
            <w:tcW w:w="1606" w:type="dxa"/>
            <w:tcBorders>
              <w:top w:val="single" w:color="auto" w:sz="2" w:space="0"/>
              <w:left w:val="single" w:color="auto" w:sz="2" w:space="0"/>
              <w:bottom w:val="single" w:color="auto" w:sz="2" w:space="0"/>
              <w:right w:val="single" w:color="auto" w:sz="2" w:space="0"/>
            </w:tcBorders>
            <w:vAlign w:val="center"/>
          </w:tcPr>
          <w:p w14:paraId="6DDFB1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员工合法薪酬、自筹资金和法律、行政法规允许的其他方式</w:t>
            </w:r>
          </w:p>
        </w:tc>
      </w:tr>
    </w:tbl>
    <w:p w14:paraId="5199D74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报告期内董事、监事、高级管理人员在员工持股计划中的持股情况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68"/>
        <w:gridCol w:w="2187"/>
        <w:gridCol w:w="1928"/>
        <w:gridCol w:w="1928"/>
        <w:gridCol w:w="1928"/>
      </w:tblGrid>
      <w:tr w14:paraId="4275B3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68" w:type="dxa"/>
            <w:tcBorders>
              <w:top w:val="single" w:color="auto" w:sz="2" w:space="0"/>
              <w:left w:val="single" w:color="auto" w:sz="2" w:space="0"/>
              <w:bottom w:val="single" w:color="auto" w:sz="2" w:space="0"/>
              <w:right w:val="single" w:color="auto" w:sz="2" w:space="0"/>
            </w:tcBorders>
            <w:shd w:val="clear" w:color="auto" w:fill="D3D3D3"/>
            <w:vAlign w:val="center"/>
          </w:tcPr>
          <w:p w14:paraId="2B6192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姓名</w:t>
            </w:r>
          </w:p>
        </w:tc>
        <w:tc>
          <w:tcPr>
            <w:tcW w:w="2187" w:type="dxa"/>
            <w:tcBorders>
              <w:top w:val="single" w:color="auto" w:sz="2" w:space="0"/>
              <w:left w:val="single" w:color="auto" w:sz="2" w:space="0"/>
              <w:bottom w:val="single" w:color="auto" w:sz="2" w:space="0"/>
              <w:right w:val="single" w:color="auto" w:sz="2" w:space="0"/>
            </w:tcBorders>
            <w:shd w:val="clear" w:color="auto" w:fill="D3D3D3"/>
            <w:vAlign w:val="center"/>
          </w:tcPr>
          <w:p w14:paraId="502EAE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职务</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07F8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报告期初持股数（股）</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EC48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报告期末持股数（股）</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AD78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占上市公司股本总额的比例</w:t>
            </w:r>
          </w:p>
        </w:tc>
      </w:tr>
      <w:tr w14:paraId="5F605E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68" w:type="dxa"/>
            <w:tcBorders>
              <w:top w:val="single" w:color="auto" w:sz="2" w:space="0"/>
              <w:left w:val="single" w:color="auto" w:sz="2" w:space="0"/>
              <w:bottom w:val="single" w:color="auto" w:sz="2" w:space="0"/>
              <w:right w:val="single" w:color="auto" w:sz="2" w:space="0"/>
            </w:tcBorders>
            <w:vAlign w:val="center"/>
          </w:tcPr>
          <w:p w14:paraId="41D5508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毛晓玲</w:t>
            </w:r>
          </w:p>
        </w:tc>
        <w:tc>
          <w:tcPr>
            <w:tcW w:w="2187" w:type="dxa"/>
            <w:tcBorders>
              <w:top w:val="single" w:color="auto" w:sz="2" w:space="0"/>
              <w:left w:val="single" w:color="auto" w:sz="2" w:space="0"/>
              <w:bottom w:val="single" w:color="auto" w:sz="2" w:space="0"/>
              <w:right w:val="single" w:color="auto" w:sz="2" w:space="0"/>
            </w:tcBorders>
            <w:vAlign w:val="center"/>
          </w:tcPr>
          <w:p w14:paraId="40B1981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监事会主席</w:t>
            </w:r>
          </w:p>
        </w:tc>
        <w:tc>
          <w:tcPr>
            <w:tcW w:w="1928" w:type="dxa"/>
            <w:tcBorders>
              <w:top w:val="single" w:color="auto" w:sz="2" w:space="0"/>
              <w:left w:val="single" w:color="auto" w:sz="2" w:space="0"/>
              <w:bottom w:val="single" w:color="auto" w:sz="2" w:space="0"/>
              <w:right w:val="single" w:color="auto" w:sz="2" w:space="0"/>
            </w:tcBorders>
            <w:vAlign w:val="center"/>
          </w:tcPr>
          <w:p w14:paraId="76957C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58,900.00</w:t>
            </w:r>
          </w:p>
        </w:tc>
        <w:tc>
          <w:tcPr>
            <w:tcW w:w="1928" w:type="dxa"/>
            <w:tcBorders>
              <w:top w:val="single" w:color="auto" w:sz="2" w:space="0"/>
              <w:left w:val="single" w:color="auto" w:sz="2" w:space="0"/>
              <w:bottom w:val="single" w:color="auto" w:sz="2" w:space="0"/>
              <w:right w:val="single" w:color="auto" w:sz="2" w:space="0"/>
            </w:tcBorders>
            <w:vAlign w:val="center"/>
          </w:tcPr>
          <w:p w14:paraId="26263A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53,010.00</w:t>
            </w:r>
          </w:p>
        </w:tc>
        <w:tc>
          <w:tcPr>
            <w:tcW w:w="1928" w:type="dxa"/>
            <w:tcBorders>
              <w:top w:val="single" w:color="auto" w:sz="2" w:space="0"/>
              <w:left w:val="single" w:color="auto" w:sz="2" w:space="0"/>
              <w:bottom w:val="single" w:color="auto" w:sz="2" w:space="0"/>
              <w:right w:val="single" w:color="auto" w:sz="2" w:space="0"/>
            </w:tcBorders>
            <w:vAlign w:val="center"/>
          </w:tcPr>
          <w:p w14:paraId="37EE89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0.08%</w:t>
            </w:r>
          </w:p>
        </w:tc>
      </w:tr>
      <w:tr w14:paraId="0D10EB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68" w:type="dxa"/>
            <w:tcBorders>
              <w:top w:val="single" w:color="auto" w:sz="2" w:space="0"/>
              <w:left w:val="single" w:color="auto" w:sz="2" w:space="0"/>
              <w:bottom w:val="single" w:color="auto" w:sz="2" w:space="0"/>
              <w:right w:val="single" w:color="auto" w:sz="2" w:space="0"/>
            </w:tcBorders>
            <w:vAlign w:val="center"/>
          </w:tcPr>
          <w:p w14:paraId="594B2B3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刘培璇</w:t>
            </w:r>
          </w:p>
        </w:tc>
        <w:tc>
          <w:tcPr>
            <w:tcW w:w="2187" w:type="dxa"/>
            <w:tcBorders>
              <w:top w:val="single" w:color="auto" w:sz="2" w:space="0"/>
              <w:left w:val="single" w:color="auto" w:sz="2" w:space="0"/>
              <w:bottom w:val="single" w:color="auto" w:sz="2" w:space="0"/>
              <w:right w:val="single" w:color="auto" w:sz="2" w:space="0"/>
            </w:tcBorders>
            <w:vAlign w:val="center"/>
          </w:tcPr>
          <w:p w14:paraId="1EA5BBF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职工监事</w:t>
            </w:r>
          </w:p>
        </w:tc>
        <w:tc>
          <w:tcPr>
            <w:tcW w:w="1928" w:type="dxa"/>
            <w:tcBorders>
              <w:top w:val="single" w:color="auto" w:sz="2" w:space="0"/>
              <w:left w:val="single" w:color="auto" w:sz="2" w:space="0"/>
              <w:bottom w:val="single" w:color="auto" w:sz="2" w:space="0"/>
              <w:right w:val="single" w:color="auto" w:sz="2" w:space="0"/>
            </w:tcBorders>
            <w:vAlign w:val="center"/>
          </w:tcPr>
          <w:p w14:paraId="7D318F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58,900.00</w:t>
            </w:r>
          </w:p>
        </w:tc>
        <w:tc>
          <w:tcPr>
            <w:tcW w:w="1928" w:type="dxa"/>
            <w:tcBorders>
              <w:top w:val="single" w:color="auto" w:sz="2" w:space="0"/>
              <w:left w:val="single" w:color="auto" w:sz="2" w:space="0"/>
              <w:bottom w:val="single" w:color="auto" w:sz="2" w:space="0"/>
              <w:right w:val="single" w:color="auto" w:sz="2" w:space="0"/>
            </w:tcBorders>
            <w:vAlign w:val="center"/>
          </w:tcPr>
          <w:p w14:paraId="610BE5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53,010.00</w:t>
            </w:r>
          </w:p>
        </w:tc>
        <w:tc>
          <w:tcPr>
            <w:tcW w:w="1928" w:type="dxa"/>
            <w:tcBorders>
              <w:top w:val="single" w:color="auto" w:sz="2" w:space="0"/>
              <w:left w:val="single" w:color="auto" w:sz="2" w:space="0"/>
              <w:bottom w:val="single" w:color="auto" w:sz="2" w:space="0"/>
              <w:right w:val="single" w:color="auto" w:sz="2" w:space="0"/>
            </w:tcBorders>
            <w:vAlign w:val="center"/>
          </w:tcPr>
          <w:p w14:paraId="5A0552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0.08%</w:t>
            </w:r>
          </w:p>
        </w:tc>
      </w:tr>
      <w:tr w14:paraId="3C1E61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68" w:type="dxa"/>
            <w:tcBorders>
              <w:top w:val="single" w:color="auto" w:sz="2" w:space="0"/>
              <w:left w:val="single" w:color="auto" w:sz="2" w:space="0"/>
              <w:bottom w:val="single" w:color="auto" w:sz="2" w:space="0"/>
              <w:right w:val="single" w:color="auto" w:sz="2" w:space="0"/>
            </w:tcBorders>
            <w:vAlign w:val="center"/>
          </w:tcPr>
          <w:p w14:paraId="363ED3E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黄素芳</w:t>
            </w:r>
          </w:p>
        </w:tc>
        <w:tc>
          <w:tcPr>
            <w:tcW w:w="2187" w:type="dxa"/>
            <w:tcBorders>
              <w:top w:val="single" w:color="auto" w:sz="2" w:space="0"/>
              <w:left w:val="single" w:color="auto" w:sz="2" w:space="0"/>
              <w:bottom w:val="single" w:color="auto" w:sz="2" w:space="0"/>
              <w:right w:val="single" w:color="auto" w:sz="2" w:space="0"/>
            </w:tcBorders>
            <w:vAlign w:val="center"/>
          </w:tcPr>
          <w:p w14:paraId="786BE59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职工监事</w:t>
            </w:r>
          </w:p>
        </w:tc>
        <w:tc>
          <w:tcPr>
            <w:tcW w:w="1928" w:type="dxa"/>
            <w:tcBorders>
              <w:top w:val="single" w:color="auto" w:sz="2" w:space="0"/>
              <w:left w:val="single" w:color="auto" w:sz="2" w:space="0"/>
              <w:bottom w:val="single" w:color="auto" w:sz="2" w:space="0"/>
              <w:right w:val="single" w:color="auto" w:sz="2" w:space="0"/>
            </w:tcBorders>
            <w:vAlign w:val="center"/>
          </w:tcPr>
          <w:p w14:paraId="7B5F63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13,900.00</w:t>
            </w:r>
          </w:p>
        </w:tc>
        <w:tc>
          <w:tcPr>
            <w:tcW w:w="1928" w:type="dxa"/>
            <w:tcBorders>
              <w:top w:val="single" w:color="auto" w:sz="2" w:space="0"/>
              <w:left w:val="single" w:color="auto" w:sz="2" w:space="0"/>
              <w:bottom w:val="single" w:color="auto" w:sz="2" w:space="0"/>
              <w:right w:val="single" w:color="auto" w:sz="2" w:space="0"/>
            </w:tcBorders>
            <w:vAlign w:val="center"/>
          </w:tcPr>
          <w:p w14:paraId="0B69E3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12,510.00</w:t>
            </w:r>
          </w:p>
        </w:tc>
        <w:tc>
          <w:tcPr>
            <w:tcW w:w="1928" w:type="dxa"/>
            <w:tcBorders>
              <w:top w:val="single" w:color="auto" w:sz="2" w:space="0"/>
              <w:left w:val="single" w:color="auto" w:sz="2" w:space="0"/>
              <w:bottom w:val="single" w:color="auto" w:sz="2" w:space="0"/>
              <w:right w:val="single" w:color="auto" w:sz="2" w:space="0"/>
            </w:tcBorders>
            <w:vAlign w:val="center"/>
          </w:tcPr>
          <w:p w14:paraId="405061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0.02%</w:t>
            </w:r>
          </w:p>
        </w:tc>
      </w:tr>
    </w:tbl>
    <w:p w14:paraId="027CABA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报告期内资产管理机构的变更情况</w:t>
      </w:r>
    </w:p>
    <w:p w14:paraId="5BD1A55C">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9DDBF6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报告期内因持有人处置份额等引起的权益变动情况</w:t>
      </w:r>
    </w:p>
    <w:p w14:paraId="149AB06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F368D5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报告期内股东权利行使的情况</w:t>
      </w:r>
    </w:p>
    <w:p w14:paraId="71F7DCB3">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报告期内，因公司实施2023年度权益分派，员工持股计划平台获得现金分红47,240元（含税）。此外，员工持股计划平台未行使股东表决权等其他权利。</w:t>
      </w:r>
    </w:p>
    <w:p w14:paraId="0799656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报告期内员工持股计划的其他相关情形及说明</w:t>
      </w:r>
    </w:p>
    <w:p w14:paraId="4964B535">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21D5D0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员工持股计划管理委员会成员发生变化</w:t>
      </w:r>
    </w:p>
    <w:p w14:paraId="426DAC09">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DE7BD0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员工持股计划对报告期上市公司的财务影响及相关会计处理</w:t>
      </w:r>
    </w:p>
    <w:p w14:paraId="14B5A750">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7A9DF8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报告期内员工持股计划终止的情况</w:t>
      </w:r>
    </w:p>
    <w:p w14:paraId="593DD62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99A528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211D3936">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根据《管理办法》的相关规定，本持股计划第一个锁定期于2024年12月28日届满。2023年度公司层面业绩考核未达标，根据《管理办法》，第一个锁定期对应的标的股票权益不得解锁，由管理委员会收回，择机出售后以出资金额与售出收益孰低值返还持有人，剩余资金（如有）归属于公司。</w:t>
      </w:r>
    </w:p>
    <w:p w14:paraId="050F2E32">
      <w:pPr>
        <w:pStyle w:val="3"/>
        <w:spacing w:line="280" w:lineRule="exact"/>
        <w:jc w:val="left"/>
        <w:rPr>
          <w:rFonts w:ascii="Times New Roman" w:hAnsi="Times New Roman" w:cs="Times New Roman" w:eastAsiaTheme="majorEastAsia"/>
          <w:b/>
          <w:bCs/>
        </w:rPr>
      </w:pPr>
      <w:bookmarkStart w:id="84" w:name="_Toc988973"/>
      <w:r>
        <w:rPr>
          <w:rFonts w:ascii="Times New Roman" w:hAnsi="Times New Roman" w:cs="Times New Roman" w:eastAsiaTheme="majorEastAsia"/>
          <w:b/>
          <w:bCs/>
        </w:rPr>
        <w:t>3、其他员工激励措施</w:t>
      </w:r>
      <w:bookmarkEnd w:id="84"/>
    </w:p>
    <w:p w14:paraId="042E02E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D5AF31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0917AA6E">
      <w:pPr>
        <w:pStyle w:val="2"/>
        <w:spacing w:before="300" w:after="300" w:line="320" w:lineRule="exact"/>
        <w:rPr>
          <w:rFonts w:ascii="Times New Roman" w:hAnsi="Times New Roman" w:cs="Times New Roman" w:eastAsiaTheme="majorEastAsia"/>
          <w:b/>
          <w:bCs/>
          <w:sz w:val="24"/>
          <w:szCs w:val="24"/>
        </w:rPr>
      </w:pPr>
      <w:bookmarkStart w:id="85" w:name="_Toc988974"/>
      <w:r>
        <w:rPr>
          <w:rFonts w:ascii="Times New Roman" w:hAnsi="Times New Roman" w:cs="Times New Roman" w:eastAsiaTheme="majorEastAsia"/>
          <w:b/>
          <w:bCs/>
          <w:sz w:val="24"/>
          <w:szCs w:val="24"/>
        </w:rPr>
        <w:t>十四、报告期内的内部控制制度建设及实施情况</w:t>
      </w:r>
      <w:bookmarkEnd w:id="85"/>
    </w:p>
    <w:p w14:paraId="1A8D85D8">
      <w:pPr>
        <w:pStyle w:val="3"/>
        <w:spacing w:line="280" w:lineRule="exact"/>
        <w:jc w:val="left"/>
        <w:rPr>
          <w:rFonts w:ascii="Times New Roman" w:hAnsi="Times New Roman" w:cs="Times New Roman" w:eastAsiaTheme="majorEastAsia"/>
          <w:b/>
          <w:bCs/>
        </w:rPr>
      </w:pPr>
      <w:bookmarkStart w:id="86" w:name="_Toc988975"/>
      <w:r>
        <w:rPr>
          <w:rFonts w:ascii="Times New Roman" w:hAnsi="Times New Roman" w:cs="Times New Roman" w:eastAsiaTheme="majorEastAsia"/>
          <w:b/>
          <w:bCs/>
        </w:rPr>
        <w:t>1、内部控制建设及实施情况</w:t>
      </w:r>
      <w:bookmarkEnd w:id="86"/>
    </w:p>
    <w:p w14:paraId="239780B2">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根据《企业内部控制基本规范》及其配套指引的规定和其他内部控制监管要求，结合行业特点和实际运营情况，公司已建立了较为完整、合理的内部控制制度，所建立的内部控制制度贯穿于公司经营活动的各个层面和各环节，形成了一套比较完整且运行有效的管理体系，合理控制了各种风险，能够预防和及时发现、纠正公司运营过程中可能出现的重要错误和舞弊，保护公司资产的安全和完整，保证了会计记录和会计信息的真实性、准确性和及时性，保证了公司经营的正常有效运行，促进了公司各项经营目标的实现。</w:t>
      </w:r>
    </w:p>
    <w:p w14:paraId="7D794072">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报告期内，根据公司财务报告内部控制重大缺陷的认定情况，于内部控制报告基准日不存在财务报告内部控制重大缺陷。公司已按照企业内部控制规范体系和相关规定的要求在所有重大方面保持了有效的财务报告内部控制。</w:t>
      </w:r>
    </w:p>
    <w:p w14:paraId="42B10445">
      <w:pPr>
        <w:pStyle w:val="3"/>
        <w:spacing w:line="280" w:lineRule="exact"/>
        <w:jc w:val="left"/>
        <w:rPr>
          <w:rFonts w:ascii="Times New Roman" w:hAnsi="Times New Roman" w:cs="Times New Roman" w:eastAsiaTheme="majorEastAsia"/>
          <w:b/>
          <w:bCs/>
        </w:rPr>
      </w:pPr>
      <w:bookmarkStart w:id="87" w:name="_Toc988976"/>
      <w:r>
        <w:rPr>
          <w:rFonts w:ascii="Times New Roman" w:hAnsi="Times New Roman" w:cs="Times New Roman" w:eastAsiaTheme="majorEastAsia"/>
          <w:b/>
          <w:bCs/>
        </w:rPr>
        <w:t>2、报告期内发现的内部控制重大缺陷的具体情况</w:t>
      </w:r>
      <w:bookmarkEnd w:id="87"/>
    </w:p>
    <w:p w14:paraId="4435D40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5701909C">
      <w:pPr>
        <w:pStyle w:val="2"/>
        <w:spacing w:before="300" w:after="300" w:line="320" w:lineRule="exact"/>
        <w:rPr>
          <w:rFonts w:ascii="Times New Roman" w:hAnsi="Times New Roman" w:cs="Times New Roman" w:eastAsiaTheme="majorEastAsia"/>
          <w:b/>
          <w:bCs/>
          <w:sz w:val="24"/>
          <w:szCs w:val="24"/>
        </w:rPr>
      </w:pPr>
      <w:bookmarkStart w:id="88" w:name="_Toc988977"/>
      <w:r>
        <w:rPr>
          <w:rFonts w:ascii="Times New Roman" w:hAnsi="Times New Roman" w:cs="Times New Roman" w:eastAsiaTheme="majorEastAsia"/>
          <w:b/>
          <w:bCs/>
          <w:sz w:val="24"/>
          <w:szCs w:val="24"/>
        </w:rPr>
        <w:t>十五、公司报告期内对子公司的管理控制情况</w:t>
      </w:r>
      <w:bookmarkEnd w:id="88"/>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18"/>
        <w:gridCol w:w="3789"/>
        <w:gridCol w:w="680"/>
        <w:gridCol w:w="1058"/>
        <w:gridCol w:w="1058"/>
        <w:gridCol w:w="680"/>
        <w:gridCol w:w="870"/>
      </w:tblGrid>
      <w:tr w14:paraId="3F01D1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2" w:type="pct"/>
            <w:tcBorders>
              <w:top w:val="single" w:color="auto" w:sz="2" w:space="0"/>
              <w:left w:val="single" w:color="auto" w:sz="2" w:space="0"/>
              <w:bottom w:val="single" w:color="auto" w:sz="2" w:space="0"/>
              <w:right w:val="single" w:color="auto" w:sz="2" w:space="0"/>
            </w:tcBorders>
            <w:shd w:val="clear" w:color="auto" w:fill="D3D3D3"/>
            <w:vAlign w:val="center"/>
          </w:tcPr>
          <w:p w14:paraId="567B20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公司名称</w:t>
            </w:r>
          </w:p>
        </w:tc>
        <w:tc>
          <w:tcPr>
            <w:tcW w:w="1923" w:type="pct"/>
            <w:tcBorders>
              <w:top w:val="single" w:color="auto" w:sz="2" w:space="0"/>
              <w:left w:val="single" w:color="auto" w:sz="2" w:space="0"/>
              <w:bottom w:val="single" w:color="auto" w:sz="2" w:space="0"/>
              <w:right w:val="single" w:color="auto" w:sz="2" w:space="0"/>
            </w:tcBorders>
            <w:shd w:val="clear" w:color="auto" w:fill="D3D3D3"/>
            <w:vAlign w:val="center"/>
          </w:tcPr>
          <w:p w14:paraId="67EAF9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整合计划</w:t>
            </w:r>
          </w:p>
        </w:tc>
        <w:tc>
          <w:tcPr>
            <w:tcW w:w="345" w:type="pct"/>
            <w:tcBorders>
              <w:top w:val="single" w:color="auto" w:sz="2" w:space="0"/>
              <w:left w:val="single" w:color="auto" w:sz="2" w:space="0"/>
              <w:bottom w:val="single" w:color="auto" w:sz="2" w:space="0"/>
              <w:right w:val="single" w:color="auto" w:sz="2" w:space="0"/>
            </w:tcBorders>
            <w:shd w:val="clear" w:color="auto" w:fill="D3D3D3"/>
            <w:vAlign w:val="center"/>
          </w:tcPr>
          <w:p w14:paraId="2CDC9D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整合进展</w:t>
            </w:r>
          </w:p>
        </w:tc>
        <w:tc>
          <w:tcPr>
            <w:tcW w:w="537" w:type="pct"/>
            <w:tcBorders>
              <w:top w:val="single" w:color="auto" w:sz="2" w:space="0"/>
              <w:left w:val="single" w:color="auto" w:sz="2" w:space="0"/>
              <w:bottom w:val="single" w:color="auto" w:sz="2" w:space="0"/>
              <w:right w:val="single" w:color="auto" w:sz="2" w:space="0"/>
            </w:tcBorders>
            <w:shd w:val="clear" w:color="auto" w:fill="D3D3D3"/>
            <w:vAlign w:val="center"/>
          </w:tcPr>
          <w:p w14:paraId="25B361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整合中遇到的问题</w:t>
            </w:r>
          </w:p>
        </w:tc>
        <w:tc>
          <w:tcPr>
            <w:tcW w:w="537" w:type="pct"/>
            <w:tcBorders>
              <w:top w:val="single" w:color="auto" w:sz="2" w:space="0"/>
              <w:left w:val="single" w:color="auto" w:sz="2" w:space="0"/>
              <w:bottom w:val="single" w:color="auto" w:sz="2" w:space="0"/>
              <w:right w:val="single" w:color="auto" w:sz="2" w:space="0"/>
            </w:tcBorders>
            <w:shd w:val="clear" w:color="auto" w:fill="D3D3D3"/>
            <w:vAlign w:val="center"/>
          </w:tcPr>
          <w:p w14:paraId="3753F5A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已采取的解决措施</w:t>
            </w:r>
          </w:p>
        </w:tc>
        <w:tc>
          <w:tcPr>
            <w:tcW w:w="345" w:type="pct"/>
            <w:tcBorders>
              <w:top w:val="single" w:color="auto" w:sz="2" w:space="0"/>
              <w:left w:val="single" w:color="auto" w:sz="2" w:space="0"/>
              <w:bottom w:val="single" w:color="auto" w:sz="2" w:space="0"/>
              <w:right w:val="single" w:color="auto" w:sz="2" w:space="0"/>
            </w:tcBorders>
            <w:shd w:val="clear" w:color="auto" w:fill="D3D3D3"/>
            <w:vAlign w:val="center"/>
          </w:tcPr>
          <w:p w14:paraId="54C111F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解决进展</w:t>
            </w:r>
          </w:p>
        </w:tc>
        <w:tc>
          <w:tcPr>
            <w:tcW w:w="441" w:type="pct"/>
            <w:tcBorders>
              <w:top w:val="single" w:color="auto" w:sz="2" w:space="0"/>
              <w:left w:val="single" w:color="auto" w:sz="2" w:space="0"/>
              <w:bottom w:val="single" w:color="auto" w:sz="2" w:space="0"/>
              <w:right w:val="single" w:color="auto" w:sz="2" w:space="0"/>
            </w:tcBorders>
            <w:shd w:val="clear" w:color="auto" w:fill="D3D3D3"/>
            <w:vAlign w:val="center"/>
          </w:tcPr>
          <w:p w14:paraId="17A5C4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后续解决计划</w:t>
            </w:r>
          </w:p>
        </w:tc>
      </w:tr>
      <w:tr w14:paraId="1D2EDA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2" w:type="pct"/>
            <w:tcBorders>
              <w:top w:val="single" w:color="auto" w:sz="2" w:space="0"/>
              <w:left w:val="single" w:color="auto" w:sz="2" w:space="0"/>
              <w:bottom w:val="single" w:color="auto" w:sz="2" w:space="0"/>
              <w:right w:val="single" w:color="auto" w:sz="2" w:space="0"/>
            </w:tcBorders>
            <w:vAlign w:val="center"/>
          </w:tcPr>
          <w:p w14:paraId="55F5DD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广东翼启计算机软件开发有限公司</w:t>
            </w:r>
          </w:p>
        </w:tc>
        <w:tc>
          <w:tcPr>
            <w:tcW w:w="1923" w:type="pct"/>
            <w:tcBorders>
              <w:top w:val="single" w:color="auto" w:sz="2" w:space="0"/>
              <w:left w:val="single" w:color="auto" w:sz="2" w:space="0"/>
              <w:bottom w:val="single" w:color="auto" w:sz="2" w:space="0"/>
              <w:right w:val="single" w:color="auto" w:sz="2" w:space="0"/>
            </w:tcBorders>
            <w:vAlign w:val="center"/>
          </w:tcPr>
          <w:p w14:paraId="0849544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公司实现对广东翼启的资产、人员、财务、机构、业务等方面的全面交接与控制。</w:t>
            </w:r>
          </w:p>
        </w:tc>
        <w:tc>
          <w:tcPr>
            <w:tcW w:w="345" w:type="pct"/>
            <w:tcBorders>
              <w:top w:val="single" w:color="auto" w:sz="2" w:space="0"/>
              <w:left w:val="single" w:color="auto" w:sz="2" w:space="0"/>
              <w:bottom w:val="single" w:color="auto" w:sz="2" w:space="0"/>
              <w:right w:val="single" w:color="auto" w:sz="2" w:space="0"/>
            </w:tcBorders>
            <w:vAlign w:val="center"/>
          </w:tcPr>
          <w:p w14:paraId="0B6189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完成整合</w:t>
            </w:r>
          </w:p>
        </w:tc>
        <w:tc>
          <w:tcPr>
            <w:tcW w:w="537" w:type="pct"/>
            <w:tcBorders>
              <w:top w:val="single" w:color="auto" w:sz="2" w:space="0"/>
              <w:left w:val="single" w:color="auto" w:sz="2" w:space="0"/>
              <w:bottom w:val="single" w:color="auto" w:sz="2" w:space="0"/>
              <w:right w:val="single" w:color="auto" w:sz="2" w:space="0"/>
            </w:tcBorders>
            <w:vAlign w:val="center"/>
          </w:tcPr>
          <w:p w14:paraId="543FE6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537" w:type="pct"/>
            <w:tcBorders>
              <w:top w:val="single" w:color="auto" w:sz="2" w:space="0"/>
              <w:left w:val="single" w:color="auto" w:sz="2" w:space="0"/>
              <w:bottom w:val="single" w:color="auto" w:sz="2" w:space="0"/>
              <w:right w:val="single" w:color="auto" w:sz="2" w:space="0"/>
            </w:tcBorders>
            <w:vAlign w:val="center"/>
          </w:tcPr>
          <w:p w14:paraId="4C28D5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345" w:type="pct"/>
            <w:tcBorders>
              <w:top w:val="single" w:color="auto" w:sz="2" w:space="0"/>
              <w:left w:val="single" w:color="auto" w:sz="2" w:space="0"/>
              <w:bottom w:val="single" w:color="auto" w:sz="2" w:space="0"/>
              <w:right w:val="single" w:color="auto" w:sz="2" w:space="0"/>
            </w:tcBorders>
            <w:vAlign w:val="center"/>
          </w:tcPr>
          <w:p w14:paraId="07DF2F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41" w:type="pct"/>
            <w:tcBorders>
              <w:top w:val="single" w:color="auto" w:sz="2" w:space="0"/>
              <w:left w:val="single" w:color="auto" w:sz="2" w:space="0"/>
              <w:bottom w:val="single" w:color="auto" w:sz="2" w:space="0"/>
              <w:right w:val="single" w:color="auto" w:sz="2" w:space="0"/>
            </w:tcBorders>
            <w:vAlign w:val="center"/>
          </w:tcPr>
          <w:p w14:paraId="065A9C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7CD3E0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2" w:type="pct"/>
            <w:tcBorders>
              <w:top w:val="single" w:color="auto" w:sz="2" w:space="0"/>
              <w:left w:val="single" w:color="auto" w:sz="2" w:space="0"/>
              <w:bottom w:val="single" w:color="auto" w:sz="2" w:space="0"/>
              <w:right w:val="single" w:color="auto" w:sz="2" w:space="0"/>
            </w:tcBorders>
            <w:vAlign w:val="center"/>
          </w:tcPr>
          <w:p w14:paraId="3A5252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1923" w:type="pct"/>
            <w:tcBorders>
              <w:top w:val="single" w:color="auto" w:sz="2" w:space="0"/>
              <w:left w:val="single" w:color="auto" w:sz="2" w:space="0"/>
              <w:bottom w:val="single" w:color="auto" w:sz="2" w:space="0"/>
              <w:right w:val="single" w:color="auto" w:sz="2" w:space="0"/>
            </w:tcBorders>
            <w:vAlign w:val="center"/>
          </w:tcPr>
          <w:p w14:paraId="77DA949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公司实现对桓台爱康的资产、人员、财务、机构、业务等方面的全面交接与控制。</w:t>
            </w:r>
          </w:p>
        </w:tc>
        <w:tc>
          <w:tcPr>
            <w:tcW w:w="345" w:type="pct"/>
            <w:tcBorders>
              <w:top w:val="single" w:color="auto" w:sz="2" w:space="0"/>
              <w:left w:val="single" w:color="auto" w:sz="2" w:space="0"/>
              <w:bottom w:val="single" w:color="auto" w:sz="2" w:space="0"/>
              <w:right w:val="single" w:color="auto" w:sz="2" w:space="0"/>
            </w:tcBorders>
            <w:vAlign w:val="center"/>
          </w:tcPr>
          <w:p w14:paraId="1D313E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完成整合</w:t>
            </w:r>
          </w:p>
        </w:tc>
        <w:tc>
          <w:tcPr>
            <w:tcW w:w="537" w:type="pct"/>
            <w:tcBorders>
              <w:top w:val="single" w:color="auto" w:sz="2" w:space="0"/>
              <w:left w:val="single" w:color="auto" w:sz="2" w:space="0"/>
              <w:bottom w:val="single" w:color="auto" w:sz="2" w:space="0"/>
              <w:right w:val="single" w:color="auto" w:sz="2" w:space="0"/>
            </w:tcBorders>
            <w:vAlign w:val="center"/>
          </w:tcPr>
          <w:p w14:paraId="6ABFE5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537" w:type="pct"/>
            <w:tcBorders>
              <w:top w:val="single" w:color="auto" w:sz="2" w:space="0"/>
              <w:left w:val="single" w:color="auto" w:sz="2" w:space="0"/>
              <w:bottom w:val="single" w:color="auto" w:sz="2" w:space="0"/>
              <w:right w:val="single" w:color="auto" w:sz="2" w:space="0"/>
            </w:tcBorders>
            <w:vAlign w:val="center"/>
          </w:tcPr>
          <w:p w14:paraId="25EA6D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345" w:type="pct"/>
            <w:tcBorders>
              <w:top w:val="single" w:color="auto" w:sz="2" w:space="0"/>
              <w:left w:val="single" w:color="auto" w:sz="2" w:space="0"/>
              <w:bottom w:val="single" w:color="auto" w:sz="2" w:space="0"/>
              <w:right w:val="single" w:color="auto" w:sz="2" w:space="0"/>
            </w:tcBorders>
            <w:vAlign w:val="center"/>
          </w:tcPr>
          <w:p w14:paraId="004131C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41" w:type="pct"/>
            <w:tcBorders>
              <w:top w:val="single" w:color="auto" w:sz="2" w:space="0"/>
              <w:left w:val="single" w:color="auto" w:sz="2" w:space="0"/>
              <w:bottom w:val="single" w:color="auto" w:sz="2" w:space="0"/>
              <w:right w:val="single" w:color="auto" w:sz="2" w:space="0"/>
            </w:tcBorders>
            <w:vAlign w:val="center"/>
          </w:tcPr>
          <w:p w14:paraId="658F14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r w14:paraId="1A379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2" w:type="pct"/>
            <w:tcBorders>
              <w:top w:val="single" w:color="auto" w:sz="2" w:space="0"/>
              <w:left w:val="single" w:color="auto" w:sz="2" w:space="0"/>
              <w:bottom w:val="single" w:color="auto" w:sz="2" w:space="0"/>
              <w:right w:val="single" w:color="auto" w:sz="2" w:space="0"/>
            </w:tcBorders>
            <w:vAlign w:val="center"/>
          </w:tcPr>
          <w:p w14:paraId="5D7CDB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邯郸庚源新能源科技有限公司</w:t>
            </w:r>
          </w:p>
        </w:tc>
        <w:tc>
          <w:tcPr>
            <w:tcW w:w="1923" w:type="pct"/>
            <w:tcBorders>
              <w:top w:val="single" w:color="auto" w:sz="2" w:space="0"/>
              <w:left w:val="single" w:color="auto" w:sz="2" w:space="0"/>
              <w:bottom w:val="single" w:color="auto" w:sz="2" w:space="0"/>
              <w:right w:val="single" w:color="auto" w:sz="2" w:space="0"/>
            </w:tcBorders>
            <w:vAlign w:val="center"/>
          </w:tcPr>
          <w:p w14:paraId="42B7DE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公司实现对邯郸庚源的资产、人员、财务、机构、业务等方面的全面交接与控制。</w:t>
            </w:r>
          </w:p>
        </w:tc>
        <w:tc>
          <w:tcPr>
            <w:tcW w:w="345" w:type="pct"/>
            <w:tcBorders>
              <w:top w:val="single" w:color="auto" w:sz="2" w:space="0"/>
              <w:left w:val="single" w:color="auto" w:sz="2" w:space="0"/>
              <w:bottom w:val="single" w:color="auto" w:sz="2" w:space="0"/>
              <w:right w:val="single" w:color="auto" w:sz="2" w:space="0"/>
            </w:tcBorders>
            <w:vAlign w:val="center"/>
          </w:tcPr>
          <w:p w14:paraId="216DE7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完成整合</w:t>
            </w:r>
          </w:p>
        </w:tc>
        <w:tc>
          <w:tcPr>
            <w:tcW w:w="537" w:type="pct"/>
            <w:tcBorders>
              <w:top w:val="single" w:color="auto" w:sz="2" w:space="0"/>
              <w:left w:val="single" w:color="auto" w:sz="2" w:space="0"/>
              <w:bottom w:val="single" w:color="auto" w:sz="2" w:space="0"/>
              <w:right w:val="single" w:color="auto" w:sz="2" w:space="0"/>
            </w:tcBorders>
            <w:vAlign w:val="center"/>
          </w:tcPr>
          <w:p w14:paraId="0F442A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537" w:type="pct"/>
            <w:tcBorders>
              <w:top w:val="single" w:color="auto" w:sz="2" w:space="0"/>
              <w:left w:val="single" w:color="auto" w:sz="2" w:space="0"/>
              <w:bottom w:val="single" w:color="auto" w:sz="2" w:space="0"/>
              <w:right w:val="single" w:color="auto" w:sz="2" w:space="0"/>
            </w:tcBorders>
            <w:vAlign w:val="center"/>
          </w:tcPr>
          <w:p w14:paraId="223B7B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345" w:type="pct"/>
            <w:tcBorders>
              <w:top w:val="single" w:color="auto" w:sz="2" w:space="0"/>
              <w:left w:val="single" w:color="auto" w:sz="2" w:space="0"/>
              <w:bottom w:val="single" w:color="auto" w:sz="2" w:space="0"/>
              <w:right w:val="single" w:color="auto" w:sz="2" w:space="0"/>
            </w:tcBorders>
            <w:vAlign w:val="center"/>
          </w:tcPr>
          <w:p w14:paraId="2C6F97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41" w:type="pct"/>
            <w:tcBorders>
              <w:top w:val="single" w:color="auto" w:sz="2" w:space="0"/>
              <w:left w:val="single" w:color="auto" w:sz="2" w:space="0"/>
              <w:bottom w:val="single" w:color="auto" w:sz="2" w:space="0"/>
              <w:right w:val="single" w:color="auto" w:sz="2" w:space="0"/>
            </w:tcBorders>
            <w:vAlign w:val="center"/>
          </w:tcPr>
          <w:p w14:paraId="702AF8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2F2417B1">
      <w:pPr>
        <w:pStyle w:val="2"/>
        <w:spacing w:before="300" w:after="300" w:line="320" w:lineRule="exact"/>
        <w:rPr>
          <w:rFonts w:ascii="Times New Roman" w:hAnsi="Times New Roman" w:cs="Times New Roman" w:eastAsiaTheme="majorEastAsia"/>
          <w:b/>
          <w:bCs/>
          <w:sz w:val="24"/>
          <w:szCs w:val="24"/>
        </w:rPr>
      </w:pPr>
      <w:bookmarkStart w:id="89" w:name="_Toc988978"/>
      <w:r>
        <w:rPr>
          <w:rFonts w:ascii="Times New Roman" w:hAnsi="Times New Roman" w:cs="Times New Roman" w:eastAsiaTheme="majorEastAsia"/>
          <w:b/>
          <w:bCs/>
          <w:sz w:val="24"/>
          <w:szCs w:val="24"/>
        </w:rPr>
        <w:t>十六、内部控制评价报告及内部控制审计报告</w:t>
      </w:r>
      <w:bookmarkEnd w:id="89"/>
    </w:p>
    <w:p w14:paraId="367A51B3">
      <w:pPr>
        <w:pStyle w:val="3"/>
        <w:spacing w:line="280" w:lineRule="exact"/>
        <w:jc w:val="left"/>
        <w:rPr>
          <w:rFonts w:ascii="Times New Roman" w:hAnsi="Times New Roman" w:cs="Times New Roman" w:eastAsiaTheme="majorEastAsia"/>
          <w:b/>
          <w:bCs/>
        </w:rPr>
      </w:pPr>
      <w:bookmarkStart w:id="90" w:name="_Toc988979"/>
      <w:r>
        <w:rPr>
          <w:rFonts w:ascii="Times New Roman" w:hAnsi="Times New Roman" w:cs="Times New Roman" w:eastAsiaTheme="majorEastAsia"/>
          <w:b/>
          <w:bCs/>
        </w:rPr>
        <w:t>1、内控评价报告</w:t>
      </w:r>
      <w:bookmarkEnd w:id="90"/>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4BEBB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AEDF1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内部控制评价报告全文披露日期</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137264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2025年04月22日</w:t>
            </w:r>
          </w:p>
        </w:tc>
      </w:tr>
      <w:tr w14:paraId="62463C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5B336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内部控制评价报告全文披露索引</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78AE222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报告详见公司同日披露于巨潮资讯网等法定披露媒体的《广东天亿马信息产业股份有限公司内部控制自我评价报告》</w:t>
            </w:r>
          </w:p>
        </w:tc>
      </w:tr>
      <w:tr w14:paraId="7238E8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6111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纳入评价范围单位资产总额占公司合并财务报表资产总额的比例</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120E88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09A125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F84E8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纳入评价范围单位营业收入占公司合并财务报表营业收入的比例</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458856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1E8038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E71E8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缺陷认定标准</w:t>
            </w:r>
          </w:p>
        </w:tc>
      </w:tr>
      <w:tr w14:paraId="731C3F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ED4B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2370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财务报告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B1901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非财务报告</w:t>
            </w:r>
          </w:p>
        </w:tc>
      </w:tr>
      <w:tr w14:paraId="296D4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0F02B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定性标准</w:t>
            </w:r>
          </w:p>
        </w:tc>
        <w:tc>
          <w:tcPr>
            <w:tcW w:w="3213" w:type="dxa"/>
            <w:tcBorders>
              <w:top w:val="single" w:color="auto" w:sz="2" w:space="0"/>
              <w:left w:val="single" w:color="auto" w:sz="2" w:space="0"/>
              <w:bottom w:val="single" w:color="auto" w:sz="2" w:space="0"/>
              <w:right w:val="single" w:color="auto" w:sz="2" w:space="0"/>
            </w:tcBorders>
            <w:vAlign w:val="center"/>
          </w:tcPr>
          <w:p w14:paraId="18239F7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1.财务报告重大缺陷的迹象包括：董事、监事和高级管理人员的舞弊行为；当期财务报告存在重大错报，而内部控制在运行过程中未能发现该错报；审计委员会和内部审计部门对财务报告内部控制监督无效；</w:t>
            </w:r>
          </w:p>
          <w:p w14:paraId="081380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2.财务报告重要缺陷迹象包括：未依照公认会计准则选择和应用会计政策；未建立反舞弊程序和控制措施；对于非常规或特殊交易的账务处理没有建立相应的控制机制或没有实施且没有相应的补偿性控制</w:t>
            </w:r>
            <w:r>
              <w:rPr>
                <w:rFonts w:hint="eastAsia" w:ascii="Times New Roman" w:hAnsi="Times New Roman" w:cs="Times New Roman" w:eastAsiaTheme="majorEastAsia"/>
                <w:sz w:val="18"/>
                <w:szCs w:val="18"/>
              </w:rPr>
              <w:t>；</w:t>
            </w:r>
          </w:p>
          <w:p w14:paraId="1771C5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3.一般缺陷是指除上述重大缺陷、重要缺陷之外的其他控制缺陷。</w:t>
            </w:r>
          </w:p>
        </w:tc>
        <w:tc>
          <w:tcPr>
            <w:tcW w:w="3213" w:type="dxa"/>
            <w:tcBorders>
              <w:top w:val="single" w:color="auto" w:sz="2" w:space="0"/>
              <w:left w:val="single" w:color="auto" w:sz="2" w:space="0"/>
              <w:bottom w:val="single" w:color="auto" w:sz="2" w:space="0"/>
              <w:right w:val="single" w:color="auto" w:sz="2" w:space="0"/>
            </w:tcBorders>
            <w:vAlign w:val="center"/>
          </w:tcPr>
          <w:p w14:paraId="642614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出现以下情形的，可认定为重大缺陷，其他情形按影响程度分别确定为重要缺陷或一般缺陷：</w:t>
            </w:r>
          </w:p>
          <w:p w14:paraId="368DA457">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①</w:t>
            </w:r>
            <w:r>
              <w:rPr>
                <w:rFonts w:ascii="Times New Roman" w:hAnsi="Times New Roman" w:cs="Times New Roman" w:eastAsiaTheme="majorEastAsia"/>
                <w:sz w:val="18"/>
                <w:szCs w:val="18"/>
              </w:rPr>
              <w:t>违反国家现行法律、法规，如出现重大安全生产或环境污染事故；</w:t>
            </w:r>
          </w:p>
          <w:p w14:paraId="4AED2391">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②</w:t>
            </w:r>
            <w:r>
              <w:rPr>
                <w:rFonts w:ascii="Times New Roman" w:hAnsi="Times New Roman" w:cs="Times New Roman" w:eastAsiaTheme="majorEastAsia"/>
                <w:sz w:val="18"/>
                <w:szCs w:val="18"/>
              </w:rPr>
              <w:t>公司决策程序不科学，造成决策失误等；</w:t>
            </w:r>
          </w:p>
          <w:p w14:paraId="3CB1A5F5">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③</w:t>
            </w:r>
            <w:r>
              <w:rPr>
                <w:rFonts w:ascii="Times New Roman" w:hAnsi="Times New Roman" w:cs="Times New Roman" w:eastAsiaTheme="majorEastAsia"/>
                <w:sz w:val="18"/>
                <w:szCs w:val="18"/>
              </w:rPr>
              <w:t>主要管理人员或关键岗位技术人员大量离职；</w:t>
            </w:r>
          </w:p>
          <w:p w14:paraId="7138D596">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④</w:t>
            </w:r>
            <w:r>
              <w:rPr>
                <w:rFonts w:ascii="Times New Roman" w:hAnsi="Times New Roman" w:cs="Times New Roman" w:eastAsiaTheme="majorEastAsia"/>
                <w:sz w:val="18"/>
                <w:szCs w:val="18"/>
              </w:rPr>
              <w:t>内部控制评价结论中涉及的重大或重要缺陷未得到整改；</w:t>
            </w:r>
          </w:p>
          <w:p w14:paraId="3A5775EB">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⑤</w:t>
            </w:r>
            <w:r>
              <w:rPr>
                <w:rFonts w:ascii="Times New Roman" w:hAnsi="Times New Roman" w:cs="Times New Roman" w:eastAsiaTheme="majorEastAsia"/>
                <w:sz w:val="18"/>
                <w:szCs w:val="18"/>
              </w:rPr>
              <w:t>重要业务缺乏制度控制或制度失效；</w:t>
            </w:r>
          </w:p>
          <w:p w14:paraId="5332740D">
            <w:pPr>
              <w:spacing w:line="240" w:lineRule="exact"/>
              <w:rPr>
                <w:rFonts w:ascii="Times New Roman" w:hAnsi="Times New Roman" w:cs="Times New Roman" w:eastAsiaTheme="majorEastAsia"/>
                <w:sz w:val="18"/>
                <w:szCs w:val="18"/>
              </w:rPr>
            </w:pPr>
            <w:r>
              <w:rPr>
                <w:rFonts w:hint="eastAsia" w:ascii="宋体" w:hAnsi="宋体" w:eastAsia="宋体" w:cs="宋体"/>
                <w:sz w:val="18"/>
                <w:szCs w:val="18"/>
              </w:rPr>
              <w:t>⑥</w:t>
            </w:r>
            <w:r>
              <w:rPr>
                <w:rFonts w:ascii="Times New Roman" w:hAnsi="Times New Roman" w:cs="Times New Roman" w:eastAsiaTheme="majorEastAsia"/>
                <w:sz w:val="18"/>
                <w:szCs w:val="18"/>
              </w:rPr>
              <w:t>媒体负面新闻频频曝光,对公司声誉造成重大损害。</w:t>
            </w:r>
          </w:p>
        </w:tc>
      </w:tr>
      <w:tr w14:paraId="4DAA13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7B5B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定量标准</w:t>
            </w:r>
          </w:p>
        </w:tc>
        <w:tc>
          <w:tcPr>
            <w:tcW w:w="3213" w:type="dxa"/>
            <w:tcBorders>
              <w:top w:val="single" w:color="auto" w:sz="2" w:space="0"/>
              <w:left w:val="single" w:color="auto" w:sz="2" w:space="0"/>
              <w:bottom w:val="single" w:color="auto" w:sz="2" w:space="0"/>
              <w:right w:val="single" w:color="auto" w:sz="2" w:space="0"/>
            </w:tcBorders>
            <w:vAlign w:val="center"/>
          </w:tcPr>
          <w:p w14:paraId="0AA4CB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1.涉及经营成果潜在错报</w:t>
            </w:r>
          </w:p>
          <w:p w14:paraId="12CAB2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重大缺陷：错报≥营业收入的10%；</w:t>
            </w:r>
          </w:p>
          <w:p w14:paraId="11DA5B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重要缺陷：营业收入的5%≤错报＜营业收入的10%；</w:t>
            </w:r>
          </w:p>
          <w:p w14:paraId="6E61EE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一般缺陷：错报＜营业收入的5%。</w:t>
            </w:r>
          </w:p>
          <w:p w14:paraId="0428EA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2.涉及财务状况潜在错报</w:t>
            </w:r>
          </w:p>
          <w:p w14:paraId="7449ED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重大缺陷：错报≥资产总额10%；</w:t>
            </w:r>
          </w:p>
          <w:p w14:paraId="67F195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重要缺陷：资产总额的5%≤错报＜资产总额的10%；</w:t>
            </w:r>
          </w:p>
          <w:p w14:paraId="2FE188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一般缺陷：错报＜资产总额的5%。</w:t>
            </w:r>
          </w:p>
        </w:tc>
        <w:tc>
          <w:tcPr>
            <w:tcW w:w="3213" w:type="dxa"/>
            <w:tcBorders>
              <w:top w:val="single" w:color="auto" w:sz="2" w:space="0"/>
              <w:left w:val="single" w:color="auto" w:sz="2" w:space="0"/>
              <w:bottom w:val="single" w:color="auto" w:sz="2" w:space="0"/>
              <w:right w:val="single" w:color="auto" w:sz="2" w:space="0"/>
            </w:tcBorders>
            <w:vAlign w:val="center"/>
          </w:tcPr>
          <w:p w14:paraId="043968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63066C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BAB6D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财务报告重大缺陷数量（个）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544F5D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6F8D9E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4A161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非财务报告重大缺陷数量（个）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2E6104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36747D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A66AD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财务报告重要缺陷数量（个）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1E8DDF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28FF40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CE901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非财务报告重要缺陷数量（个）</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0CCF93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bl>
    <w:p w14:paraId="3BD4F77C">
      <w:pPr>
        <w:pStyle w:val="3"/>
        <w:spacing w:line="280" w:lineRule="exact"/>
        <w:jc w:val="left"/>
        <w:rPr>
          <w:rFonts w:ascii="Times New Roman" w:hAnsi="Times New Roman" w:cs="Times New Roman" w:eastAsiaTheme="majorEastAsia"/>
          <w:b/>
          <w:bCs/>
        </w:rPr>
      </w:pPr>
      <w:bookmarkStart w:id="91" w:name="_Toc988980"/>
      <w:r>
        <w:rPr>
          <w:rFonts w:ascii="Times New Roman" w:hAnsi="Times New Roman" w:cs="Times New Roman" w:eastAsiaTheme="majorEastAsia"/>
          <w:b/>
          <w:bCs/>
        </w:rPr>
        <w:t>2、内部控制审计报告</w:t>
      </w:r>
      <w:bookmarkEnd w:id="91"/>
    </w:p>
    <w:p w14:paraId="5F70798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7043A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8F9C0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内部控制审计报告中的审议意见段</w:t>
            </w:r>
          </w:p>
        </w:tc>
      </w:tr>
      <w:tr w14:paraId="73FCE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2"/>
            <w:tcBorders>
              <w:top w:val="single" w:color="auto" w:sz="2" w:space="0"/>
              <w:left w:val="single" w:color="auto" w:sz="2" w:space="0"/>
              <w:bottom w:val="single" w:color="auto" w:sz="2" w:space="0"/>
              <w:right w:val="single" w:color="auto" w:sz="2" w:space="0"/>
            </w:tcBorders>
            <w:vAlign w:val="center"/>
          </w:tcPr>
          <w:p w14:paraId="6B8BC83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我们认为，天亿马公司于2024年12月31日按照《企业内部控制基本规范》和相关规定在所有重大方面保持了有效的财务报告内部控制。</w:t>
            </w:r>
          </w:p>
        </w:tc>
      </w:tr>
      <w:tr w14:paraId="7A9850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40067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内控审计报告披露情况</w:t>
            </w:r>
          </w:p>
        </w:tc>
        <w:tc>
          <w:tcPr>
            <w:tcW w:w="4820" w:type="dxa"/>
            <w:tcBorders>
              <w:top w:val="single" w:color="auto" w:sz="2" w:space="0"/>
              <w:left w:val="single" w:color="auto" w:sz="2" w:space="0"/>
              <w:bottom w:val="single" w:color="auto" w:sz="2" w:space="0"/>
              <w:right w:val="single" w:color="auto" w:sz="2" w:space="0"/>
            </w:tcBorders>
            <w:vAlign w:val="center"/>
          </w:tcPr>
          <w:p w14:paraId="3DCB37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披露</w:t>
            </w:r>
          </w:p>
        </w:tc>
      </w:tr>
      <w:tr w14:paraId="5BE56B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A6B3B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内部控制审计报告全文披露日期</w:t>
            </w:r>
          </w:p>
        </w:tc>
        <w:tc>
          <w:tcPr>
            <w:tcW w:w="4820" w:type="dxa"/>
            <w:tcBorders>
              <w:top w:val="single" w:color="auto" w:sz="2" w:space="0"/>
              <w:left w:val="single" w:color="auto" w:sz="2" w:space="0"/>
              <w:bottom w:val="single" w:color="auto" w:sz="2" w:space="0"/>
              <w:right w:val="single" w:color="auto" w:sz="2" w:space="0"/>
            </w:tcBorders>
            <w:vAlign w:val="center"/>
          </w:tcPr>
          <w:p w14:paraId="6FD5EC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2025年04月22日</w:t>
            </w:r>
          </w:p>
        </w:tc>
      </w:tr>
      <w:tr w14:paraId="7FEB3B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0065E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内部控制审计报告全文披露索引</w:t>
            </w:r>
          </w:p>
        </w:tc>
        <w:tc>
          <w:tcPr>
            <w:tcW w:w="4820" w:type="dxa"/>
            <w:tcBorders>
              <w:top w:val="single" w:color="auto" w:sz="2" w:space="0"/>
              <w:left w:val="single" w:color="auto" w:sz="2" w:space="0"/>
              <w:bottom w:val="single" w:color="auto" w:sz="2" w:space="0"/>
              <w:right w:val="single" w:color="auto" w:sz="2" w:space="0"/>
            </w:tcBorders>
            <w:vAlign w:val="center"/>
          </w:tcPr>
          <w:p w14:paraId="4E2BB0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报告详见公司同日披露于巨潮资讯网等法定披露媒体的《中审亚太会计师事务所（特殊普通合伙）关于广东天亿马信息产业股份有限公司内部控制审计报告》。</w:t>
            </w:r>
          </w:p>
        </w:tc>
      </w:tr>
      <w:tr w14:paraId="0DAC03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1EAA8F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内控审计报告意见类型</w:t>
            </w:r>
          </w:p>
        </w:tc>
        <w:tc>
          <w:tcPr>
            <w:tcW w:w="4820" w:type="dxa"/>
            <w:tcBorders>
              <w:top w:val="single" w:color="auto" w:sz="2" w:space="0"/>
              <w:left w:val="single" w:color="auto" w:sz="2" w:space="0"/>
              <w:bottom w:val="single" w:color="auto" w:sz="2" w:space="0"/>
              <w:right w:val="single" w:color="auto" w:sz="2" w:space="0"/>
            </w:tcBorders>
            <w:vAlign w:val="center"/>
          </w:tcPr>
          <w:p w14:paraId="6830744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标准无保留意见</w:t>
            </w:r>
          </w:p>
        </w:tc>
      </w:tr>
      <w:tr w14:paraId="553C5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D1169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非财务报告是否存在重大缺陷</w:t>
            </w:r>
          </w:p>
        </w:tc>
        <w:tc>
          <w:tcPr>
            <w:tcW w:w="4820" w:type="dxa"/>
            <w:tcBorders>
              <w:top w:val="single" w:color="auto" w:sz="2" w:space="0"/>
              <w:left w:val="single" w:color="auto" w:sz="2" w:space="0"/>
              <w:bottom w:val="single" w:color="auto" w:sz="2" w:space="0"/>
              <w:right w:val="single" w:color="auto" w:sz="2" w:space="0"/>
            </w:tcBorders>
            <w:vAlign w:val="center"/>
          </w:tcPr>
          <w:p w14:paraId="50C473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bl>
    <w:p w14:paraId="384DAA3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会计师事务所是否出具非标准意见的内部控制审计报告</w:t>
      </w:r>
    </w:p>
    <w:p w14:paraId="5025ED1F">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0E04B1B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会计师事务所出具的内部控制审计报告与董事会的自我评价报告意见是否一致</w:t>
      </w:r>
    </w:p>
    <w:p w14:paraId="52FF481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是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否</w:t>
      </w:r>
    </w:p>
    <w:p w14:paraId="339F2BAD">
      <w:pPr>
        <w:pStyle w:val="2"/>
        <w:spacing w:before="300" w:after="300" w:line="320" w:lineRule="exact"/>
        <w:rPr>
          <w:rFonts w:ascii="Times New Roman" w:hAnsi="Times New Roman" w:cs="Times New Roman" w:eastAsiaTheme="majorEastAsia"/>
          <w:b/>
          <w:bCs/>
          <w:sz w:val="24"/>
          <w:szCs w:val="24"/>
        </w:rPr>
      </w:pPr>
      <w:bookmarkStart w:id="92" w:name="_Toc988981"/>
      <w:r>
        <w:rPr>
          <w:rFonts w:ascii="Times New Roman" w:hAnsi="Times New Roman" w:cs="Times New Roman" w:eastAsiaTheme="majorEastAsia"/>
          <w:b/>
          <w:bCs/>
          <w:sz w:val="24"/>
          <w:szCs w:val="24"/>
        </w:rPr>
        <w:t>十七、上市公司治理专项行动自查问题整改情况</w:t>
      </w:r>
      <w:bookmarkEnd w:id="92"/>
    </w:p>
    <w:p w14:paraId="27B11ED4">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不适用。</w:t>
      </w:r>
    </w:p>
    <w:p w14:paraId="4DC4F056">
      <w:pPr>
        <w:rPr>
          <w:rFonts w:ascii="Times New Roman" w:hAnsi="Times New Roman" w:cs="Times New Roman" w:eastAsiaTheme="majorEastAsia"/>
        </w:rPr>
      </w:pPr>
      <w:r>
        <w:rPr>
          <w:rFonts w:ascii="Times New Roman" w:hAnsi="Times New Roman" w:cs="Times New Roman" w:eastAsiaTheme="majorEastAsia"/>
        </w:rPr>
        <w:br w:type="page"/>
      </w:r>
    </w:p>
    <w:p w14:paraId="7BB70F03">
      <w:pPr>
        <w:pStyle w:val="18"/>
        <w:spacing w:before="340" w:after="330" w:line="773" w:lineRule="exact"/>
        <w:jc w:val="center"/>
        <w:rPr>
          <w:rFonts w:ascii="Times New Roman" w:hAnsi="Times New Roman" w:cs="Times New Roman" w:eastAsiaTheme="majorEastAsia"/>
          <w:b/>
          <w:bCs/>
          <w:sz w:val="32"/>
          <w:szCs w:val="32"/>
        </w:rPr>
      </w:pPr>
      <w:bookmarkStart w:id="93" w:name="_Toc988982"/>
      <w:r>
        <w:rPr>
          <w:rFonts w:ascii="Times New Roman" w:hAnsi="Times New Roman" w:cs="Times New Roman" w:eastAsiaTheme="majorEastAsia"/>
          <w:b/>
          <w:bCs/>
          <w:sz w:val="32"/>
          <w:szCs w:val="32"/>
        </w:rPr>
        <w:t>第五节 环境和社会责任</w:t>
      </w:r>
      <w:bookmarkEnd w:id="93"/>
    </w:p>
    <w:p w14:paraId="3E67AAD5">
      <w:pPr>
        <w:pStyle w:val="2"/>
        <w:spacing w:before="300" w:after="300" w:line="320" w:lineRule="exact"/>
        <w:rPr>
          <w:rFonts w:ascii="Times New Roman" w:hAnsi="Times New Roman" w:cs="Times New Roman" w:eastAsiaTheme="majorEastAsia"/>
          <w:b/>
          <w:bCs/>
          <w:sz w:val="24"/>
          <w:szCs w:val="24"/>
        </w:rPr>
      </w:pPr>
      <w:bookmarkStart w:id="94" w:name="_Toc988983"/>
      <w:r>
        <w:rPr>
          <w:rFonts w:ascii="Times New Roman" w:hAnsi="Times New Roman" w:cs="Times New Roman" w:eastAsiaTheme="majorEastAsia"/>
          <w:b/>
          <w:bCs/>
          <w:sz w:val="24"/>
          <w:szCs w:val="24"/>
        </w:rPr>
        <w:t>一、重大环保问题</w:t>
      </w:r>
      <w:bookmarkEnd w:id="94"/>
    </w:p>
    <w:p w14:paraId="749B96C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上市公司及其子公司是否属于环境保护部门公布的重点排污单位</w:t>
      </w:r>
    </w:p>
    <w:p w14:paraId="754973B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0D821FA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报告期内因环境问题受到行政处罚的情况</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1E0E17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C6337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公司或子公司名称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9A90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处罚原因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A6698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违规情形</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0968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处罚结果</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A37D0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对上市公司生产经营的影响</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B5B1D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公司的整改措施</w:t>
            </w:r>
          </w:p>
        </w:tc>
      </w:tr>
      <w:tr w14:paraId="0EECF6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63AD7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55E3EA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02F79E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00D631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0C88CA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1606" w:type="dxa"/>
            <w:tcBorders>
              <w:top w:val="single" w:color="auto" w:sz="2" w:space="0"/>
              <w:left w:val="single" w:color="auto" w:sz="2" w:space="0"/>
              <w:bottom w:val="single" w:color="auto" w:sz="2" w:space="0"/>
              <w:right w:val="single" w:color="auto" w:sz="2" w:space="0"/>
            </w:tcBorders>
            <w:vAlign w:val="center"/>
          </w:tcPr>
          <w:p w14:paraId="6D2296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7D50E8E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参照重点排污单位披露的其他环境信息</w:t>
      </w:r>
    </w:p>
    <w:p w14:paraId="595FD70F">
      <w:pPr>
        <w:pStyle w:val="1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p w14:paraId="08834D0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在报告期内为减少其碳排放所采取的措施及效果</w:t>
      </w:r>
    </w:p>
    <w:p w14:paraId="510AEDB6">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26A503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未披露其他环境信息的原因</w:t>
      </w:r>
    </w:p>
    <w:p w14:paraId="670C8A9A">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不适用。</w:t>
      </w:r>
    </w:p>
    <w:p w14:paraId="20EB1D24">
      <w:pPr>
        <w:pStyle w:val="2"/>
        <w:spacing w:before="300" w:after="300" w:line="320" w:lineRule="exact"/>
        <w:rPr>
          <w:rFonts w:ascii="Times New Roman" w:hAnsi="Times New Roman" w:cs="Times New Roman" w:eastAsiaTheme="majorEastAsia"/>
          <w:b/>
          <w:bCs/>
          <w:sz w:val="24"/>
          <w:szCs w:val="24"/>
        </w:rPr>
      </w:pPr>
      <w:bookmarkStart w:id="95" w:name="_Toc988984"/>
      <w:r>
        <w:rPr>
          <w:rFonts w:ascii="Times New Roman" w:hAnsi="Times New Roman" w:cs="Times New Roman" w:eastAsiaTheme="majorEastAsia"/>
          <w:b/>
          <w:bCs/>
          <w:sz w:val="24"/>
          <w:szCs w:val="24"/>
        </w:rPr>
        <w:t>二、社会责任情况</w:t>
      </w:r>
      <w:bookmarkEnd w:id="95"/>
    </w:p>
    <w:p w14:paraId="3EA2618D">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报告期内，公司认真遵守国家有关法律、法规及相关政策的要求，秉承</w:t>
      </w:r>
      <w:r>
        <w:rPr>
          <w:rFonts w:cs="Times New Roman" w:asciiTheme="minorEastAsia" w:hAnsiTheme="minorEastAsia" w:eastAsiaTheme="minorEastAsia"/>
          <w:color w:val="000000"/>
          <w:sz w:val="21"/>
          <w:szCs w:val="21"/>
        </w:rPr>
        <w:t>“技术缔造价值，服务成就未来”的经营理</w:t>
      </w:r>
      <w:r>
        <w:rPr>
          <w:rFonts w:ascii="Times New Roman" w:hAnsi="Times New Roman" w:cs="Times New Roman" w:eastAsiaTheme="majorEastAsia"/>
          <w:color w:val="000000"/>
          <w:sz w:val="21"/>
          <w:szCs w:val="21"/>
        </w:rPr>
        <w:t>念，专注智慧城市领域的业务发展，诚信经营，依法纳税，为股东创造价值，对员工、客户与供应商、社会等利益相关者承担责任。</w:t>
      </w:r>
    </w:p>
    <w:p w14:paraId="083A06DC">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（一）股东权益保护</w:t>
      </w:r>
    </w:p>
    <w:p w14:paraId="72FCD9DD">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公司遵照《公司法》《证券法》等法律法规、部门规章、规范性文件和《公司章程》的规定，依法召开股东大会，确保股东对公司重大事项的知情权、参与权和表决权，真实、准确、完整、及时、公平地向所有 股东披露信息，在经营决策中积极构建与股东的良好关系。</w:t>
      </w:r>
    </w:p>
    <w:p w14:paraId="7622C5EF">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（二）职工权益保护</w:t>
      </w:r>
    </w:p>
    <w:p w14:paraId="5C273581">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遵照《劳动法》《劳动合同法》等法律法规的要求，建立了完善的人力资源管理制度。在劳动安全、卫生制度、社会保障等方面严格执行国家规定和标准，保障职工合法权益，为职工提供健康、安全的工作环境和全面的福利待遇，包括不限于基本养老保险、基本医疗保险、工伤保险、生育保险、失业保险和住房公积金，法定公休假、婚假、产假、丧假等带薪假期。公司按照有关规定建立工会组织，支持工会依法开展工作，保障员工依法行使民主管理的权利。 公司重视人才培养，为员工提供行业知识、岗位能力、办公技能等丰富的课程和培训计划，为员工发展才能、提升自我提供条件，实现与公司共同成长。</w:t>
      </w:r>
    </w:p>
    <w:p w14:paraId="24349B4E">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（三）客户权益保护</w:t>
      </w:r>
    </w:p>
    <w:p w14:paraId="02414043">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公司坚持“技术+服务”的经营理念，致力于为客户提供专业、全面、高效的服务。通过建立专业化的 项目实施和技术服务团队，打造全面的服务能力，建立标准化的服务体系，实现持续完善服务质量，提升客 户满意度，从而与客户建立长期、稳定的合作关系。</w:t>
      </w:r>
    </w:p>
    <w:p w14:paraId="48E62F02">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（四）供应商权益保护</w:t>
      </w:r>
    </w:p>
    <w:p w14:paraId="4470971E">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公司先后制定了《采购管理制度》《供应商管理流程》《合同评审管理制度》《工程项目采购管理制度》 等若干制度文件，依据市场化的定价原则和询价程序，采购相关劳务、服务的同时保证采购的公平性、公允性。</w:t>
      </w:r>
    </w:p>
    <w:p w14:paraId="5F341F74">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（五）社会公益</w:t>
      </w:r>
    </w:p>
    <w:p w14:paraId="16A6439E">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公司积极承担社会责任，参与社会公益事业。报告期内，公司通过汕头市慈善总会、汕头市澄海慈善总会捐赠212.50万元。</w:t>
      </w:r>
    </w:p>
    <w:p w14:paraId="08AE2ED5">
      <w:pPr>
        <w:pStyle w:val="2"/>
        <w:spacing w:before="300" w:after="300" w:line="320" w:lineRule="exact"/>
        <w:rPr>
          <w:rFonts w:ascii="Times New Roman" w:hAnsi="Times New Roman" w:cs="Times New Roman" w:eastAsiaTheme="majorEastAsia"/>
          <w:b/>
          <w:bCs/>
          <w:sz w:val="24"/>
          <w:szCs w:val="24"/>
        </w:rPr>
      </w:pPr>
      <w:bookmarkStart w:id="96" w:name="_Toc988985"/>
      <w:r>
        <w:rPr>
          <w:rFonts w:ascii="Times New Roman" w:hAnsi="Times New Roman" w:cs="Times New Roman" w:eastAsiaTheme="majorEastAsia"/>
          <w:b/>
          <w:bCs/>
          <w:sz w:val="24"/>
          <w:szCs w:val="24"/>
        </w:rPr>
        <w:t>三、巩固拓展脱贫攻坚成果、乡村振兴的情况</w:t>
      </w:r>
      <w:bookmarkEnd w:id="96"/>
    </w:p>
    <w:p w14:paraId="354DF23E">
      <w:pPr>
        <w:pStyle w:val="10"/>
        <w:spacing w:before="0" w:beforeAutospacing="0" w:after="0" w:afterAutospacing="0" w:line="240" w:lineRule="atLeast"/>
        <w:ind w:firstLine="360"/>
        <w:rPr>
          <w:rFonts w:ascii="Times New Roman" w:hAnsi="Times New Roman" w:cs="Times New Roman" w:eastAsiaTheme="majorEastAsia"/>
        </w:rPr>
      </w:pPr>
      <w:r>
        <w:rPr>
          <w:rFonts w:ascii="Times New Roman" w:hAnsi="Times New Roman" w:cs="Times New Roman" w:eastAsiaTheme="majorEastAsia"/>
          <w:color w:val="000000"/>
          <w:sz w:val="21"/>
          <w:szCs w:val="21"/>
        </w:rPr>
        <w:t>报告期内，公司未开展巩固拓展脱贫攻坚成果、乡村振兴相关工作。</w:t>
      </w:r>
    </w:p>
    <w:p w14:paraId="7C7866EF">
      <w:pPr>
        <w:rPr>
          <w:rFonts w:ascii="Times New Roman" w:hAnsi="Times New Roman" w:cs="Times New Roman" w:eastAsiaTheme="majorEastAsia"/>
        </w:rPr>
      </w:pPr>
      <w:r>
        <w:rPr>
          <w:rFonts w:ascii="Times New Roman" w:hAnsi="Times New Roman" w:cs="Times New Roman" w:eastAsiaTheme="majorEastAsia"/>
        </w:rPr>
        <w:br w:type="page"/>
      </w:r>
    </w:p>
    <w:p w14:paraId="3463C6EC">
      <w:pPr>
        <w:pStyle w:val="18"/>
        <w:spacing w:before="340" w:after="330" w:line="773" w:lineRule="exact"/>
        <w:jc w:val="center"/>
        <w:rPr>
          <w:rFonts w:ascii="Times New Roman" w:hAnsi="Times New Roman" w:cs="Times New Roman" w:eastAsiaTheme="majorEastAsia"/>
          <w:b/>
          <w:bCs/>
          <w:sz w:val="32"/>
          <w:szCs w:val="32"/>
        </w:rPr>
      </w:pPr>
      <w:bookmarkStart w:id="97" w:name="_Toc988986"/>
      <w:r>
        <w:rPr>
          <w:rFonts w:ascii="Times New Roman" w:hAnsi="Times New Roman" w:cs="Times New Roman" w:eastAsiaTheme="majorEastAsia"/>
          <w:b/>
          <w:bCs/>
          <w:sz w:val="32"/>
          <w:szCs w:val="32"/>
        </w:rPr>
        <w:t>第六节 重要事项</w:t>
      </w:r>
      <w:bookmarkEnd w:id="97"/>
    </w:p>
    <w:p w14:paraId="4274E5B9">
      <w:pPr>
        <w:pStyle w:val="2"/>
        <w:spacing w:before="300" w:after="300" w:line="320" w:lineRule="exact"/>
        <w:rPr>
          <w:rFonts w:ascii="Times New Roman" w:hAnsi="Times New Roman" w:cs="Times New Roman" w:eastAsiaTheme="majorEastAsia"/>
          <w:b/>
          <w:bCs/>
          <w:sz w:val="24"/>
          <w:szCs w:val="24"/>
        </w:rPr>
      </w:pPr>
      <w:bookmarkStart w:id="98" w:name="_Toc988987"/>
      <w:r>
        <w:rPr>
          <w:rFonts w:ascii="Times New Roman" w:hAnsi="Times New Roman" w:cs="Times New Roman" w:eastAsiaTheme="majorEastAsia"/>
          <w:b/>
          <w:bCs/>
          <w:sz w:val="24"/>
          <w:szCs w:val="24"/>
        </w:rPr>
        <w:t>一、承诺事项履行情况</w:t>
      </w:r>
      <w:bookmarkEnd w:id="98"/>
    </w:p>
    <w:p w14:paraId="6B42F778">
      <w:pPr>
        <w:pStyle w:val="3"/>
        <w:spacing w:line="280" w:lineRule="exact"/>
        <w:jc w:val="left"/>
        <w:rPr>
          <w:rFonts w:ascii="Times New Roman" w:hAnsi="Times New Roman" w:cs="Times New Roman" w:eastAsiaTheme="majorEastAsia"/>
          <w:b/>
          <w:bCs/>
        </w:rPr>
      </w:pPr>
      <w:bookmarkStart w:id="99" w:name="_Toc988988"/>
      <w:r>
        <w:rPr>
          <w:rFonts w:ascii="Times New Roman" w:hAnsi="Times New Roman" w:cs="Times New Roman" w:eastAsiaTheme="majorEastAsia"/>
          <w:b/>
          <w:bCs/>
        </w:rPr>
        <w:t>1、公司实际控制人、股东、关联方、收购人以及公司等承诺相关方在报告期内履行完毕及截至报告期末尚未履行完毕的承诺事项</w:t>
      </w:r>
      <w:bookmarkEnd w:id="99"/>
    </w:p>
    <w:p w14:paraId="392B41C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94"/>
        <w:gridCol w:w="1711"/>
        <w:gridCol w:w="912"/>
        <w:gridCol w:w="4029"/>
        <w:gridCol w:w="683"/>
        <w:gridCol w:w="677"/>
        <w:gridCol w:w="647"/>
      </w:tblGrid>
      <w:tr w14:paraId="7E7DFC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BDA725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承诺事由</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6698C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承诺方</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28800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承诺类型</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F4E4AD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承诺内容</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F5D3F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承诺时间</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4BD63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承诺期限</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E369E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履行情况</w:t>
            </w:r>
          </w:p>
        </w:tc>
      </w:tr>
      <w:tr w14:paraId="4BF027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C86E2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31FDBB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0D6BA8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股份限售承诺</w:t>
            </w:r>
          </w:p>
        </w:tc>
        <w:tc>
          <w:tcPr>
            <w:tcW w:w="0" w:type="auto"/>
            <w:tcBorders>
              <w:top w:val="single" w:color="auto" w:sz="2" w:space="0"/>
              <w:left w:val="single" w:color="auto" w:sz="2" w:space="0"/>
              <w:bottom w:val="single" w:color="auto" w:sz="2" w:space="0"/>
              <w:right w:val="single" w:color="auto" w:sz="2" w:space="0"/>
            </w:tcBorders>
            <w:vAlign w:val="center"/>
          </w:tcPr>
          <w:p w14:paraId="631B66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自发行人的股票在证券交易所上市之日起36个月内（“锁定期”），不转让或者委托他人管理本人直接或间接持有的发行人公开发行股票前已发行的股份，也不由发行人回购本人直接或间接持有的发行人公开发行股票前已发行的股份。</w:t>
            </w:r>
          </w:p>
          <w:p w14:paraId="21A026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上述锁定期满后，本人在担任发行人董事、监事或者高级管理人员期间每年转让的发行人股份不超过本人所持有发行人股份总数的25%，且在本人离职后半年内不转让持有的发行人股份。本人在任期届满前离职的，在本人就任时确定的任期内和任期届满后6个月内，仍应遵守前述规定。</w:t>
            </w:r>
          </w:p>
          <w:p w14:paraId="7BECED9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551BF4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若本人违反股份锁定承诺而获得股份转让收益的，转让收益无偿划归发行人所有；在转让收益全部缴付发行人前，如发行人进行现金分红的，可直接从本人应得现金分红中扣除尚未缴付的收益金额；转让收益全部缴付发行人前，不得转让直接或间接持有的发行人股份。</w:t>
            </w:r>
          </w:p>
          <w:p w14:paraId="562E0E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 上述承诺一经作出即对本人具有法律拘束力；本人不因在公司职务变更、离职等原因，而放弃履行承诺。</w:t>
            </w:r>
          </w:p>
        </w:tc>
        <w:tc>
          <w:tcPr>
            <w:tcW w:w="0" w:type="auto"/>
            <w:tcBorders>
              <w:top w:val="single" w:color="auto" w:sz="2" w:space="0"/>
              <w:left w:val="single" w:color="auto" w:sz="2" w:space="0"/>
              <w:bottom w:val="single" w:color="auto" w:sz="2" w:space="0"/>
              <w:right w:val="single" w:color="auto" w:sz="2" w:space="0"/>
            </w:tcBorders>
            <w:vAlign w:val="center"/>
          </w:tcPr>
          <w:p w14:paraId="78BD82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2E9E53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2025-05-11</w:t>
            </w:r>
          </w:p>
        </w:tc>
        <w:tc>
          <w:tcPr>
            <w:tcW w:w="0" w:type="auto"/>
            <w:tcBorders>
              <w:top w:val="single" w:color="auto" w:sz="2" w:space="0"/>
              <w:left w:val="single" w:color="auto" w:sz="2" w:space="0"/>
              <w:bottom w:val="single" w:color="auto" w:sz="2" w:space="0"/>
              <w:right w:val="single" w:color="auto" w:sz="2" w:space="0"/>
            </w:tcBorders>
            <w:vAlign w:val="center"/>
          </w:tcPr>
          <w:p w14:paraId="481D55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6588B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ACE71E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165F3A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w:t>
            </w:r>
          </w:p>
        </w:tc>
        <w:tc>
          <w:tcPr>
            <w:tcW w:w="0" w:type="auto"/>
            <w:tcBorders>
              <w:top w:val="single" w:color="auto" w:sz="2" w:space="0"/>
              <w:left w:val="single" w:color="auto" w:sz="2" w:space="0"/>
              <w:bottom w:val="single" w:color="auto" w:sz="2" w:space="0"/>
              <w:right w:val="single" w:color="auto" w:sz="2" w:space="0"/>
            </w:tcBorders>
            <w:vAlign w:val="center"/>
          </w:tcPr>
          <w:p w14:paraId="338D44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分红承诺</w:t>
            </w:r>
          </w:p>
        </w:tc>
        <w:tc>
          <w:tcPr>
            <w:tcW w:w="0" w:type="auto"/>
            <w:tcBorders>
              <w:top w:val="single" w:color="auto" w:sz="2" w:space="0"/>
              <w:left w:val="single" w:color="auto" w:sz="2" w:space="0"/>
              <w:bottom w:val="single" w:color="auto" w:sz="2" w:space="0"/>
              <w:right w:val="single" w:color="auto" w:sz="2" w:space="0"/>
            </w:tcBorders>
            <w:vAlign w:val="center"/>
          </w:tcPr>
          <w:p w14:paraId="55DE88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关于利润分配政策的承诺函</w:t>
            </w:r>
          </w:p>
          <w:p w14:paraId="116A48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广东天亿马信息产业股份有限公司司（以下简称“本公司”）拟申请首次公开发行股票并上市，现承诺如下：</w:t>
            </w:r>
          </w:p>
          <w:p w14:paraId="4B15434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在符合现金分红的条件且本公司未来十二个月内无重大投资计划或重大资金支出发生的情况下，本公司及合并报表范围内的子公司每年累计分红比例将不低于本公司合并报表当年实现的归属于母公司可分配净利润的10%。本公司每年将根据公司财务状况统筹制定分红方案，从而确保本公司分红政策切实实施。</w:t>
            </w:r>
          </w:p>
          <w:p w14:paraId="01EEE00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公司将积极履行利润分配政策，若违反前述承诺，将及时公告违反的事实及理由，除因不可抗力或其他非归属于本公司的原因外，将向本公司股东和社会公众投资者道歉，同时向投资者提出补充承诺或替代承诺，以尽可能保护投资者的利益，并在本公司股东大会审议通过后实施补充承诺或替代承诺。</w:t>
            </w:r>
          </w:p>
          <w:p w14:paraId="768B4E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2EA649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4B65340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6A527D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4F54B9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CAD0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1CAA8C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5B379B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关于同业竞争、关联交易、资金占用方面的承诺</w:t>
            </w:r>
          </w:p>
        </w:tc>
        <w:tc>
          <w:tcPr>
            <w:tcW w:w="0" w:type="auto"/>
            <w:tcBorders>
              <w:top w:val="single" w:color="auto" w:sz="2" w:space="0"/>
              <w:left w:val="single" w:color="auto" w:sz="2" w:space="0"/>
              <w:bottom w:val="single" w:color="auto" w:sz="2" w:space="0"/>
              <w:right w:val="single" w:color="auto" w:sz="2" w:space="0"/>
            </w:tcBorders>
            <w:vAlign w:val="center"/>
          </w:tcPr>
          <w:p w14:paraId="654187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《广东天亿马信息产业股份有限公司控股股东、实际控制人关于规范和减少关联交易的确认与承诺》</w:t>
            </w:r>
          </w:p>
          <w:p w14:paraId="7C8B49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作为广东天亿马信息产业股份有限公司（以下简称“公司”）的控股股东、实际控制人，现就规范和减少关联交易事项向公司作出如下确认与承诺：</w:t>
            </w:r>
          </w:p>
          <w:p w14:paraId="47C54E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人将严格遵守相关法律法规及内部规章制度，不以任何方式占用或使用公司的资产和资源，不以任何方式从事损害或可能损害公司及其他股东利益的行为。如出现违反上述承诺与保证，而导致公司或其股东的权益受到损害，将依法承担相应的赔偿责任。</w:t>
            </w:r>
          </w:p>
          <w:p w14:paraId="086E86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在作为控股股东、实际控制人期间，本人将尽量避免与公司发生关联交易；如与公司发生不可避免的关联交易，本人将严格按照有关法律、法规、规范性文件及公司章程的规定规范关联交易行为，遵循等价、有偿、公平交易的原则，并按有关规定履行信息披露义务和办理有关报批程序，保证关联交易的公允性，保证不通过关联交易损害公司及其股东的合法权益。</w:t>
            </w:r>
          </w:p>
          <w:p w14:paraId="188950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3、本人有关关联交易的承诺将同样适用于本人控制的其他企业，本人将在合法权限内促成控制的企业履行上述有关关联交易承诺。</w:t>
            </w:r>
          </w:p>
          <w:p w14:paraId="5CCA9F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本人违反上述承诺，在采取措施规范或减少关联交易前，公司进行现金分红的，有权暂扣归属于本人的现金分红，直至本人履行承诺并实施完毕；在履行相应承诺、采取补救措施并实施完毕之前，不得转让本人直接或间接持有的公司股份。</w:t>
            </w:r>
          </w:p>
          <w:p w14:paraId="16ABACC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2A640B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568506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09C22D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5D3C22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13E0F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78B8A8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本公司、实际控制人及董监高人员</w:t>
            </w:r>
          </w:p>
        </w:tc>
        <w:tc>
          <w:tcPr>
            <w:tcW w:w="0" w:type="auto"/>
            <w:tcBorders>
              <w:top w:val="single" w:color="auto" w:sz="2" w:space="0"/>
              <w:left w:val="single" w:color="auto" w:sz="2" w:space="0"/>
              <w:bottom w:val="single" w:color="auto" w:sz="2" w:space="0"/>
              <w:right w:val="single" w:color="auto" w:sz="2" w:space="0"/>
            </w:tcBorders>
            <w:vAlign w:val="center"/>
          </w:tcPr>
          <w:p w14:paraId="41898D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稳定股价承诺</w:t>
            </w:r>
          </w:p>
        </w:tc>
        <w:tc>
          <w:tcPr>
            <w:tcW w:w="0" w:type="auto"/>
            <w:tcBorders>
              <w:top w:val="single" w:color="auto" w:sz="2" w:space="0"/>
              <w:left w:val="single" w:color="auto" w:sz="2" w:space="0"/>
              <w:bottom w:val="single" w:color="auto" w:sz="2" w:space="0"/>
              <w:right w:val="single" w:color="auto" w:sz="2" w:space="0"/>
            </w:tcBorders>
            <w:vAlign w:val="center"/>
          </w:tcPr>
          <w:p w14:paraId="7F531C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中国证监会《关于进一步推进新股发行体制改革的意见》的相关规定，为保护投资者利益，增强投资者信心，保证公司持续、稳定发展，就广东天亿马信息产业股份有限公司（以下简称“公司”）首次公开发行股票并上市后三年内稳定公司股价事宜，公司及公司的控股股东、实际控制人、董事（独立董事及不在公司领取薪酬的董事除外，下同）、高级管理人员郑重承诺如下：</w:t>
            </w:r>
          </w:p>
          <w:p w14:paraId="394273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一、启动股价稳定预案的具体条件</w:t>
            </w:r>
          </w:p>
          <w:p w14:paraId="489AF1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（一）启动条件</w:t>
            </w:r>
          </w:p>
          <w:p w14:paraId="00C07F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自公司首次公开发行股票并在证券交易所上市之日起36个月内，当出现公司股票连续20个交易日的收盘价均低于每股净资产（以上一年度经审计的合并资产负债表中归属于母公司的所有者权益为准，若审计基准日后，因利润分配、资本公积金转增股本、增发、配股等导致公司净资产或股份总数发生变化的，每股净资产将进行相应调整，下同）的情形时，公司董事会应当在十个交易日内制定或要求公司、控股股东、实际控制人以及董事、高级管理人员提出稳定股价的具体方案（方案内容应包括但不限于拟回购或增持公司股份的种类、数量区间、价格区间、实施期限等内容），并在履行相关内部决策程序和外部审批/备案程序（如需）后实施，且按上市公司信息披露要求予以公告。</w:t>
            </w:r>
          </w:p>
          <w:p w14:paraId="5CDB9FE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（二）停止条件</w:t>
            </w:r>
          </w:p>
          <w:p w14:paraId="6FBD9B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1、在上述第（一）项启动条件规定的稳定股价具体方案尚未正式实施前，如公司股票连续五个交易日收盘价均高于每股净资产时，将停止实施股价稳定措施。</w:t>
            </w:r>
          </w:p>
          <w:p w14:paraId="471AFE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2、在上述第（一）项启动条件规定的稳定股价具体方案的实施期间内，如公司股票连续五个交易日收盘价均高于每股净资产时，将停止实施股价稳定措施。</w:t>
            </w:r>
          </w:p>
          <w:p w14:paraId="3B61E0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3、继续回购或增持公司股份将导致公司股权分布不符合上市条件。</w:t>
            </w:r>
          </w:p>
          <w:p w14:paraId="494D28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二、稳定股价具体措施的实施顺序及方式</w:t>
            </w:r>
          </w:p>
          <w:p w14:paraId="5581AC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当上述启动股价稳定措施的条件成就时，公司、控股股东、实际控制人、公司董事和高级管理人员将及时采取以下一项或多项措施稳定公司股价：1、公司回购股份；2、控股股东、实际控制人增持股份；3、董事、高级管理人员增持股份；4、其他证券监管部门认可的方式。</w:t>
            </w:r>
          </w:p>
          <w:p w14:paraId="146256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（一）第一顺序为公司回购股票</w:t>
            </w:r>
          </w:p>
          <w:p w14:paraId="78EDDF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公司为稳定股价之目的回购股份，应符合《上市公司回购社会公众股份管理办法（试行）》《关于上市公司以集中竞价交易方式回购股份的补充规定》及《关于支持上市公司回购股份的意见》等相关法律、法规的规定。</w:t>
            </w:r>
          </w:p>
          <w:p w14:paraId="4F68BB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2、公司董事承诺，在公司就回购股份事宜召开的董事会上，对公司承诺的回购股份方案的相关决议投赞成票。</w:t>
            </w:r>
          </w:p>
          <w:p w14:paraId="208BE7F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公司股东大会对回购股份做出决议，须经出席会议的股东所持表决权的三分之二以上通过。公司控股股东、实际控制人承诺，在公司就回购股份事宜召开的股东大会上，对公司承诺的回购股份方案的相关决议投赞成票。</w:t>
            </w:r>
          </w:p>
          <w:p w14:paraId="4BC08E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在股东大会审议通过股份回购方案后，公司应依法通知债权人，向证券监督管理部门、证券交易所等主管部门报送相关材料，办理审批或备案手续。在完成必需的审批、备案、信息披露等程序后，公司方可实施相应的股份回购方案。</w:t>
            </w:r>
          </w:p>
          <w:p w14:paraId="17D774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5、公司为稳定股价之目的进行股份回购的，除应符合相关法律法规之要求外，还应符合下列各项：</w:t>
            </w:r>
          </w:p>
          <w:p w14:paraId="39D741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（1）公司用于回购股份的资金总额累计不超过公司首次公开发行人民币普通股（A股）所募集资金的总额；</w:t>
            </w:r>
          </w:p>
          <w:p w14:paraId="7D237B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（2）公司单次用于回购股份的资金不低于1,000万元人民币；</w:t>
            </w:r>
          </w:p>
          <w:p w14:paraId="7B7D0023">
            <w:pPr>
              <w:spacing w:line="240" w:lineRule="exact"/>
              <w:rPr>
                <w:rFonts w:ascii="Times New Roman" w:hAnsi="Times New Roman" w:cs="Times New Roman" w:eastAsiaTheme="majorEastAsia"/>
                <w:sz w:val="18"/>
                <w:szCs w:val="18"/>
              </w:rPr>
            </w:pPr>
          </w:p>
          <w:p w14:paraId="7C2F30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（3）公司单次回购股份数额不超过总股本的2%；如上述第（2）项与本项冲突的，按照本项执行。</w:t>
            </w:r>
          </w:p>
          <w:p w14:paraId="187431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6、自稳定股价方案公告之日起三个月内，公司将通过交易所集中竞价交易方式、要约方式或证券监督管理部门认可的其他方式回购公司股票。</w:t>
            </w:r>
          </w:p>
          <w:p w14:paraId="5676CF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7、公司董事会公告回购股份预案后，公司股票若连续五个交易日收盘价超过每股净资产时，公司董事会可以作出决议终止回购股份事宜。</w:t>
            </w:r>
          </w:p>
          <w:p w14:paraId="601AAF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（二）第二顺序为控股股东、实际控制人增持股票</w:t>
            </w:r>
          </w:p>
          <w:p w14:paraId="16A08A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在公司无法实施回购股票，或公司回购股票议案未获得董事会或股东大会审议通过，或公司回购股票实施完毕后再次触发稳定股价预案启动条件时，公司控股股东、实际控制人应在符合《上市公司收购管理办法》等法律法规的条件和要求的前提下，通过交易所集中竞价交易、大宗交易及其他合法方式增持公司股票。</w:t>
            </w:r>
          </w:p>
          <w:p w14:paraId="38A204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2、控股股东、实际控制人自股价稳定方案公告之日起三个月内以自有资金在二级市场增持公司股份。</w:t>
            </w:r>
          </w:p>
          <w:p w14:paraId="3D48EC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3、控股股东、实际控制人为稳定股价之目的进行股份增持的，控股股东、实际控制人承诺单次及/或连续十二个月增持公司股份数额不超过公司总股本的2%。</w:t>
            </w:r>
          </w:p>
          <w:p w14:paraId="33B9BF22">
            <w:pPr>
              <w:spacing w:line="240" w:lineRule="exact"/>
              <w:rPr>
                <w:rFonts w:ascii="Times New Roman" w:hAnsi="Times New Roman" w:cs="Times New Roman" w:eastAsiaTheme="majorEastAsia"/>
                <w:sz w:val="18"/>
                <w:szCs w:val="18"/>
              </w:rPr>
            </w:pPr>
          </w:p>
          <w:p w14:paraId="453020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（三）第三顺序为董事、高级管理人员增持股票</w:t>
            </w:r>
          </w:p>
          <w:p w14:paraId="492A1A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控股股东、实际控制人未及时提出或实施增持公司股票方案，或控股股东、实际控制人增持公司股票实施完毕后再次触发稳定股价预案启动条件时，在公司任职并领取薪酬的公司董事、高级管理人员应在符合《上市公司收购管理办法》及《上市公司董事、监事和高级管理人员所持本公司股份及其变动管理规则》等法律法规的条件和要求的前提下，通过交易所集中竞价交易、大宗交易及其他合法方式增持公司股票。</w:t>
            </w:r>
          </w:p>
          <w:p w14:paraId="64ED93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2、公司董事、高级管理人员自股价稳定方案公告之日起三个月内以自有资金在二级市场增持公司股份。</w:t>
            </w:r>
          </w:p>
          <w:p w14:paraId="343B4A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3、公司董事、高级管理人员用于增持公司股票的资金不少于该等董事、高级管理人员最近一个会计年度自公司领取的薪酬（税后）的20%，但不超过最近一个会计年度从公司领取的薪酬（税后）的50%。</w:t>
            </w:r>
          </w:p>
          <w:p w14:paraId="4BA81E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4、公司上市后三年内新聘任的在公司领取薪酬的董事和高级管理人员将要求其签署承诺书，保证其履行公司本次发行上市时董事、高级管理人员已做出本承诺的义务与责任。</w:t>
            </w:r>
          </w:p>
          <w:p w14:paraId="60D34C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三、未履行公司稳定股价措施的约束措施</w:t>
            </w:r>
          </w:p>
          <w:p w14:paraId="644529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在启动股价稳定措施的条件满足时，如公司、控股股东、实际控制人、董事、高级管理人员未采取上述稳定股价的具体措施，公司、控股股东、实际控制人、董事、高级管理人员承诺接受以下约束措施：</w:t>
            </w:r>
          </w:p>
          <w:p w14:paraId="6A7282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（一）公司、控股股东、实际控制人、董事、高级管理人员及时通过公司公告未能履行承诺的原因并向投资者作出公开道歉。</w:t>
            </w:r>
          </w:p>
          <w:p w14:paraId="3E2612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如果公司未采取上述稳定股价的具体措施的，将在前述事项发生之日起十个交易日内，暂停发放公司董事、监事和高级管理人员的薪酬、津贴，直至公司履行相关承诺；停止制定或实施重大资产购买与出售、增发股份、发行公司债券等资本运作事项，直至其按本承诺的规定采取相应的稳定股价措施并实施完毕。</w:t>
            </w:r>
          </w:p>
          <w:p w14:paraId="107D00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如果控股股东、实际控制人未采取上述稳定股价的具体措施的，将在前述事项发生之日起十个交易日内，公司停止发放未履行承诺的控股股东、实际控制人的现金分红，且控股股东、实际控制人持有的公司股份不得转让，直至其按本承诺的规定采取相应的稳定股价措施并实施完毕。</w:t>
            </w:r>
          </w:p>
          <w:p w14:paraId="66F3A5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如果董事、高级管理人员未采取上述稳定股价的具体措施的，将在前述事项发生之日起十个交易日内，公司逐月扣减未履行承诺的董事、高级管理人员最近一个会计年度自公司领取的薪酬（税后）的20%，同时该等董事、高级管理人员持有的公司股份不得转让，直至该等董事、高级管理人员按本承诺的规定采取相应的股价稳定措施并实施完毕。</w:t>
            </w:r>
          </w:p>
          <w:p w14:paraId="0D35BE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上述承诺自公司股东大会审议通过，且公司完成首次公开发行人民币普通股（A股）并在证券交易所上市之日起生效，有效期三年。</w:t>
            </w:r>
          </w:p>
        </w:tc>
        <w:tc>
          <w:tcPr>
            <w:tcW w:w="0" w:type="auto"/>
            <w:tcBorders>
              <w:top w:val="single" w:color="auto" w:sz="2" w:space="0"/>
              <w:left w:val="single" w:color="auto" w:sz="2" w:space="0"/>
              <w:bottom w:val="single" w:color="auto" w:sz="2" w:space="0"/>
              <w:right w:val="single" w:color="auto" w:sz="2" w:space="0"/>
            </w:tcBorders>
            <w:vAlign w:val="center"/>
          </w:tcPr>
          <w:p w14:paraId="25A70F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147F900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2024-11-11</w:t>
            </w:r>
          </w:p>
        </w:tc>
        <w:tc>
          <w:tcPr>
            <w:tcW w:w="0" w:type="auto"/>
            <w:tcBorders>
              <w:top w:val="single" w:color="auto" w:sz="2" w:space="0"/>
              <w:left w:val="single" w:color="auto" w:sz="2" w:space="0"/>
              <w:bottom w:val="single" w:color="auto" w:sz="2" w:space="0"/>
              <w:right w:val="single" w:color="auto" w:sz="2" w:space="0"/>
            </w:tcBorders>
            <w:vAlign w:val="center"/>
          </w:tcPr>
          <w:p w14:paraId="5C8FB2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履行完毕。</w:t>
            </w:r>
          </w:p>
        </w:tc>
      </w:tr>
      <w:tr w14:paraId="5B07AB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5471C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1D7B61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w:t>
            </w:r>
          </w:p>
        </w:tc>
        <w:tc>
          <w:tcPr>
            <w:tcW w:w="0" w:type="auto"/>
            <w:tcBorders>
              <w:top w:val="single" w:color="auto" w:sz="2" w:space="0"/>
              <w:left w:val="single" w:color="auto" w:sz="2" w:space="0"/>
              <w:bottom w:val="single" w:color="auto" w:sz="2" w:space="0"/>
              <w:right w:val="single" w:color="auto" w:sz="2" w:space="0"/>
            </w:tcBorders>
            <w:vAlign w:val="center"/>
          </w:tcPr>
          <w:p w14:paraId="4D7953F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6D7485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《关于填补被摊薄即期回报的承诺》</w:t>
            </w:r>
          </w:p>
          <w:p w14:paraId="530F51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公司”）完成首次公开发行股票后，随着募集资金的到位，公司的股本及净资产规模将有较大幅度增加。虽然公司的募集资金项目将用于主营业务发展并进行严格论证，但鉴于募集资金投资项目建设及产生效益需要一定周期，在公司股本和净资产均增加的情况下，在短期内，公司的每股收益和加权平均净资产收益率等指标将出现一定幅度的下降。</w:t>
            </w:r>
          </w:p>
          <w:p w14:paraId="5BDC97F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针对上述情况，公司拟采取的填补被摊薄即期回报的若干措施及承诺如下：</w:t>
            </w:r>
          </w:p>
          <w:p w14:paraId="7A4F83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1、加强募集资金监管，保证募集资金合法合理使用</w:t>
            </w:r>
          </w:p>
          <w:p w14:paraId="57AD98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为规范募集资金的管理和使用，确保本次发行募集资金专项用于募投项目，公司已根据《公司法》《证券法》等法律法规的规定要求，结合公司实际情况，制定了《募集资金使用管理办法》，明确规定公司对募集资金采取专项存储制度，以便于募集资金的管理和使用以及对其使用权进行监管，保证专款专用。本次发行募集资金到位后，公司将加强募集资金安全管理，对募集资金进行专项存储，积极配合监管银行和保荐机构对募集资金使用的检查和监管，以保证募集资金合理、规范、有效地使用，防范募集资金使用风险。</w:t>
            </w:r>
          </w:p>
          <w:p w14:paraId="5E0CC25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2、加快募投项目实施进度，早日实现项目预期效益</w:t>
            </w:r>
          </w:p>
          <w:p w14:paraId="3A81247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募集资金项目围绕公司主营业务开展，主要用于智慧城市综合解决方案升级项目、大数据应用技术中心建设项目、营销服务体系升级建设项目及补充流动资金，有利于扩大公司经营规模、产品优化升级，进一步提升研发能力与产品设计开发能力，增强整体盈利能力。公司将根据自身情况，合理加快募集资金投资项目的投资和建设进度，争取尽早实现项目的预期效益，提升公司的盈利能力。</w:t>
            </w:r>
          </w:p>
          <w:p w14:paraId="5A912F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3、加强技术创新，增强公司可持续盈利能力</w:t>
            </w:r>
          </w:p>
          <w:p w14:paraId="6B0238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将通过实施智慧城市综合解决方案升级项目、大数据应用技术中心建设项目、营销服务体系升级建设项目及补充流动资金，加强技术创新，引进优秀人才和先进的软硬件设备，进一步提升研发能力与产品设计开发能力，为实现产品的结构调整和技术升级提供有力保障，增强公司持续盈利能力，确保公司能够持续产生良好效益并实现股东回报。</w:t>
            </w:r>
          </w:p>
          <w:p w14:paraId="40CE3D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4、控制成本费用支出，提升盈利能力</w:t>
            </w:r>
          </w:p>
          <w:p w14:paraId="7E4942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公司积极加强成本管理，严控成本费用，提升公司利润率水平。根据公司整体经营目标，按各部门分担成本优化任务，明确成本管理的地位和作用，加大成本控制力度，提升公司盈利水平。</w:t>
            </w:r>
          </w:p>
          <w:p w14:paraId="35DE0446">
            <w:pPr>
              <w:spacing w:line="240" w:lineRule="exact"/>
              <w:rPr>
                <w:rFonts w:ascii="Times New Roman" w:hAnsi="Times New Roman" w:cs="Times New Roman" w:eastAsiaTheme="majorEastAsia"/>
                <w:sz w:val="18"/>
                <w:szCs w:val="18"/>
              </w:rPr>
            </w:pPr>
          </w:p>
          <w:p w14:paraId="08352E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5、优化投资回报机制</w:t>
            </w:r>
          </w:p>
          <w:p w14:paraId="40B827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已根据中国证监会有关上市公司分红的规定要求，在充分考虑公司经营发展实际情况及股东回报等各个因素基础上，为明确对公司股东权益分红的回报，进一步细化《公司章程》中关于股利分配原则的条款，增加股利分配决策透明度和可操作性，并制定了《首次公开发行人民币普通股（A股）并上市后三年股东分红回报规划》。未来，公司将严格执行利润分配政策，在符合分配条件的情况下，积极实施对股东的利润分配，优化投资回报机制。</w:t>
            </w:r>
          </w:p>
          <w:p w14:paraId="0D4C5B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6、公司董事会或薪酬委员会制定的薪酬制度与公司填补回报措施的执行情况相挂钩。</w:t>
            </w:r>
          </w:p>
          <w:p w14:paraId="075277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7、若公司进行股权激励，则拟公布的公司股权激励的行权条件与公司填补回报措施的执行情况相挂钩。</w:t>
            </w:r>
          </w:p>
          <w:p w14:paraId="68AED0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若本公司违反或未履行上述承诺，本公司将在股东大会及中国证监会指定报刊公开作出解释并道歉；无条件接受中国证监会、证券交易所、中国上市公司协会等证券监管机构按照其制定或发布的有关规定、规则，对本公司作出的处罚或采取的相关监管措施；若给股东造成损失的，公司依法承担补偿责任。</w:t>
            </w:r>
          </w:p>
          <w:p w14:paraId="50ACB34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677707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15236A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684A7E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68D4A0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89E86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6464F5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562C97F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655793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《广东天亿马信息产业股份有限公司控股股东及实际控制人关于填补被摊薄即期回报的承诺》</w:t>
            </w:r>
          </w:p>
          <w:p w14:paraId="38E55A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本人作为广东天亿马信息产业股份有限公司（以下简称“公司”）的控股股东及实际控制人，为确保公司的填补被摊薄即期回报措施得到切实履行，特承诺如下：</w:t>
            </w:r>
          </w:p>
          <w:p w14:paraId="0B85FE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1、忠实、勤勉地履行职责，维护公司和全体股东的合法权益。</w:t>
            </w:r>
          </w:p>
          <w:p w14:paraId="556BB56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2、不越权干预公司经营管理活动，不侵占公司利益。</w:t>
            </w:r>
          </w:p>
          <w:p w14:paraId="35D62E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本人如违反以上承诺或拒不履行以上承诺，本人将在股东大会及中国证监会指定报刊公开作出解释并道歉；如违反承诺给公司或者股东造成损失的，依法承担补偿责任。</w:t>
            </w:r>
          </w:p>
        </w:tc>
        <w:tc>
          <w:tcPr>
            <w:tcW w:w="0" w:type="auto"/>
            <w:tcBorders>
              <w:top w:val="single" w:color="auto" w:sz="2" w:space="0"/>
              <w:left w:val="single" w:color="auto" w:sz="2" w:space="0"/>
              <w:bottom w:val="single" w:color="auto" w:sz="2" w:space="0"/>
              <w:right w:val="single" w:color="auto" w:sz="2" w:space="0"/>
            </w:tcBorders>
            <w:vAlign w:val="center"/>
          </w:tcPr>
          <w:p w14:paraId="1B9A6E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43607D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670DF0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0CAAF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29CA32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28A4C57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2C7CE9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49AEDE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《持股意向及减持意向的承诺》</w:t>
            </w:r>
          </w:p>
          <w:p w14:paraId="07D642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作为广东天亿马信息产业股份有限公司（以下简称“发行人”或“公司”）的实际控制人，担任发行人副董事长兼总经理，现就公司首次公开发行股票并上市后本人所持公司持股意向及减持意向事宜，作如下承诺：</w:t>
            </w:r>
          </w:p>
          <w:p w14:paraId="4A67F7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1、本人严格按照公司首次公开发行股票招股说明书及本人出具的承诺载明的各项锁定期限要求，并严格遵守相关法律、法规、规范性文件规定及监管要求，在锁定期内不减持持有的公司的股份。</w:t>
            </w:r>
          </w:p>
          <w:p w14:paraId="2FCACE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人所持公司股票在锁定期满后两年内减持的，减持价格不低于发行价；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56DD63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3、在锁定期限（包括延长的锁定期）届满后，本人将通过合法方式减持公司股份；并通过公司在减持前3个交易日予以公告。</w:t>
            </w:r>
          </w:p>
          <w:p w14:paraId="64EA78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如本人违反承诺进行股份减持的，减持所得收益将无偿划归公司所有；在减持收益全部缴付公司前，如公司进行现金分红的，可直接从本人应得现金分红中扣除尚未缴付的收益金额；减持收益全部缴付公司前，不得转让直接或间接持有的公司股份。</w:t>
            </w:r>
          </w:p>
          <w:p w14:paraId="4497D4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5、上述承诺一经作出即对本人具有法律拘束力；本人不因在公司职务变更、离职等原因，而放弃履行承诺。</w:t>
            </w:r>
          </w:p>
        </w:tc>
        <w:tc>
          <w:tcPr>
            <w:tcW w:w="0" w:type="auto"/>
            <w:tcBorders>
              <w:top w:val="single" w:color="auto" w:sz="2" w:space="0"/>
              <w:left w:val="single" w:color="auto" w:sz="2" w:space="0"/>
              <w:bottom w:val="single" w:color="auto" w:sz="2" w:space="0"/>
              <w:right w:val="single" w:color="auto" w:sz="2" w:space="0"/>
            </w:tcBorders>
            <w:vAlign w:val="center"/>
          </w:tcPr>
          <w:p w14:paraId="4ADC5E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62CE01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47393F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06CC05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6E8D15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537BC9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共青城东兴博元投资中心（有限合伙）、南京乐遂信息咨询管理合伙企业（有限合伙）、南京优志投资管理合伙企业（有限合伙）</w:t>
            </w:r>
          </w:p>
        </w:tc>
        <w:tc>
          <w:tcPr>
            <w:tcW w:w="0" w:type="auto"/>
            <w:tcBorders>
              <w:top w:val="single" w:color="auto" w:sz="2" w:space="0"/>
              <w:left w:val="single" w:color="auto" w:sz="2" w:space="0"/>
              <w:bottom w:val="single" w:color="auto" w:sz="2" w:space="0"/>
              <w:right w:val="single" w:color="auto" w:sz="2" w:space="0"/>
            </w:tcBorders>
            <w:vAlign w:val="center"/>
          </w:tcPr>
          <w:p w14:paraId="3ECA2E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3F0BC8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《持股意向及减持意向的承诺》</w:t>
            </w:r>
          </w:p>
          <w:p w14:paraId="222776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本单位作为广东天亿马信息产业股份有限公司（以下简称“发行人”或“公司”）持股5%以上的股东，现就公司首次公开发行股票并上市后本单位所持公司持股意向及减持意向事宜，作如下承诺：</w:t>
            </w:r>
          </w:p>
          <w:p w14:paraId="3D8434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1、本单位严格按照公司首次公开发行股票招股说明书及本单位出具的承诺载明的各项锁定期限要求，并严格遵守相关法律、法规、规范性文件规定及监管要求，在锁定期内不减持持有的公司的股份。</w:t>
            </w:r>
          </w:p>
          <w:p w14:paraId="4E930D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2、在锁定期限届满后，本单位将通过合法方式减持公司股份；并通过公司在减持前3个交易日予以公告。</w:t>
            </w:r>
          </w:p>
          <w:p w14:paraId="66037D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如本单位违反承诺进行股份减持的，减持所得收益将无偿划归公司所有；在减持收益全部缴付公司前，如公司进行现金分红的，可直接从本单位应得现金分红中扣除尚未缴付的收益金额；减持收益全部缴付公司前，不得转让直接或间接持有的公司股份。</w:t>
            </w:r>
          </w:p>
          <w:p w14:paraId="2BC89D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4、上述承诺一经作出即对本单位具有法律拘束力。</w:t>
            </w:r>
          </w:p>
        </w:tc>
        <w:tc>
          <w:tcPr>
            <w:tcW w:w="0" w:type="auto"/>
            <w:tcBorders>
              <w:top w:val="single" w:color="auto" w:sz="2" w:space="0"/>
              <w:left w:val="single" w:color="auto" w:sz="2" w:space="0"/>
              <w:bottom w:val="single" w:color="auto" w:sz="2" w:space="0"/>
              <w:right w:val="single" w:color="auto" w:sz="2" w:space="0"/>
            </w:tcBorders>
            <w:vAlign w:val="center"/>
          </w:tcPr>
          <w:p w14:paraId="1B1009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1BB160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5656DC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32ECFA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C64670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61F6BB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6EF23F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765E79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《控股股东及实际控制人关于消除或避免同业竞争的承诺函》</w:t>
            </w:r>
          </w:p>
          <w:p w14:paraId="24BA29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作为广东天亿马信息产业股份有限公司（下称“发行人”）的控股股东及实际控制人，为消除或避免与发行人同业竞争之目的，本人郑重承诺如下：</w:t>
            </w:r>
          </w:p>
          <w:p w14:paraId="20FB87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1、截至本承诺函出具之日，本人及与本人关系密切的家庭成员（包括配偶、年满 18</w:t>
            </w:r>
          </w:p>
          <w:p w14:paraId="2D7298F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周岁的子女及其配偶、父母及配偶的父母、兄弟姐妹及其配偶、配偶的兄弟姐妹、子女配偶的父母）未投资与发行人产品相同或相类似的企业，亦未直接或间接从事、参与或进行与发行人生产、经营相竞争的任何经营活动；</w:t>
            </w:r>
          </w:p>
          <w:p w14:paraId="11FE7DB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2、本承诺函出具后，本人将不投资与发行人产品相同或相类似的企业，亦不直接或间接从事、参与或进行与发行人的生产、经营相竞争的任何经营活动，以避免与发行人的生产经营构成直接或间接的竞争；</w:t>
            </w:r>
          </w:p>
          <w:p w14:paraId="779701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3、本承诺函出具后，本人保证将努力促使与本人关系密切的家庭成员不投资与发行人产品相同或相类似的企业，亦不直接或间接从事、参与或进行与发行人的生产、经营相竞争的任何经营活动；</w:t>
            </w:r>
          </w:p>
          <w:p w14:paraId="110A38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4、本人将不利用对发行人的实际控制关系进行损害发行人及发行人其他股东利益的经营活动；</w:t>
            </w:r>
          </w:p>
          <w:p w14:paraId="355AC7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5、本人承诺赔偿发行人因本人违反关于同业竞争的承诺而遭受或产生的任何损失或开支。</w:t>
            </w:r>
          </w:p>
          <w:p w14:paraId="22373B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作为发行人控股股东及实际控制人期间，上述承诺持续有效且不可变更或撤销。本人如违反上述承诺，在采取措施消除同业竞争情形前，发行人进行现金分红的，有权暂扣归属于本人的现金分红，直至本人履行承诺并实施完毕；在履行相应承诺、采取补救措施并实施完毕之前，不得转让本人直接或间接持有的发行人股份。</w:t>
            </w:r>
          </w:p>
          <w:p w14:paraId="649E41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3F1F90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7D7A09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096B06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72F179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6377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54EAC7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0E4CAE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5BC00F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《关于社会保险与住房公积金相关事宜的承诺函》</w:t>
            </w:r>
          </w:p>
          <w:p w14:paraId="0808D6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本人作为广东天亿马信息产业股份有限公司（下称“公司”）的控股股东、实际控制人，就公司社会保险与住房公积金相关事宜，郑重承诺如下：</w:t>
            </w:r>
          </w:p>
          <w:p w14:paraId="187F38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公司因未按期足额缴纳社会保险（包括养老保险、失业保险、医疗保险、工伤保险、生育保险）和住房公积金而经有关政府部门或司法机关认定需进行补缴，或因社会保险费和住房公积金事宜受到处罚，或被任何相关方以任何合法方式提出有关社会保险费和住房公积金的合法权利要求，本人将无条件全额承担经有关政府部门或司法机关认定的需由公司补缴或缴纳的全部社会保险费和住房公积金、罚款或赔偿款项，全额承担被任何相关方以任何合法方式要求的合理社会保险费和住房公积金或赔偿款项，以及因上述事项而产生的由公司支付的或应由公司支付的所有相关费用。</w:t>
            </w:r>
          </w:p>
          <w:p w14:paraId="38290AB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如本人未履行上述承诺，公司进行现金分红的，有权从归属于本人的现金分红扣除本人履行承诺的应付金额，并代为支付；在履行相应承诺并实施完毕之前，不得转让本人直接或间接持有的公司股份。</w:t>
            </w:r>
          </w:p>
          <w:p w14:paraId="28730C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68EE8B7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40286B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1E219E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7CB67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DA1DB4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28540EC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w:t>
            </w:r>
          </w:p>
        </w:tc>
        <w:tc>
          <w:tcPr>
            <w:tcW w:w="0" w:type="auto"/>
            <w:tcBorders>
              <w:top w:val="single" w:color="auto" w:sz="2" w:space="0"/>
              <w:left w:val="single" w:color="auto" w:sz="2" w:space="0"/>
              <w:bottom w:val="single" w:color="auto" w:sz="2" w:space="0"/>
              <w:right w:val="single" w:color="auto" w:sz="2" w:space="0"/>
            </w:tcBorders>
            <w:vAlign w:val="center"/>
          </w:tcPr>
          <w:p w14:paraId="30C41E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64642E3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《关于欺诈发行上市的股份购回承诺函》</w:t>
            </w:r>
          </w:p>
          <w:p w14:paraId="554A30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广东天亿马信息产业股份有限公司（以下简称“本公司”）拟申请首次公开发行股票并在创业板上市，现承诺如下：</w:t>
            </w:r>
          </w:p>
          <w:p w14:paraId="163EEE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1、本公司本次公开发行股票并在深圳证券交易所创业板上市，不存在任何欺诈发行的情形。</w:t>
            </w:r>
          </w:p>
          <w:p w14:paraId="37BF3F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2、如本公司不符合发行上市条件，以欺骗手段骗取发行注册并已经发行上市的，本公司将在中国证监会等有权部门确认后5个工作日内依法启动回购首次公开发行的全部新股。</w:t>
            </w:r>
          </w:p>
          <w:p w14:paraId="335DC5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如本公司自中国证监会等有权部门确认后5个工作日内仍未开始履行上述承诺，则本公司有权人士应在前述期限届满之日起10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3个交易日内未能提请股东大会审议，投资者可依法起诉要求其履行职责，或根据公司章程规定要求监事会提请罢免相关董事，直至公司董事会通过相关决议并提请股东大会审议相关决议。公司将于股东大会通过相关决议后60日内履行回购义务。</w:t>
            </w:r>
          </w:p>
          <w:p w14:paraId="2AB2D7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p w14:paraId="28D00BA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7FD4F0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2EC503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2B2415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0AD215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752F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47A3F49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w:t>
            </w:r>
          </w:p>
        </w:tc>
        <w:tc>
          <w:tcPr>
            <w:tcW w:w="0" w:type="auto"/>
            <w:tcBorders>
              <w:top w:val="single" w:color="auto" w:sz="2" w:space="0"/>
              <w:left w:val="single" w:color="auto" w:sz="2" w:space="0"/>
              <w:bottom w:val="single" w:color="auto" w:sz="2" w:space="0"/>
              <w:right w:val="single" w:color="auto" w:sz="2" w:space="0"/>
            </w:tcBorders>
            <w:vAlign w:val="center"/>
          </w:tcPr>
          <w:p w14:paraId="37D2D4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45010A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《关于股份回购的承诺函》</w:t>
            </w:r>
          </w:p>
          <w:p w14:paraId="53EE56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本公司”）拟申请首次公开发行人民币普通股股票并在创业板上市（以下简称“首次公开发行”）。本公司就首次公开发行编制并披露了《广东天亿马信息产业股份有限公司首次公开发行股票并在创业板上市招股说明书》（以下简称“《招股说明书》”）。为维护公众投资者的利益，本公司现承诺如下：</w:t>
            </w:r>
          </w:p>
          <w:p w14:paraId="06CBA2C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1、本公司首次公开发行《招股说明书》及其他申请或者信息披露文件不存在虚假记载、误导性陈述或者重大遗漏。</w:t>
            </w:r>
          </w:p>
          <w:p w14:paraId="5549AF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若《招股说明书》及其他申请或信息披露文件中存在虚假记载、误导性陈述或者重大遗漏，并对判断本公司是否符合法律、法规、规范性文件规定的首次公开发行股票并在创业板上市的发行条件构成重大、实质影响的，本公司将依法回购首次公开发行的全部新股。具体措施为：在中国证监会作出行政处罚决定或者人民法院作出生效判决认定本公司存在上述违法行为后，本公司将依法启动回购股份的程序，回购价格按本公司首次公开发行的发行价格并加算银行同期存款利息确定，回购股份数按本公司首次公开发行的全部新股数量确定，并按法律、法规、规范性文件的相关规定办理手续。</w:t>
            </w:r>
          </w:p>
          <w:p w14:paraId="5F4D7D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如本公司招股说明书经中国证监会认定存在虚假记载、误导性陈述或者重大遗漏，而本公司自中国证监会作出认定之日起30个交易日内仍未开始履行上述承诺，则本公司有权人士应在前述期限届满之日起20个交易日内召集董事会并通过决议：利用本公司现金并用该等现金回购公司首次公开发行的全部新股，现金不足部分可通过处置公司资产等方式补足。如有权人士未能召集董事会或董事会未能通过相关决议或董事会在决议通过后3个交易日内未能提请股东大会审议，投资者可依法起诉要求其履行职责，或根据公司章程规定要求监事会提请罢免相关董事，直至公司董事会通过相关决议并提请股东大会审议相关决议。公司将于股东大会通过相关决议后60日内履行回购义务。</w:t>
            </w:r>
          </w:p>
          <w:p w14:paraId="5E1217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tc>
        <w:tc>
          <w:tcPr>
            <w:tcW w:w="0" w:type="auto"/>
            <w:tcBorders>
              <w:top w:val="single" w:color="auto" w:sz="2" w:space="0"/>
              <w:left w:val="single" w:color="auto" w:sz="2" w:space="0"/>
              <w:bottom w:val="single" w:color="auto" w:sz="2" w:space="0"/>
              <w:right w:val="single" w:color="auto" w:sz="2" w:space="0"/>
            </w:tcBorders>
            <w:vAlign w:val="center"/>
          </w:tcPr>
          <w:p w14:paraId="471D5A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3D0780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5ED5C5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790548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56F5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71AC9B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0FC1DA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4CEE0D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《关于欺诈发行上市的股份购回承诺函》</w:t>
            </w:r>
          </w:p>
          <w:p w14:paraId="633481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广东天亿马信息产业股份有限公司（以下简称“公司”）拟申请首次公开发行股票并在创业板上市，本人作为公司实际控制人，现承诺如下：</w:t>
            </w:r>
          </w:p>
          <w:p w14:paraId="2414D1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1、公司本次公开发行股票并在深圳证券交易所创业板上市，不存在任何欺诈发行的情形。</w:t>
            </w:r>
          </w:p>
          <w:p w14:paraId="39890B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如公司不符合发行上市条件，以欺骗手段骗取发行注册并已经发行上市的，本人将督促公司在中国证监会等有权部门确认后5个工作日内依法启动回购首次公开发行的全部新股，且本人将购回已转让的原限售股份。</w:t>
            </w:r>
          </w:p>
          <w:p w14:paraId="6D18EC9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3、本人在履行上述承诺实施完毕之前，发行人进行现金分红的，可直接从本人应得现金分红中扣除股份回购的应付金额，并代为向投资者支付股份回购款；且不得转让直接或间接持有的发行人股份。</w:t>
            </w:r>
          </w:p>
          <w:p w14:paraId="3CBBF9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4AB257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1C1B70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7B3F81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5A4BA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6C795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346F099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47BE4E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0A677D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《关于依法承担赔偿或赔偿责任的承诺函》</w:t>
            </w:r>
          </w:p>
          <w:p w14:paraId="76ADD5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广东天亿马信息产业股份有限公司（以下简称“公司”）拟申请首次公开发行股票并上市，本人作为公司实际控制人，郑重承诺如下：</w:t>
            </w:r>
          </w:p>
          <w:p w14:paraId="2F46A1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1、公司首次公开发行股票招股说明书及其他信息披露材料不存在虚假记载、误导性陈述或者重大遗漏，本人对其真实性、准确性、完整性、及时性承担个别和连带的法律责任。</w:t>
            </w:r>
          </w:p>
          <w:p w14:paraId="3914A6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565F07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01D67C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3、本人在履行上述承诺实施完毕之前，发行人进行现金分红的，可直接从本人应得现金分红中扣除赔偿投资者损失的应付金额，并代为向投资者支付赔偿金；且不得转让直接或间接持有的发行人股份。</w:t>
            </w:r>
          </w:p>
          <w:p w14:paraId="435355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288C08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7714C6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419EA6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500703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95DFA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50AF26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本公司、实际控制人、时任董监高人员</w:t>
            </w:r>
          </w:p>
        </w:tc>
        <w:tc>
          <w:tcPr>
            <w:tcW w:w="0" w:type="auto"/>
            <w:tcBorders>
              <w:top w:val="single" w:color="auto" w:sz="2" w:space="0"/>
              <w:left w:val="single" w:color="auto" w:sz="2" w:space="0"/>
              <w:bottom w:val="single" w:color="auto" w:sz="2" w:space="0"/>
              <w:right w:val="single" w:color="auto" w:sz="2" w:space="0"/>
            </w:tcBorders>
            <w:vAlign w:val="center"/>
          </w:tcPr>
          <w:p w14:paraId="14C17C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3DFE71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《关于依法承担赔偿或赔偿责任的承诺函》</w:t>
            </w:r>
          </w:p>
          <w:p w14:paraId="4A42B3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广东天亿马信息产业股份有限公司（以下简称“本公司”）拟申请首次公开发行股票并上市，郑重承诺如下：</w:t>
            </w:r>
          </w:p>
          <w:p w14:paraId="4A483F0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1、本公司首次公开发行股票招股说明书及其他信息披露材料不存在虚假记载、误导性陈述或者重大遗漏，并对其真实性、准确性、完整性、及时性承担个别和连带的法律责任。</w:t>
            </w:r>
          </w:p>
          <w:p w14:paraId="169B5A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2、若因本公司本次公开发行股票的招股说明书及其他信息披露材料有虚假记载、误导性陈述或者重大遗漏，致使投资者在证券发行和交易中遭受损失的，本公司将依法赔偿投资者损失。</w:t>
            </w:r>
          </w:p>
          <w:p w14:paraId="494D41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该等违法事实被中国证监会、证券交易所或司法机关认定后，本公司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51BF995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如本公司招股说明书经中国证监会认定存在虚假记载、误导性陈述或者重大遗漏，而本公司自中国证监会作出认定之日起30个交易日内仍未开始履行上述承诺，则本公司有权人士应在前述期限届满之日起20个交易日内召集董事会并通过决议：利用本公司现金并用该等现金赔偿投资者，现金不足部分可通过处置公司资产等方式补足。如有权人士未能召集董事会或董事会未能通过相关决议或董事会在决议通过后3个交易日内未能提请股东大会审议，投资者可依法起诉要求其履行职责，或根据公司章程规定要求监事会提请罢免相关董事，直至公司董事会通过相关决议并提请股东大会审议相关决议。公司将于股东大会通过相关决议后60日内履行赔偿义务。</w:t>
            </w:r>
          </w:p>
          <w:p w14:paraId="6A0EF4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若本公司违反上述承诺，及时就未能履行承诺事项的原因、具体情况和约束措施予以公告；暂停发放本公司董事、监事和高级管理人员的薪酬、津贴，直至本公司履行相关承诺；立即停止制定或实施重大资产购买与出售、增发股份、发行公司债券等资本运作事项，直至本公司履行相关承诺。</w:t>
            </w:r>
          </w:p>
          <w:p w14:paraId="1026DB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特此承诺。</w:t>
            </w:r>
          </w:p>
        </w:tc>
        <w:tc>
          <w:tcPr>
            <w:tcW w:w="0" w:type="auto"/>
            <w:tcBorders>
              <w:top w:val="single" w:color="auto" w:sz="2" w:space="0"/>
              <w:left w:val="single" w:color="auto" w:sz="2" w:space="0"/>
              <w:bottom w:val="single" w:color="auto" w:sz="2" w:space="0"/>
              <w:right w:val="single" w:color="auto" w:sz="2" w:space="0"/>
            </w:tcBorders>
            <w:vAlign w:val="center"/>
          </w:tcPr>
          <w:p w14:paraId="5D70BF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5D635B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22AED0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BADB5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2C035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737BDC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w:t>
            </w:r>
          </w:p>
        </w:tc>
        <w:tc>
          <w:tcPr>
            <w:tcW w:w="0" w:type="auto"/>
            <w:tcBorders>
              <w:top w:val="single" w:color="auto" w:sz="2" w:space="0"/>
              <w:left w:val="single" w:color="auto" w:sz="2" w:space="0"/>
              <w:bottom w:val="single" w:color="auto" w:sz="2" w:space="0"/>
              <w:right w:val="single" w:color="auto" w:sz="2" w:space="0"/>
            </w:tcBorders>
            <w:vAlign w:val="center"/>
          </w:tcPr>
          <w:p w14:paraId="1E3784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2C445E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《关于明确未能履行承诺时的约束措施的承诺》</w:t>
            </w:r>
          </w:p>
          <w:p w14:paraId="5DEF0E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中国证监会关于进一步推进新股发行体制改革的意见》等规定，广东天亿马信息产业股份有限公司（以下简称“发行人”）为首次公开发行股票并在证券交易所上市之目的，已于本承诺作出当日及以前作出了《广东天亿马信息产业股份有限公司关于公司上市后三年内稳定公司股价的承诺函》《广东天亿马信息产业股份有限公司关于信息披露责任的承诺函》《广东天亿马信息产业股份有限公司关于填补被摊薄即期回报的承诺》等公开承诺，为明确发行上市后未能履行承诺时的约束措施，本公司特此作出如下承诺：</w:t>
            </w:r>
          </w:p>
          <w:p w14:paraId="5F091F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1、及时就未能履行承诺事项的原因、具体情况和约束措施予以公告，并在股东大会及中国证监会指定报刊向投资者公开作出解释并道歉；</w:t>
            </w:r>
          </w:p>
          <w:p w14:paraId="262AD3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2、暂停发放发行人董事、监事和高级管理人员的薪酬、津贴，直至发行人履行相关承诺；</w:t>
            </w:r>
          </w:p>
          <w:p w14:paraId="33AC83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3、立即停止制定或实施重大资产购买与出售、增发股份、发行公司债券等资本运作事项，直至发行人履行相关承诺。</w:t>
            </w:r>
          </w:p>
          <w:p w14:paraId="0E3B1B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4、无条件接受中国证监会、深圳证券交易所、中国上市公司协会等证券监管机构按照其制定或发布的有关规定、规则，对发行人作出的处罚或采取的相关监管措施；</w:t>
            </w:r>
          </w:p>
          <w:p w14:paraId="40EDF01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5、若给股东造成损失的，发行人依法承担补偿责任。</w:t>
            </w:r>
          </w:p>
        </w:tc>
        <w:tc>
          <w:tcPr>
            <w:tcW w:w="0" w:type="auto"/>
            <w:tcBorders>
              <w:top w:val="single" w:color="auto" w:sz="2" w:space="0"/>
              <w:left w:val="single" w:color="auto" w:sz="2" w:space="0"/>
              <w:bottom w:val="single" w:color="auto" w:sz="2" w:space="0"/>
              <w:right w:val="single" w:color="auto" w:sz="2" w:space="0"/>
            </w:tcBorders>
            <w:vAlign w:val="center"/>
          </w:tcPr>
          <w:p w14:paraId="3A7E123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2C7066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0F6457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6C0BC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17E48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首次公开发行或再融资时所作承诺</w:t>
            </w:r>
          </w:p>
        </w:tc>
        <w:tc>
          <w:tcPr>
            <w:tcW w:w="0" w:type="auto"/>
            <w:tcBorders>
              <w:top w:val="single" w:color="auto" w:sz="2" w:space="0"/>
              <w:left w:val="single" w:color="auto" w:sz="2" w:space="0"/>
              <w:bottom w:val="single" w:color="auto" w:sz="2" w:space="0"/>
              <w:right w:val="single" w:color="auto" w:sz="2" w:space="0"/>
            </w:tcBorders>
            <w:vAlign w:val="center"/>
          </w:tcPr>
          <w:p w14:paraId="0D855A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林明玲、马学沛</w:t>
            </w:r>
          </w:p>
        </w:tc>
        <w:tc>
          <w:tcPr>
            <w:tcW w:w="0" w:type="auto"/>
            <w:tcBorders>
              <w:top w:val="single" w:color="auto" w:sz="2" w:space="0"/>
              <w:left w:val="single" w:color="auto" w:sz="2" w:space="0"/>
              <w:bottom w:val="single" w:color="auto" w:sz="2" w:space="0"/>
              <w:right w:val="single" w:color="auto" w:sz="2" w:space="0"/>
            </w:tcBorders>
            <w:vAlign w:val="center"/>
          </w:tcPr>
          <w:p w14:paraId="028C66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其他承诺</w:t>
            </w:r>
          </w:p>
        </w:tc>
        <w:tc>
          <w:tcPr>
            <w:tcW w:w="0" w:type="auto"/>
            <w:tcBorders>
              <w:top w:val="single" w:color="auto" w:sz="2" w:space="0"/>
              <w:left w:val="single" w:color="auto" w:sz="2" w:space="0"/>
              <w:bottom w:val="single" w:color="auto" w:sz="2" w:space="0"/>
              <w:right w:val="single" w:color="auto" w:sz="2" w:space="0"/>
            </w:tcBorders>
            <w:vAlign w:val="center"/>
          </w:tcPr>
          <w:p w14:paraId="431397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《关于明确未能履行承诺时的约束措施的承诺》</w:t>
            </w:r>
          </w:p>
          <w:p w14:paraId="648DD7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中国证监会关于进一步推进新股发行体制改革的意见》等规定，本人作为广东天亿马信息产业股份有限公司（以下简称“发行人”）的控股股东、实际控制人，为发行人首次公开发行股票并在证券交易所上市之目的，已于本承诺作出当日及以前作出了《关于所持广东天亿马信息产业股份有限公司股份锁定的承诺》《持股意向及减持意向的承诺》《广东天亿马信息产业股份有限公司关于公司上市后三年内稳定公司股价的承诺函》《广东天亿马信息产业股份有限公司控股股东、实际控制人关于信息披露责任的承诺函》《广东天亿马信息产业股份有限公司控股股东及实际控制人关于填补被摊薄即期回报的承诺》《广东天亿马信息产业股份有限公司控股股东、实际控制人关于规范和减少关联交易的确认与承诺》《广东天亿马信息产业股份有限公司控股股东、实际控制人关于社会保险与住房公积金相关事宜的承诺函》《广东天亿马信息产业股份有限公司控股股东及实际控制人关于消除与避免同业竞争的承诺函》等公开承诺。为明确发行人上市后未能履行承诺时的约束措施，本人特此作出如下承诺：</w:t>
            </w:r>
          </w:p>
          <w:p w14:paraId="5DFD3C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1、及时通过发行人公告未能履行承诺的原因并在股东大会及中国证监会指定报刊向投资者公开作出解释并道歉；</w:t>
            </w:r>
          </w:p>
          <w:p w14:paraId="51C68C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若本人违反承诺而获得相关收益的，相关收益无偿划归发行人所有；在相关收益全部缴付发行人前，如发行人进行现金分红的，可直接从本人应得现金分红中扣除尚未缴付的收益金额；相关收益全部缴付发行人前，不得转让直接或间接持有的发行人股份；</w:t>
            </w:r>
          </w:p>
          <w:p w14:paraId="4349D1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发行人停止发放现金分红，在履行相应承诺、采取补救措施并实施完毕之前，发行人进行现金分红的，有权暂扣归属于本人的现金分红，直至本人履行承诺并实施完毕，或扣除本人履行承诺的应付金额，并代为支付；</w:t>
            </w:r>
          </w:p>
          <w:p w14:paraId="04DB13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4、在履行相应承诺、采取补救措施并实施完毕之前，不得转让直接或间接持有的发行人股份；</w:t>
            </w:r>
          </w:p>
          <w:p w14:paraId="76CF21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5、给公司或者股东造成损失的，依法承担补偿责任，本人在履行承诺实施完毕之前，发行人进行现金分红的，可直接从本人应得现金分红中扣除赔偿投资者损失的应付金额，并代为向投资者支付赔偿金。</w:t>
            </w:r>
          </w:p>
        </w:tc>
        <w:tc>
          <w:tcPr>
            <w:tcW w:w="0" w:type="auto"/>
            <w:tcBorders>
              <w:top w:val="single" w:color="auto" w:sz="2" w:space="0"/>
              <w:left w:val="single" w:color="auto" w:sz="2" w:space="0"/>
              <w:bottom w:val="single" w:color="auto" w:sz="2" w:space="0"/>
              <w:right w:val="single" w:color="auto" w:sz="2" w:space="0"/>
            </w:tcBorders>
            <w:vAlign w:val="center"/>
          </w:tcPr>
          <w:p w14:paraId="52EA4C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2021年11月11日</w:t>
            </w:r>
          </w:p>
        </w:tc>
        <w:tc>
          <w:tcPr>
            <w:tcW w:w="0" w:type="auto"/>
            <w:tcBorders>
              <w:top w:val="single" w:color="auto" w:sz="2" w:space="0"/>
              <w:left w:val="single" w:color="auto" w:sz="2" w:space="0"/>
              <w:bottom w:val="single" w:color="auto" w:sz="2" w:space="0"/>
              <w:right w:val="single" w:color="auto" w:sz="2" w:space="0"/>
            </w:tcBorders>
            <w:vAlign w:val="center"/>
          </w:tcPr>
          <w:p w14:paraId="0EAD34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长期有效</w:t>
            </w:r>
          </w:p>
        </w:tc>
        <w:tc>
          <w:tcPr>
            <w:tcW w:w="0" w:type="auto"/>
            <w:tcBorders>
              <w:top w:val="single" w:color="auto" w:sz="2" w:space="0"/>
              <w:left w:val="single" w:color="auto" w:sz="2" w:space="0"/>
              <w:bottom w:val="single" w:color="auto" w:sz="2" w:space="0"/>
              <w:right w:val="single" w:color="auto" w:sz="2" w:space="0"/>
            </w:tcBorders>
            <w:vAlign w:val="center"/>
          </w:tcPr>
          <w:p w14:paraId="5CE5AC4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正常履行中。</w:t>
            </w:r>
          </w:p>
        </w:tc>
      </w:tr>
      <w:tr w14:paraId="2E4F64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971033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承诺是否按时履行</w:t>
            </w:r>
          </w:p>
        </w:tc>
        <w:tc>
          <w:tcPr>
            <w:tcW w:w="0" w:type="auto"/>
            <w:gridSpan w:val="6"/>
            <w:tcBorders>
              <w:top w:val="single" w:color="auto" w:sz="2" w:space="0"/>
              <w:left w:val="single" w:color="auto" w:sz="2" w:space="0"/>
              <w:bottom w:val="single" w:color="auto" w:sz="2" w:space="0"/>
              <w:right w:val="single" w:color="auto" w:sz="2" w:space="0"/>
            </w:tcBorders>
            <w:vAlign w:val="center"/>
          </w:tcPr>
          <w:p w14:paraId="4D46E29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CA034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8DA3B7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如承诺超期未履行完毕的，应当详细说明未完成履行的具体原因及下一步的工作计划</w:t>
            </w:r>
          </w:p>
        </w:tc>
        <w:tc>
          <w:tcPr>
            <w:tcW w:w="0" w:type="auto"/>
            <w:gridSpan w:val="6"/>
            <w:tcBorders>
              <w:top w:val="single" w:color="auto" w:sz="2" w:space="0"/>
              <w:left w:val="single" w:color="auto" w:sz="2" w:space="0"/>
              <w:bottom w:val="single" w:color="auto" w:sz="2" w:space="0"/>
              <w:right w:val="single" w:color="auto" w:sz="2" w:space="0"/>
            </w:tcBorders>
            <w:vAlign w:val="center"/>
          </w:tcPr>
          <w:p w14:paraId="0E5001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报告期末，公司、实际控制人及其他承诺主体不存在承诺超期未履行完毕的情形。</w:t>
            </w:r>
          </w:p>
        </w:tc>
      </w:tr>
    </w:tbl>
    <w:p w14:paraId="07DE1B28">
      <w:pPr>
        <w:pStyle w:val="3"/>
        <w:spacing w:line="280" w:lineRule="exact"/>
        <w:jc w:val="left"/>
        <w:rPr>
          <w:rFonts w:ascii="Times New Roman" w:hAnsi="Times New Roman" w:cs="Times New Roman" w:eastAsiaTheme="majorEastAsia"/>
          <w:b/>
          <w:bCs/>
        </w:rPr>
      </w:pPr>
      <w:bookmarkStart w:id="100" w:name="_Toc988989"/>
      <w:r>
        <w:rPr>
          <w:rFonts w:ascii="Times New Roman" w:hAnsi="Times New Roman" w:cs="Times New Roman" w:eastAsiaTheme="majorEastAsia"/>
          <w:b/>
          <w:bCs/>
        </w:rPr>
        <w:t>2、公司资产或项目存在盈利预测，且报告期仍处在盈利预测期间，公司就资产或项目达到原盈利预测及其原因做出说明</w:t>
      </w:r>
      <w:bookmarkEnd w:id="100"/>
    </w:p>
    <w:p w14:paraId="77252B7F">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842FF53">
      <w:pPr>
        <w:pStyle w:val="2"/>
        <w:spacing w:before="300" w:after="300" w:line="320" w:lineRule="exact"/>
        <w:rPr>
          <w:rFonts w:ascii="Times New Roman" w:hAnsi="Times New Roman" w:cs="Times New Roman" w:eastAsiaTheme="majorEastAsia"/>
          <w:b/>
          <w:bCs/>
          <w:sz w:val="24"/>
          <w:szCs w:val="24"/>
        </w:rPr>
      </w:pPr>
      <w:bookmarkStart w:id="101" w:name="_Toc988990"/>
      <w:r>
        <w:rPr>
          <w:rFonts w:ascii="Times New Roman" w:hAnsi="Times New Roman" w:cs="Times New Roman" w:eastAsiaTheme="majorEastAsia"/>
          <w:b/>
          <w:bCs/>
          <w:sz w:val="24"/>
          <w:szCs w:val="24"/>
        </w:rPr>
        <w:t>二、控股股东及其他关联方对上市公司的非经营性占用资金情况</w:t>
      </w:r>
      <w:bookmarkEnd w:id="101"/>
    </w:p>
    <w:p w14:paraId="234E9D2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8B3F28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公司报告期不存在控股股东及其他关联方对上市公司的非经营性占用资金。</w:t>
      </w:r>
    </w:p>
    <w:p w14:paraId="59738179">
      <w:pPr>
        <w:pStyle w:val="2"/>
        <w:spacing w:before="300" w:after="300" w:line="320" w:lineRule="exact"/>
        <w:rPr>
          <w:rFonts w:ascii="Times New Roman" w:hAnsi="Times New Roman" w:cs="Times New Roman" w:eastAsiaTheme="majorEastAsia"/>
          <w:b/>
          <w:bCs/>
          <w:sz w:val="24"/>
          <w:szCs w:val="24"/>
        </w:rPr>
      </w:pPr>
      <w:bookmarkStart w:id="102" w:name="_Toc988991"/>
      <w:r>
        <w:rPr>
          <w:rFonts w:ascii="Times New Roman" w:hAnsi="Times New Roman" w:cs="Times New Roman" w:eastAsiaTheme="majorEastAsia"/>
          <w:b/>
          <w:bCs/>
          <w:sz w:val="24"/>
          <w:szCs w:val="24"/>
        </w:rPr>
        <w:t>三、违规对外担保情况</w:t>
      </w:r>
      <w:bookmarkEnd w:id="102"/>
    </w:p>
    <w:p w14:paraId="2F0E7BFB">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D2E2EA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公司报告期无违规对外担保情况。</w:t>
      </w:r>
    </w:p>
    <w:p w14:paraId="049E6D08">
      <w:pPr>
        <w:pStyle w:val="2"/>
        <w:spacing w:before="300" w:after="300" w:line="320" w:lineRule="exact"/>
        <w:rPr>
          <w:rFonts w:ascii="Times New Roman" w:hAnsi="Times New Roman" w:cs="Times New Roman" w:eastAsiaTheme="majorEastAsia"/>
          <w:b/>
          <w:bCs/>
          <w:sz w:val="24"/>
          <w:szCs w:val="24"/>
        </w:rPr>
      </w:pPr>
      <w:bookmarkStart w:id="103" w:name="_Toc988992"/>
      <w:r>
        <w:rPr>
          <w:rFonts w:ascii="Times New Roman" w:hAnsi="Times New Roman" w:cs="Times New Roman" w:eastAsiaTheme="majorEastAsia"/>
          <w:b/>
          <w:bCs/>
          <w:sz w:val="24"/>
          <w:szCs w:val="24"/>
        </w:rPr>
        <w:t>四、董事会对最近一期“非标准审计报告”相关情况的说明</w:t>
      </w:r>
      <w:bookmarkEnd w:id="103"/>
    </w:p>
    <w:p w14:paraId="6F848CF4">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ADA5444">
      <w:pPr>
        <w:pStyle w:val="2"/>
        <w:spacing w:before="300" w:after="300" w:line="320" w:lineRule="exact"/>
        <w:rPr>
          <w:rFonts w:ascii="Times New Roman" w:hAnsi="Times New Roman" w:cs="Times New Roman" w:eastAsiaTheme="majorEastAsia"/>
          <w:b/>
          <w:bCs/>
          <w:sz w:val="24"/>
          <w:szCs w:val="24"/>
        </w:rPr>
      </w:pPr>
      <w:bookmarkStart w:id="104" w:name="_Toc988993"/>
      <w:r>
        <w:rPr>
          <w:rFonts w:ascii="Times New Roman" w:hAnsi="Times New Roman" w:cs="Times New Roman" w:eastAsiaTheme="majorEastAsia"/>
          <w:b/>
          <w:bCs/>
          <w:sz w:val="24"/>
          <w:szCs w:val="24"/>
        </w:rPr>
        <w:t>五、董事会、监事会、独立董事（如有）对会计师事务所本报告期“非标准审计报告”的说明</w:t>
      </w:r>
      <w:bookmarkEnd w:id="104"/>
    </w:p>
    <w:p w14:paraId="68C4DD1B">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85F23F7">
      <w:pPr>
        <w:pStyle w:val="2"/>
        <w:spacing w:before="300" w:after="300" w:line="320" w:lineRule="exact"/>
        <w:rPr>
          <w:rFonts w:ascii="Times New Roman" w:hAnsi="Times New Roman" w:cs="Times New Roman" w:eastAsiaTheme="majorEastAsia"/>
          <w:b/>
          <w:bCs/>
          <w:sz w:val="24"/>
          <w:szCs w:val="24"/>
        </w:rPr>
      </w:pPr>
      <w:bookmarkStart w:id="105" w:name="_Toc988994"/>
      <w:r>
        <w:rPr>
          <w:rFonts w:ascii="Times New Roman" w:hAnsi="Times New Roman" w:cs="Times New Roman" w:eastAsiaTheme="majorEastAsia"/>
          <w:b/>
          <w:bCs/>
          <w:sz w:val="24"/>
          <w:szCs w:val="24"/>
        </w:rPr>
        <w:t>六、董事会关于报告期会计政策、会计估计变更或重大会计差错更正的说明</w:t>
      </w:r>
      <w:bookmarkEnd w:id="105"/>
    </w:p>
    <w:p w14:paraId="797DD917">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000E03B">
      <w:pPr>
        <w:pStyle w:val="2"/>
        <w:spacing w:before="300" w:after="300" w:line="320" w:lineRule="exact"/>
        <w:rPr>
          <w:rFonts w:ascii="Times New Roman" w:hAnsi="Times New Roman" w:cs="Times New Roman" w:eastAsiaTheme="majorEastAsia"/>
          <w:b/>
          <w:bCs/>
          <w:sz w:val="24"/>
          <w:szCs w:val="24"/>
        </w:rPr>
      </w:pPr>
      <w:bookmarkStart w:id="106" w:name="_Toc988995"/>
      <w:r>
        <w:rPr>
          <w:rFonts w:ascii="Times New Roman" w:hAnsi="Times New Roman" w:cs="Times New Roman" w:eastAsiaTheme="majorEastAsia"/>
          <w:b/>
          <w:bCs/>
          <w:sz w:val="24"/>
          <w:szCs w:val="24"/>
        </w:rPr>
        <w:t>七、与上年度财务报告相比，合并报表范围发生变化的情况说明</w:t>
      </w:r>
      <w:bookmarkEnd w:id="106"/>
    </w:p>
    <w:p w14:paraId="7D1EAD6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530F494B">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21"/>
          <w:szCs w:val="21"/>
        </w:rPr>
        <w:t>本期纳入合并财务报表范围的主体较上期相比，增加13户。报告期内，公司收购广东翼启数据产业有限公司、桓台爱康新能源有限公司、桓台爱道光伏发电有限公司、邯郸庚源新能源科技有限公司，新设子公司海南天亿马数字能源有限公司、广东天亿马新能源产业发展有限公司、天亿马新能源（衡阳）有限公司、深圳市亿泰新能源有限公司、广西亿泰新能源有限公司、衡阳凯晶新能源有限公司、深圳市天亿马信息技术有限公司、广州路创轨道科技有限公司、惠州市天亿马信息技术有限公司。</w:t>
      </w:r>
    </w:p>
    <w:p w14:paraId="767565A4">
      <w:pPr>
        <w:pStyle w:val="2"/>
        <w:spacing w:before="300" w:after="300" w:line="320" w:lineRule="exact"/>
        <w:rPr>
          <w:rFonts w:ascii="Times New Roman" w:hAnsi="Times New Roman" w:cs="Times New Roman" w:eastAsiaTheme="majorEastAsia"/>
          <w:b/>
          <w:bCs/>
          <w:sz w:val="24"/>
          <w:szCs w:val="24"/>
        </w:rPr>
      </w:pPr>
      <w:bookmarkStart w:id="107" w:name="_Toc988996"/>
      <w:r>
        <w:rPr>
          <w:rFonts w:ascii="Times New Roman" w:hAnsi="Times New Roman" w:cs="Times New Roman" w:eastAsiaTheme="majorEastAsia"/>
          <w:b/>
          <w:bCs/>
          <w:sz w:val="24"/>
          <w:szCs w:val="24"/>
        </w:rPr>
        <w:t>八、聘任、解聘会计师事务所情况</w:t>
      </w:r>
      <w:bookmarkEnd w:id="107"/>
    </w:p>
    <w:p w14:paraId="1838F0A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现聘任的会计师事务所</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EE929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BCFF5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境内会计师事务所名称</w:t>
            </w:r>
          </w:p>
        </w:tc>
        <w:tc>
          <w:tcPr>
            <w:tcW w:w="4820" w:type="dxa"/>
            <w:tcBorders>
              <w:top w:val="single" w:color="auto" w:sz="2" w:space="0"/>
              <w:left w:val="single" w:color="auto" w:sz="2" w:space="0"/>
              <w:bottom w:val="single" w:color="auto" w:sz="2" w:space="0"/>
              <w:right w:val="single" w:color="auto" w:sz="2" w:space="0"/>
            </w:tcBorders>
            <w:vAlign w:val="center"/>
          </w:tcPr>
          <w:p w14:paraId="6EB3510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中审亚太会计师事务所（特殊普通合伙）</w:t>
            </w:r>
          </w:p>
        </w:tc>
      </w:tr>
      <w:tr w14:paraId="5B59D1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CACC41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境内会计师事务所报酬（万元）</w:t>
            </w:r>
          </w:p>
        </w:tc>
        <w:tc>
          <w:tcPr>
            <w:tcW w:w="4820" w:type="dxa"/>
            <w:tcBorders>
              <w:top w:val="single" w:color="auto" w:sz="2" w:space="0"/>
              <w:left w:val="single" w:color="auto" w:sz="2" w:space="0"/>
              <w:bottom w:val="single" w:color="auto" w:sz="2" w:space="0"/>
              <w:right w:val="single" w:color="auto" w:sz="2" w:space="0"/>
            </w:tcBorders>
            <w:vAlign w:val="center"/>
          </w:tcPr>
          <w:p w14:paraId="4B7AA93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62</w:t>
            </w:r>
          </w:p>
        </w:tc>
      </w:tr>
      <w:tr w14:paraId="64138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906BCD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境内会计师事务所审计服务的连续年限</w:t>
            </w:r>
          </w:p>
        </w:tc>
        <w:tc>
          <w:tcPr>
            <w:tcW w:w="4820" w:type="dxa"/>
            <w:tcBorders>
              <w:top w:val="single" w:color="auto" w:sz="2" w:space="0"/>
              <w:left w:val="single" w:color="auto" w:sz="2" w:space="0"/>
              <w:bottom w:val="single" w:color="auto" w:sz="2" w:space="0"/>
              <w:right w:val="single" w:color="auto" w:sz="2" w:space="0"/>
            </w:tcBorders>
            <w:vAlign w:val="center"/>
          </w:tcPr>
          <w:p w14:paraId="6AE803E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r>
      <w:tr w14:paraId="65453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AF6DFD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境内会计师事务所注册会计师姓名</w:t>
            </w:r>
          </w:p>
        </w:tc>
        <w:tc>
          <w:tcPr>
            <w:tcW w:w="4820" w:type="dxa"/>
            <w:tcBorders>
              <w:top w:val="single" w:color="auto" w:sz="2" w:space="0"/>
              <w:left w:val="single" w:color="auto" w:sz="2" w:space="0"/>
              <w:bottom w:val="single" w:color="auto" w:sz="2" w:space="0"/>
              <w:right w:val="single" w:color="auto" w:sz="2" w:space="0"/>
            </w:tcBorders>
            <w:vAlign w:val="center"/>
          </w:tcPr>
          <w:p w14:paraId="2B320A1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肖建鑫、王骏</w:t>
            </w:r>
          </w:p>
        </w:tc>
      </w:tr>
      <w:tr w14:paraId="46E616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8A4FFD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境内会计师事务所注册会计师审计服务的连续年限</w:t>
            </w:r>
          </w:p>
        </w:tc>
        <w:tc>
          <w:tcPr>
            <w:tcW w:w="4820" w:type="dxa"/>
            <w:tcBorders>
              <w:top w:val="single" w:color="auto" w:sz="2" w:space="0"/>
              <w:left w:val="single" w:color="auto" w:sz="2" w:space="0"/>
              <w:bottom w:val="single" w:color="auto" w:sz="2" w:space="0"/>
              <w:right w:val="single" w:color="auto" w:sz="2" w:space="0"/>
            </w:tcBorders>
            <w:vAlign w:val="center"/>
          </w:tcPr>
          <w:p w14:paraId="4D549AD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w:t>
            </w:r>
          </w:p>
        </w:tc>
      </w:tr>
      <w:tr w14:paraId="194937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CC390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境外会计师事务所名称（如有）</w:t>
            </w:r>
          </w:p>
        </w:tc>
        <w:tc>
          <w:tcPr>
            <w:tcW w:w="4820" w:type="dxa"/>
            <w:tcBorders>
              <w:top w:val="single" w:color="auto" w:sz="2" w:space="0"/>
              <w:left w:val="single" w:color="auto" w:sz="2" w:space="0"/>
              <w:bottom w:val="single" w:color="auto" w:sz="2" w:space="0"/>
              <w:right w:val="single" w:color="auto" w:sz="2" w:space="0"/>
            </w:tcBorders>
            <w:vAlign w:val="center"/>
          </w:tcPr>
          <w:p w14:paraId="6136B82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22C73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020B02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境外会计师事务所审计服务的连续年限（如有）</w:t>
            </w:r>
          </w:p>
        </w:tc>
        <w:tc>
          <w:tcPr>
            <w:tcW w:w="4820" w:type="dxa"/>
            <w:tcBorders>
              <w:top w:val="single" w:color="auto" w:sz="2" w:space="0"/>
              <w:left w:val="single" w:color="auto" w:sz="2" w:space="0"/>
              <w:bottom w:val="single" w:color="auto" w:sz="2" w:space="0"/>
              <w:right w:val="single" w:color="auto" w:sz="2" w:space="0"/>
            </w:tcBorders>
            <w:vAlign w:val="center"/>
          </w:tcPr>
          <w:p w14:paraId="3BC7B3E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70C31F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7788EF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境外会计师事务所注册会计师姓名（如有）</w:t>
            </w:r>
          </w:p>
        </w:tc>
        <w:tc>
          <w:tcPr>
            <w:tcW w:w="4820" w:type="dxa"/>
            <w:tcBorders>
              <w:top w:val="single" w:color="auto" w:sz="2" w:space="0"/>
              <w:left w:val="single" w:color="auto" w:sz="2" w:space="0"/>
              <w:bottom w:val="single" w:color="auto" w:sz="2" w:space="0"/>
              <w:right w:val="single" w:color="auto" w:sz="2" w:space="0"/>
            </w:tcBorders>
            <w:vAlign w:val="center"/>
          </w:tcPr>
          <w:p w14:paraId="7AD2831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68196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8EF128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境外会计师事务所注册会计师审计服务的连续年限（如有）</w:t>
            </w:r>
          </w:p>
        </w:tc>
        <w:tc>
          <w:tcPr>
            <w:tcW w:w="4820" w:type="dxa"/>
            <w:tcBorders>
              <w:top w:val="single" w:color="auto" w:sz="2" w:space="0"/>
              <w:left w:val="single" w:color="auto" w:sz="2" w:space="0"/>
              <w:bottom w:val="single" w:color="auto" w:sz="2" w:space="0"/>
              <w:right w:val="single" w:color="auto" w:sz="2" w:space="0"/>
            </w:tcBorders>
            <w:vAlign w:val="center"/>
          </w:tcPr>
          <w:p w14:paraId="36D993A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47A0433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是否改聘会计师事务所</w:t>
      </w:r>
    </w:p>
    <w:p w14:paraId="52AEEFF6">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0ACF9CF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聘请内部控制审计会计师事务所、财务顾问或保荐人情况</w:t>
      </w:r>
    </w:p>
    <w:p w14:paraId="60DABAC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5EE58CDD">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sz w:val="21"/>
          <w:szCs w:val="21"/>
        </w:rPr>
        <w:t>经公司第三届董事会第二十六次会议、2024年第三次临时股东会审议通过，同意续聘中审亚太会计师事务所（特殊普通合伙）为公司2024年度审计机构，为公司年度财务报告、内部控制情况进行审计并出具审计意见。</w:t>
      </w:r>
    </w:p>
    <w:p w14:paraId="596EC46D">
      <w:pPr>
        <w:pStyle w:val="2"/>
        <w:spacing w:before="300" w:after="300" w:line="320" w:lineRule="exact"/>
        <w:rPr>
          <w:rFonts w:ascii="Times New Roman" w:hAnsi="Times New Roman" w:cs="Times New Roman" w:eastAsiaTheme="majorEastAsia"/>
          <w:b/>
          <w:bCs/>
          <w:sz w:val="24"/>
          <w:szCs w:val="24"/>
        </w:rPr>
      </w:pPr>
      <w:bookmarkStart w:id="108" w:name="_Toc988997"/>
      <w:r>
        <w:rPr>
          <w:rFonts w:ascii="Times New Roman" w:hAnsi="Times New Roman" w:cs="Times New Roman" w:eastAsiaTheme="majorEastAsia"/>
          <w:b/>
          <w:bCs/>
          <w:sz w:val="24"/>
          <w:szCs w:val="24"/>
        </w:rPr>
        <w:t>九、年度报告披露后面临退市情况</w:t>
      </w:r>
      <w:bookmarkEnd w:id="108"/>
    </w:p>
    <w:p w14:paraId="73C01F9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E9476DA">
      <w:pPr>
        <w:pStyle w:val="2"/>
        <w:spacing w:before="300" w:after="300" w:line="320" w:lineRule="exact"/>
        <w:rPr>
          <w:rFonts w:ascii="Times New Roman" w:hAnsi="Times New Roman" w:cs="Times New Roman" w:eastAsiaTheme="majorEastAsia"/>
          <w:b/>
          <w:bCs/>
          <w:sz w:val="24"/>
          <w:szCs w:val="24"/>
        </w:rPr>
      </w:pPr>
      <w:bookmarkStart w:id="109" w:name="_Toc988998"/>
      <w:r>
        <w:rPr>
          <w:rFonts w:ascii="Times New Roman" w:hAnsi="Times New Roman" w:cs="Times New Roman" w:eastAsiaTheme="majorEastAsia"/>
          <w:b/>
          <w:bCs/>
          <w:sz w:val="24"/>
          <w:szCs w:val="24"/>
        </w:rPr>
        <w:t>十、破产重整相关事项</w:t>
      </w:r>
      <w:bookmarkEnd w:id="109"/>
    </w:p>
    <w:p w14:paraId="087C2CC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92CFB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公司报告期未发生破产重整相关事项。</w:t>
      </w:r>
    </w:p>
    <w:p w14:paraId="07B4A5BB">
      <w:pPr>
        <w:pStyle w:val="2"/>
        <w:spacing w:before="300" w:after="300" w:line="320" w:lineRule="exact"/>
        <w:rPr>
          <w:rFonts w:ascii="Times New Roman" w:hAnsi="Times New Roman" w:cs="Times New Roman" w:eastAsiaTheme="majorEastAsia"/>
          <w:b/>
          <w:bCs/>
          <w:sz w:val="24"/>
          <w:szCs w:val="24"/>
        </w:rPr>
      </w:pPr>
      <w:bookmarkStart w:id="110" w:name="_Toc988999"/>
      <w:r>
        <w:rPr>
          <w:rFonts w:ascii="Times New Roman" w:hAnsi="Times New Roman" w:cs="Times New Roman" w:eastAsiaTheme="majorEastAsia"/>
          <w:b/>
          <w:bCs/>
          <w:sz w:val="24"/>
          <w:szCs w:val="24"/>
        </w:rPr>
        <w:t>十一、重大诉讼、仲裁事项</w:t>
      </w:r>
      <w:bookmarkEnd w:id="110"/>
    </w:p>
    <w:p w14:paraId="57490F58">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5405DB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本年度公司无重大诉讼、仲裁事项。</w:t>
      </w:r>
    </w:p>
    <w:p w14:paraId="6353E806">
      <w:pPr>
        <w:pStyle w:val="2"/>
        <w:spacing w:before="300" w:after="300" w:line="320" w:lineRule="exact"/>
        <w:rPr>
          <w:rFonts w:ascii="Times New Roman" w:hAnsi="Times New Roman" w:cs="Times New Roman" w:eastAsiaTheme="majorEastAsia"/>
          <w:b/>
          <w:bCs/>
          <w:sz w:val="24"/>
          <w:szCs w:val="24"/>
        </w:rPr>
      </w:pPr>
      <w:bookmarkStart w:id="111" w:name="_Toc989000"/>
      <w:r>
        <w:rPr>
          <w:rFonts w:ascii="Times New Roman" w:hAnsi="Times New Roman" w:cs="Times New Roman" w:eastAsiaTheme="majorEastAsia"/>
          <w:b/>
          <w:bCs/>
          <w:sz w:val="24"/>
          <w:szCs w:val="24"/>
        </w:rPr>
        <w:t>十二、处罚及整改情况</w:t>
      </w:r>
      <w:bookmarkEnd w:id="111"/>
    </w:p>
    <w:p w14:paraId="5966D70A">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615620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公司报告期不存在处罚及整改情况。</w:t>
      </w:r>
    </w:p>
    <w:p w14:paraId="4C84E699">
      <w:pPr>
        <w:pStyle w:val="2"/>
        <w:spacing w:before="300" w:after="300" w:line="320" w:lineRule="exact"/>
        <w:rPr>
          <w:rFonts w:ascii="Times New Roman" w:hAnsi="Times New Roman" w:cs="Times New Roman" w:eastAsiaTheme="majorEastAsia"/>
          <w:b/>
          <w:bCs/>
          <w:sz w:val="24"/>
          <w:szCs w:val="24"/>
        </w:rPr>
      </w:pPr>
      <w:bookmarkStart w:id="112" w:name="_Toc989001"/>
      <w:r>
        <w:rPr>
          <w:rFonts w:ascii="Times New Roman" w:hAnsi="Times New Roman" w:cs="Times New Roman" w:eastAsiaTheme="majorEastAsia"/>
          <w:b/>
          <w:bCs/>
          <w:sz w:val="24"/>
          <w:szCs w:val="24"/>
        </w:rPr>
        <w:t>十三、公司及其控股股东、实际控制人的诚信状况</w:t>
      </w:r>
      <w:bookmarkEnd w:id="112"/>
    </w:p>
    <w:p w14:paraId="2CE492B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17C137E">
      <w:pPr>
        <w:pStyle w:val="2"/>
        <w:spacing w:before="300" w:after="300" w:line="320" w:lineRule="exact"/>
        <w:rPr>
          <w:rFonts w:ascii="Times New Roman" w:hAnsi="Times New Roman" w:cs="Times New Roman" w:eastAsiaTheme="majorEastAsia"/>
          <w:b/>
          <w:bCs/>
          <w:sz w:val="24"/>
          <w:szCs w:val="24"/>
        </w:rPr>
      </w:pPr>
      <w:bookmarkStart w:id="113" w:name="_Toc989002"/>
      <w:r>
        <w:rPr>
          <w:rFonts w:ascii="Times New Roman" w:hAnsi="Times New Roman" w:cs="Times New Roman" w:eastAsiaTheme="majorEastAsia"/>
          <w:b/>
          <w:bCs/>
          <w:sz w:val="24"/>
          <w:szCs w:val="24"/>
        </w:rPr>
        <w:t>十四、重大关联交易</w:t>
      </w:r>
      <w:bookmarkEnd w:id="113"/>
    </w:p>
    <w:p w14:paraId="5B12EFFD">
      <w:pPr>
        <w:pStyle w:val="3"/>
        <w:spacing w:line="280" w:lineRule="exact"/>
        <w:jc w:val="left"/>
        <w:rPr>
          <w:rFonts w:ascii="Times New Roman" w:hAnsi="Times New Roman" w:cs="Times New Roman" w:eastAsiaTheme="majorEastAsia"/>
          <w:b/>
          <w:bCs/>
        </w:rPr>
      </w:pPr>
      <w:bookmarkStart w:id="114" w:name="_Toc989003"/>
      <w:r>
        <w:rPr>
          <w:rFonts w:ascii="Times New Roman" w:hAnsi="Times New Roman" w:cs="Times New Roman" w:eastAsiaTheme="majorEastAsia"/>
          <w:b/>
          <w:bCs/>
        </w:rPr>
        <w:t>1、与日常经营相关的关联交易</w:t>
      </w:r>
      <w:bookmarkEnd w:id="114"/>
    </w:p>
    <w:p w14:paraId="2FF0E361">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34FB31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公司报告期未发生与日常经营相关的关联交易。</w:t>
      </w:r>
    </w:p>
    <w:p w14:paraId="4A5B5DC2">
      <w:pPr>
        <w:pStyle w:val="3"/>
        <w:spacing w:line="280" w:lineRule="exact"/>
        <w:jc w:val="left"/>
        <w:rPr>
          <w:rFonts w:ascii="Times New Roman" w:hAnsi="Times New Roman" w:cs="Times New Roman" w:eastAsiaTheme="majorEastAsia"/>
          <w:b/>
          <w:bCs/>
        </w:rPr>
      </w:pPr>
      <w:bookmarkStart w:id="115" w:name="_Toc989004"/>
      <w:r>
        <w:rPr>
          <w:rFonts w:ascii="Times New Roman" w:hAnsi="Times New Roman" w:cs="Times New Roman" w:eastAsiaTheme="majorEastAsia"/>
          <w:b/>
          <w:bCs/>
        </w:rPr>
        <w:t>2、资产或股权收购、出售发生的关联交易</w:t>
      </w:r>
      <w:bookmarkEnd w:id="115"/>
    </w:p>
    <w:p w14:paraId="63B10219">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CC32A8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公司报告期未发生资产或股权收购、出售的关联交易。</w:t>
      </w:r>
    </w:p>
    <w:p w14:paraId="311A8E67">
      <w:pPr>
        <w:pStyle w:val="3"/>
        <w:spacing w:line="280" w:lineRule="exact"/>
        <w:jc w:val="left"/>
        <w:rPr>
          <w:rFonts w:ascii="Times New Roman" w:hAnsi="Times New Roman" w:cs="Times New Roman" w:eastAsiaTheme="majorEastAsia"/>
          <w:b/>
          <w:bCs/>
        </w:rPr>
      </w:pPr>
      <w:bookmarkStart w:id="116" w:name="_Toc989005"/>
      <w:r>
        <w:rPr>
          <w:rFonts w:ascii="Times New Roman" w:hAnsi="Times New Roman" w:cs="Times New Roman" w:eastAsiaTheme="majorEastAsia"/>
          <w:b/>
          <w:bCs/>
        </w:rPr>
        <w:t>3、共同对外投资的关联交易</w:t>
      </w:r>
      <w:bookmarkEnd w:id="116"/>
    </w:p>
    <w:p w14:paraId="3F4D6CED">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5B0456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公司报告期未发生共同对外投资的关联交易。</w:t>
      </w:r>
    </w:p>
    <w:p w14:paraId="62034222">
      <w:pPr>
        <w:pStyle w:val="3"/>
        <w:spacing w:line="280" w:lineRule="exact"/>
        <w:jc w:val="left"/>
        <w:rPr>
          <w:rFonts w:ascii="Times New Roman" w:hAnsi="Times New Roman" w:cs="Times New Roman" w:eastAsiaTheme="majorEastAsia"/>
          <w:b/>
          <w:bCs/>
        </w:rPr>
      </w:pPr>
      <w:bookmarkStart w:id="117" w:name="_Toc989006"/>
      <w:r>
        <w:rPr>
          <w:rFonts w:ascii="Times New Roman" w:hAnsi="Times New Roman" w:cs="Times New Roman" w:eastAsiaTheme="majorEastAsia"/>
          <w:b/>
          <w:bCs/>
        </w:rPr>
        <w:t>4、关联债权债务往来</w:t>
      </w:r>
      <w:bookmarkEnd w:id="117"/>
    </w:p>
    <w:p w14:paraId="29676106">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9CC61D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公司报告期不存在关联债权债务往来。</w:t>
      </w:r>
    </w:p>
    <w:p w14:paraId="1E9D5C2D">
      <w:pPr>
        <w:pStyle w:val="3"/>
        <w:spacing w:line="280" w:lineRule="exact"/>
        <w:jc w:val="left"/>
        <w:rPr>
          <w:rFonts w:ascii="Times New Roman" w:hAnsi="Times New Roman" w:cs="Times New Roman" w:eastAsiaTheme="majorEastAsia"/>
          <w:b/>
          <w:bCs/>
        </w:rPr>
      </w:pPr>
      <w:bookmarkStart w:id="118" w:name="_Toc989007"/>
      <w:r>
        <w:rPr>
          <w:rFonts w:ascii="Times New Roman" w:hAnsi="Times New Roman" w:cs="Times New Roman" w:eastAsiaTheme="majorEastAsia"/>
          <w:b/>
          <w:bCs/>
        </w:rPr>
        <w:t>5、与存在关联关系的财务公司的往来情况</w:t>
      </w:r>
      <w:bookmarkEnd w:id="118"/>
    </w:p>
    <w:p w14:paraId="480370C7">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134955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公司与存在关联关系的财务公司与关联方之间不存在存款、贷款、授信或其他金融业务。</w:t>
      </w:r>
    </w:p>
    <w:p w14:paraId="36C99E3F">
      <w:pPr>
        <w:pStyle w:val="3"/>
        <w:spacing w:line="280" w:lineRule="exact"/>
        <w:jc w:val="left"/>
        <w:rPr>
          <w:rFonts w:ascii="Times New Roman" w:hAnsi="Times New Roman" w:cs="Times New Roman" w:eastAsiaTheme="majorEastAsia"/>
          <w:b/>
          <w:bCs/>
        </w:rPr>
      </w:pPr>
      <w:bookmarkStart w:id="119" w:name="_Toc989008"/>
      <w:r>
        <w:rPr>
          <w:rFonts w:ascii="Times New Roman" w:hAnsi="Times New Roman" w:cs="Times New Roman" w:eastAsiaTheme="majorEastAsia"/>
          <w:b/>
          <w:bCs/>
        </w:rPr>
        <w:t>6、公司控股的财务公司与关联方的往来情况</w:t>
      </w:r>
      <w:bookmarkEnd w:id="119"/>
    </w:p>
    <w:p w14:paraId="523D99FD">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7262755">
      <w:pPr>
        <w:spacing w:before="40" w:after="40" w:line="0" w:lineRule="atLeast"/>
        <w:rPr>
          <w:rFonts w:ascii="Times New Roman" w:hAnsi="Times New Roman" w:cs="Times New Roman" w:eastAsiaTheme="majorEastAsia"/>
        </w:rPr>
      </w:pPr>
    </w:p>
    <w:p w14:paraId="281B814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公司控股的财务公司与关联方之间不存在存款、贷款、授信或其他金融业务。</w:t>
      </w:r>
    </w:p>
    <w:p w14:paraId="7932924D">
      <w:pPr>
        <w:pStyle w:val="3"/>
        <w:spacing w:line="280" w:lineRule="exact"/>
        <w:jc w:val="left"/>
        <w:rPr>
          <w:rFonts w:ascii="Times New Roman" w:hAnsi="Times New Roman" w:cs="Times New Roman" w:eastAsiaTheme="majorEastAsia"/>
          <w:b/>
          <w:bCs/>
        </w:rPr>
      </w:pPr>
      <w:bookmarkStart w:id="120" w:name="_Toc989009"/>
      <w:r>
        <w:rPr>
          <w:rFonts w:ascii="Times New Roman" w:hAnsi="Times New Roman" w:cs="Times New Roman" w:eastAsiaTheme="majorEastAsia"/>
          <w:b/>
          <w:bCs/>
        </w:rPr>
        <w:t>7、其他重大关联交易</w:t>
      </w:r>
      <w:bookmarkEnd w:id="120"/>
    </w:p>
    <w:p w14:paraId="7C22CE5E">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10D316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公司报告期无其他重大关联交易。</w:t>
      </w:r>
    </w:p>
    <w:p w14:paraId="5C1FA850">
      <w:pPr>
        <w:pStyle w:val="2"/>
        <w:spacing w:before="300" w:after="300" w:line="320" w:lineRule="exact"/>
        <w:rPr>
          <w:rFonts w:ascii="Times New Roman" w:hAnsi="Times New Roman" w:cs="Times New Roman" w:eastAsiaTheme="majorEastAsia"/>
          <w:b/>
          <w:bCs/>
          <w:sz w:val="24"/>
          <w:szCs w:val="24"/>
        </w:rPr>
      </w:pPr>
      <w:bookmarkStart w:id="121" w:name="_Toc989010"/>
      <w:r>
        <w:rPr>
          <w:rFonts w:ascii="Times New Roman" w:hAnsi="Times New Roman" w:cs="Times New Roman" w:eastAsiaTheme="majorEastAsia"/>
          <w:b/>
          <w:bCs/>
          <w:sz w:val="24"/>
          <w:szCs w:val="24"/>
        </w:rPr>
        <w:t>十五、重大合同及其履行情况</w:t>
      </w:r>
      <w:bookmarkEnd w:id="121"/>
    </w:p>
    <w:p w14:paraId="5DEA0798">
      <w:pPr>
        <w:pStyle w:val="3"/>
        <w:spacing w:line="280" w:lineRule="exact"/>
        <w:jc w:val="left"/>
        <w:rPr>
          <w:rFonts w:ascii="Times New Roman" w:hAnsi="Times New Roman" w:cs="Times New Roman" w:eastAsiaTheme="majorEastAsia"/>
          <w:b/>
          <w:bCs/>
        </w:rPr>
      </w:pPr>
      <w:bookmarkStart w:id="122" w:name="_Toc989011"/>
      <w:r>
        <w:rPr>
          <w:rFonts w:ascii="Times New Roman" w:hAnsi="Times New Roman" w:cs="Times New Roman" w:eastAsiaTheme="majorEastAsia"/>
          <w:b/>
          <w:bCs/>
        </w:rPr>
        <w:t>1、托管、承包、租赁事项情况</w:t>
      </w:r>
      <w:bookmarkEnd w:id="122"/>
    </w:p>
    <w:p w14:paraId="58E88A55">
      <w:pPr>
        <w:keepNext/>
        <w:keepLines/>
        <w:spacing w:before="300" w:after="300" w:line="280" w:lineRule="exact"/>
        <w:outlineLvl w:val="3"/>
        <w:rPr>
          <w:rFonts w:ascii="Times New Roman" w:hAnsi="Times New Roman" w:cs="Times New Roman" w:eastAsiaTheme="majorEastAsia"/>
          <w:b/>
          <w:bCs/>
          <w:sz w:val="18"/>
          <w:szCs w:val="18"/>
        </w:rPr>
      </w:pPr>
      <w:bookmarkStart w:id="123" w:name="_Toc989012"/>
      <w:r>
        <w:rPr>
          <w:rFonts w:ascii="Times New Roman" w:hAnsi="Times New Roman" w:cs="Times New Roman" w:eastAsiaTheme="majorEastAsia"/>
          <w:b/>
          <w:bCs/>
          <w:sz w:val="18"/>
          <w:szCs w:val="18"/>
        </w:rPr>
        <w:t>（1） 托管情况</w:t>
      </w:r>
      <w:bookmarkEnd w:id="123"/>
    </w:p>
    <w:p w14:paraId="27B09031">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6F7029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公司报告期不存在托管情况。</w:t>
      </w:r>
    </w:p>
    <w:p w14:paraId="1DA64EC8">
      <w:pPr>
        <w:keepNext/>
        <w:keepLines/>
        <w:spacing w:before="300" w:after="300" w:line="280" w:lineRule="exact"/>
        <w:outlineLvl w:val="3"/>
        <w:rPr>
          <w:rFonts w:ascii="Times New Roman" w:hAnsi="Times New Roman" w:cs="Times New Roman" w:eastAsiaTheme="majorEastAsia"/>
          <w:b/>
          <w:bCs/>
          <w:sz w:val="18"/>
          <w:szCs w:val="18"/>
        </w:rPr>
      </w:pPr>
      <w:bookmarkStart w:id="124" w:name="_Toc989013"/>
      <w:r>
        <w:rPr>
          <w:rFonts w:ascii="Times New Roman" w:hAnsi="Times New Roman" w:cs="Times New Roman" w:eastAsiaTheme="majorEastAsia"/>
          <w:b/>
          <w:bCs/>
          <w:sz w:val="18"/>
          <w:szCs w:val="18"/>
        </w:rPr>
        <w:t>（2） 承包情况</w:t>
      </w:r>
      <w:bookmarkEnd w:id="124"/>
    </w:p>
    <w:p w14:paraId="6A7108C9">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EB3ED7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公司报告期不存在承包情况。</w:t>
      </w:r>
    </w:p>
    <w:p w14:paraId="4CCC73D1">
      <w:pPr>
        <w:keepNext/>
        <w:keepLines/>
        <w:spacing w:before="300" w:after="300" w:line="280" w:lineRule="exact"/>
        <w:outlineLvl w:val="3"/>
        <w:rPr>
          <w:rFonts w:ascii="Times New Roman" w:hAnsi="Times New Roman" w:cs="Times New Roman" w:eastAsiaTheme="majorEastAsia"/>
          <w:b/>
          <w:bCs/>
          <w:sz w:val="18"/>
          <w:szCs w:val="18"/>
        </w:rPr>
      </w:pPr>
      <w:bookmarkStart w:id="125" w:name="_Toc989014"/>
      <w:r>
        <w:rPr>
          <w:rFonts w:ascii="Times New Roman" w:hAnsi="Times New Roman" w:cs="Times New Roman" w:eastAsiaTheme="majorEastAsia"/>
          <w:b/>
          <w:bCs/>
          <w:sz w:val="18"/>
          <w:szCs w:val="18"/>
        </w:rPr>
        <w:t>（3） 租赁情况</w:t>
      </w:r>
      <w:bookmarkEnd w:id="125"/>
    </w:p>
    <w:p w14:paraId="1CA8E90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D4518B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公司报告期不存在租赁情况。</w:t>
      </w:r>
    </w:p>
    <w:p w14:paraId="78AA7649">
      <w:pPr>
        <w:pStyle w:val="3"/>
        <w:spacing w:line="280" w:lineRule="exact"/>
        <w:jc w:val="left"/>
        <w:rPr>
          <w:rFonts w:ascii="Times New Roman" w:hAnsi="Times New Roman" w:cs="Times New Roman" w:eastAsiaTheme="majorEastAsia"/>
          <w:b/>
          <w:bCs/>
        </w:rPr>
      </w:pPr>
      <w:bookmarkStart w:id="126" w:name="_Toc989015"/>
      <w:r>
        <w:rPr>
          <w:rFonts w:ascii="Times New Roman" w:hAnsi="Times New Roman" w:cs="Times New Roman" w:eastAsiaTheme="majorEastAsia"/>
          <w:b/>
          <w:bCs/>
        </w:rPr>
        <w:t>2、重大担保</w:t>
      </w:r>
      <w:bookmarkEnd w:id="126"/>
    </w:p>
    <w:p w14:paraId="1850B69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12F7E65B">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10"/>
        <w:gridCol w:w="1072"/>
        <w:gridCol w:w="863"/>
        <w:gridCol w:w="784"/>
        <w:gridCol w:w="1180"/>
        <w:gridCol w:w="700"/>
        <w:gridCol w:w="747"/>
        <w:gridCol w:w="816"/>
        <w:gridCol w:w="1580"/>
        <w:gridCol w:w="568"/>
        <w:gridCol w:w="633"/>
      </w:tblGrid>
      <w:tr w14:paraId="70520A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A9594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公司及其子公司对外担保情况（不包括对子公司的担保）</w:t>
            </w:r>
          </w:p>
        </w:tc>
      </w:tr>
      <w:tr w14:paraId="00B23C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shd w:val="clear" w:color="auto" w:fill="D3D3D3"/>
            <w:vAlign w:val="center"/>
          </w:tcPr>
          <w:p w14:paraId="4D04DB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担保对象名称</w:t>
            </w:r>
          </w:p>
        </w:tc>
        <w:tc>
          <w:tcPr>
            <w:tcW w:w="544" w:type="pct"/>
            <w:tcBorders>
              <w:top w:val="single" w:color="auto" w:sz="2" w:space="0"/>
              <w:left w:val="single" w:color="auto" w:sz="2" w:space="0"/>
              <w:bottom w:val="single" w:color="auto" w:sz="2" w:space="0"/>
              <w:right w:val="single" w:color="auto" w:sz="2" w:space="0"/>
            </w:tcBorders>
            <w:shd w:val="clear" w:color="auto" w:fill="D3D3D3"/>
            <w:vAlign w:val="center"/>
          </w:tcPr>
          <w:p w14:paraId="71AE10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担保额度相关公告披露日期</w:t>
            </w:r>
          </w:p>
        </w:tc>
        <w:tc>
          <w:tcPr>
            <w:tcW w:w="438" w:type="pct"/>
            <w:tcBorders>
              <w:top w:val="single" w:color="auto" w:sz="2" w:space="0"/>
              <w:left w:val="single" w:color="auto" w:sz="2" w:space="0"/>
              <w:bottom w:val="single" w:color="auto" w:sz="2" w:space="0"/>
              <w:right w:val="single" w:color="auto" w:sz="2" w:space="0"/>
            </w:tcBorders>
            <w:shd w:val="clear" w:color="auto" w:fill="D3D3D3"/>
            <w:vAlign w:val="center"/>
          </w:tcPr>
          <w:p w14:paraId="18A837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w:t>
            </w:r>
          </w:p>
        </w:tc>
        <w:tc>
          <w:tcPr>
            <w:tcW w:w="398" w:type="pct"/>
            <w:tcBorders>
              <w:top w:val="single" w:color="auto" w:sz="2" w:space="0"/>
              <w:left w:val="single" w:color="auto" w:sz="2" w:space="0"/>
              <w:bottom w:val="single" w:color="auto" w:sz="2" w:space="0"/>
              <w:right w:val="single" w:color="auto" w:sz="2" w:space="0"/>
            </w:tcBorders>
            <w:shd w:val="clear" w:color="auto" w:fill="D3D3D3"/>
            <w:vAlign w:val="center"/>
          </w:tcPr>
          <w:p w14:paraId="625534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实际发生日期</w:t>
            </w:r>
          </w:p>
        </w:tc>
        <w:tc>
          <w:tcPr>
            <w:tcW w:w="599" w:type="pct"/>
            <w:tcBorders>
              <w:top w:val="single" w:color="auto" w:sz="2" w:space="0"/>
              <w:left w:val="single" w:color="auto" w:sz="2" w:space="0"/>
              <w:bottom w:val="single" w:color="auto" w:sz="2" w:space="0"/>
              <w:right w:val="single" w:color="auto" w:sz="2" w:space="0"/>
            </w:tcBorders>
            <w:shd w:val="clear" w:color="auto" w:fill="D3D3D3"/>
            <w:vAlign w:val="center"/>
          </w:tcPr>
          <w:p w14:paraId="7BCE75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实际担保金额</w:t>
            </w:r>
          </w:p>
        </w:tc>
        <w:tc>
          <w:tcPr>
            <w:tcW w:w="355" w:type="pct"/>
            <w:tcBorders>
              <w:top w:val="single" w:color="auto" w:sz="2" w:space="0"/>
              <w:left w:val="single" w:color="auto" w:sz="2" w:space="0"/>
              <w:bottom w:val="single" w:color="auto" w:sz="2" w:space="0"/>
              <w:right w:val="single" w:color="auto" w:sz="2" w:space="0"/>
            </w:tcBorders>
            <w:shd w:val="clear" w:color="auto" w:fill="D3D3D3"/>
            <w:vAlign w:val="center"/>
          </w:tcPr>
          <w:p w14:paraId="4CADBD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担保类型</w:t>
            </w:r>
          </w:p>
        </w:tc>
        <w:tc>
          <w:tcPr>
            <w:tcW w:w="379" w:type="pct"/>
            <w:tcBorders>
              <w:top w:val="single" w:color="auto" w:sz="2" w:space="0"/>
              <w:left w:val="single" w:color="auto" w:sz="2" w:space="0"/>
              <w:bottom w:val="single" w:color="auto" w:sz="2" w:space="0"/>
              <w:right w:val="single" w:color="auto" w:sz="2" w:space="0"/>
            </w:tcBorders>
            <w:shd w:val="clear" w:color="auto" w:fill="D3D3D3"/>
            <w:vAlign w:val="center"/>
          </w:tcPr>
          <w:p w14:paraId="2CF4E0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担保物（如有）</w:t>
            </w:r>
          </w:p>
        </w:tc>
        <w:tc>
          <w:tcPr>
            <w:tcW w:w="414" w:type="pct"/>
            <w:tcBorders>
              <w:top w:val="single" w:color="auto" w:sz="2" w:space="0"/>
              <w:left w:val="single" w:color="auto" w:sz="2" w:space="0"/>
              <w:bottom w:val="single" w:color="auto" w:sz="2" w:space="0"/>
              <w:right w:val="single" w:color="auto" w:sz="2" w:space="0"/>
            </w:tcBorders>
            <w:shd w:val="clear" w:color="auto" w:fill="D3D3D3"/>
            <w:vAlign w:val="center"/>
          </w:tcPr>
          <w:p w14:paraId="01B028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反担保情况（如有）</w:t>
            </w:r>
          </w:p>
        </w:tc>
        <w:tc>
          <w:tcPr>
            <w:tcW w:w="802" w:type="pct"/>
            <w:tcBorders>
              <w:top w:val="single" w:color="auto" w:sz="2" w:space="0"/>
              <w:left w:val="single" w:color="auto" w:sz="2" w:space="0"/>
              <w:bottom w:val="single" w:color="auto" w:sz="2" w:space="0"/>
              <w:right w:val="single" w:color="auto" w:sz="2" w:space="0"/>
            </w:tcBorders>
            <w:shd w:val="clear" w:color="auto" w:fill="D3D3D3"/>
            <w:vAlign w:val="center"/>
          </w:tcPr>
          <w:p w14:paraId="7AFBBB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担保期</w:t>
            </w:r>
          </w:p>
        </w:tc>
        <w:tc>
          <w:tcPr>
            <w:tcW w:w="288" w:type="pct"/>
            <w:tcBorders>
              <w:top w:val="single" w:color="auto" w:sz="2" w:space="0"/>
              <w:left w:val="single" w:color="auto" w:sz="2" w:space="0"/>
              <w:bottom w:val="single" w:color="auto" w:sz="2" w:space="0"/>
              <w:right w:val="single" w:color="auto" w:sz="2" w:space="0"/>
            </w:tcBorders>
            <w:shd w:val="clear" w:color="auto" w:fill="D3D3D3"/>
            <w:vAlign w:val="center"/>
          </w:tcPr>
          <w:p w14:paraId="70AAF35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是否履行完毕</w:t>
            </w:r>
          </w:p>
        </w:tc>
        <w:tc>
          <w:tcPr>
            <w:tcW w:w="322" w:type="pct"/>
            <w:tcBorders>
              <w:top w:val="single" w:color="auto" w:sz="2" w:space="0"/>
              <w:left w:val="single" w:color="auto" w:sz="2" w:space="0"/>
              <w:bottom w:val="single" w:color="auto" w:sz="2" w:space="0"/>
              <w:right w:val="single" w:color="auto" w:sz="2" w:space="0"/>
            </w:tcBorders>
            <w:shd w:val="clear" w:color="auto" w:fill="D3D3D3"/>
            <w:vAlign w:val="center"/>
          </w:tcPr>
          <w:p w14:paraId="619DAEF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是否为关联方担保</w:t>
            </w:r>
          </w:p>
        </w:tc>
      </w:tr>
      <w:tr w14:paraId="6A73F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C6D462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报告期内审批的对外担保额度合计（A1）</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1B0353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CF9CB2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报告期内对外担保实际发生额合计（A2）</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72DE0A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504EA8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7C839B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报告期末已审批的对外担保额度合计（A3）</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05FAA1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04B1A9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报告期末实际对外担保余额合计（A4）</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444A83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5DF4A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687BA60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公司对子公司的担保情况</w:t>
            </w:r>
          </w:p>
        </w:tc>
      </w:tr>
      <w:tr w14:paraId="5864AB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shd w:val="clear" w:color="auto" w:fill="D3D3D3"/>
            <w:vAlign w:val="center"/>
          </w:tcPr>
          <w:p w14:paraId="5EA9BE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担保对象名称</w:t>
            </w:r>
          </w:p>
        </w:tc>
        <w:tc>
          <w:tcPr>
            <w:tcW w:w="544" w:type="pct"/>
            <w:tcBorders>
              <w:top w:val="single" w:color="auto" w:sz="2" w:space="0"/>
              <w:left w:val="single" w:color="auto" w:sz="2" w:space="0"/>
              <w:bottom w:val="single" w:color="auto" w:sz="2" w:space="0"/>
              <w:right w:val="single" w:color="auto" w:sz="2" w:space="0"/>
            </w:tcBorders>
            <w:shd w:val="clear" w:color="auto" w:fill="D3D3D3"/>
            <w:vAlign w:val="center"/>
          </w:tcPr>
          <w:p w14:paraId="3E28B2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担保额度相关公告披露日期</w:t>
            </w:r>
          </w:p>
        </w:tc>
        <w:tc>
          <w:tcPr>
            <w:tcW w:w="438" w:type="pct"/>
            <w:tcBorders>
              <w:top w:val="single" w:color="auto" w:sz="2" w:space="0"/>
              <w:left w:val="single" w:color="auto" w:sz="2" w:space="0"/>
              <w:bottom w:val="single" w:color="auto" w:sz="2" w:space="0"/>
              <w:right w:val="single" w:color="auto" w:sz="2" w:space="0"/>
            </w:tcBorders>
            <w:shd w:val="clear" w:color="auto" w:fill="D3D3D3"/>
            <w:vAlign w:val="center"/>
          </w:tcPr>
          <w:p w14:paraId="229985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w:t>
            </w:r>
          </w:p>
        </w:tc>
        <w:tc>
          <w:tcPr>
            <w:tcW w:w="398" w:type="pct"/>
            <w:tcBorders>
              <w:top w:val="single" w:color="auto" w:sz="2" w:space="0"/>
              <w:left w:val="single" w:color="auto" w:sz="2" w:space="0"/>
              <w:bottom w:val="single" w:color="auto" w:sz="2" w:space="0"/>
              <w:right w:val="single" w:color="auto" w:sz="2" w:space="0"/>
            </w:tcBorders>
            <w:shd w:val="clear" w:color="auto" w:fill="D3D3D3"/>
            <w:vAlign w:val="center"/>
          </w:tcPr>
          <w:p w14:paraId="515D11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实际发生日期</w:t>
            </w:r>
          </w:p>
        </w:tc>
        <w:tc>
          <w:tcPr>
            <w:tcW w:w="599" w:type="pct"/>
            <w:tcBorders>
              <w:top w:val="single" w:color="auto" w:sz="2" w:space="0"/>
              <w:left w:val="single" w:color="auto" w:sz="2" w:space="0"/>
              <w:bottom w:val="single" w:color="auto" w:sz="2" w:space="0"/>
              <w:right w:val="single" w:color="auto" w:sz="2" w:space="0"/>
            </w:tcBorders>
            <w:shd w:val="clear" w:color="auto" w:fill="D3D3D3"/>
            <w:vAlign w:val="center"/>
          </w:tcPr>
          <w:p w14:paraId="7158FD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实际担保金额</w:t>
            </w:r>
          </w:p>
        </w:tc>
        <w:tc>
          <w:tcPr>
            <w:tcW w:w="355" w:type="pct"/>
            <w:tcBorders>
              <w:top w:val="single" w:color="auto" w:sz="2" w:space="0"/>
              <w:left w:val="single" w:color="auto" w:sz="2" w:space="0"/>
              <w:bottom w:val="single" w:color="auto" w:sz="2" w:space="0"/>
              <w:right w:val="single" w:color="auto" w:sz="2" w:space="0"/>
            </w:tcBorders>
            <w:shd w:val="clear" w:color="auto" w:fill="D3D3D3"/>
            <w:vAlign w:val="center"/>
          </w:tcPr>
          <w:p w14:paraId="6EE8D0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担保类型</w:t>
            </w:r>
          </w:p>
        </w:tc>
        <w:tc>
          <w:tcPr>
            <w:tcW w:w="379" w:type="pct"/>
            <w:tcBorders>
              <w:top w:val="single" w:color="auto" w:sz="2" w:space="0"/>
              <w:left w:val="single" w:color="auto" w:sz="2" w:space="0"/>
              <w:bottom w:val="single" w:color="auto" w:sz="2" w:space="0"/>
              <w:right w:val="single" w:color="auto" w:sz="2" w:space="0"/>
            </w:tcBorders>
            <w:shd w:val="clear" w:color="auto" w:fill="D3D3D3"/>
            <w:vAlign w:val="center"/>
          </w:tcPr>
          <w:p w14:paraId="56CA73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担保物（如有）</w:t>
            </w:r>
          </w:p>
        </w:tc>
        <w:tc>
          <w:tcPr>
            <w:tcW w:w="414" w:type="pct"/>
            <w:tcBorders>
              <w:top w:val="single" w:color="auto" w:sz="2" w:space="0"/>
              <w:left w:val="single" w:color="auto" w:sz="2" w:space="0"/>
              <w:bottom w:val="single" w:color="auto" w:sz="2" w:space="0"/>
              <w:right w:val="single" w:color="auto" w:sz="2" w:space="0"/>
            </w:tcBorders>
            <w:shd w:val="clear" w:color="auto" w:fill="D3D3D3"/>
            <w:vAlign w:val="center"/>
          </w:tcPr>
          <w:p w14:paraId="2571581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反担保情况（如有）</w:t>
            </w:r>
          </w:p>
        </w:tc>
        <w:tc>
          <w:tcPr>
            <w:tcW w:w="802" w:type="pct"/>
            <w:tcBorders>
              <w:top w:val="single" w:color="auto" w:sz="2" w:space="0"/>
              <w:left w:val="single" w:color="auto" w:sz="2" w:space="0"/>
              <w:bottom w:val="single" w:color="auto" w:sz="2" w:space="0"/>
              <w:right w:val="single" w:color="auto" w:sz="2" w:space="0"/>
            </w:tcBorders>
            <w:shd w:val="clear" w:color="auto" w:fill="D3D3D3"/>
            <w:vAlign w:val="center"/>
          </w:tcPr>
          <w:p w14:paraId="5F5D89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担保期</w:t>
            </w:r>
          </w:p>
        </w:tc>
        <w:tc>
          <w:tcPr>
            <w:tcW w:w="288" w:type="pct"/>
            <w:tcBorders>
              <w:top w:val="single" w:color="auto" w:sz="2" w:space="0"/>
              <w:left w:val="single" w:color="auto" w:sz="2" w:space="0"/>
              <w:bottom w:val="single" w:color="auto" w:sz="2" w:space="0"/>
              <w:right w:val="single" w:color="auto" w:sz="2" w:space="0"/>
            </w:tcBorders>
            <w:shd w:val="clear" w:color="auto" w:fill="D3D3D3"/>
            <w:vAlign w:val="center"/>
          </w:tcPr>
          <w:p w14:paraId="57A2CD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是否履行完毕</w:t>
            </w:r>
          </w:p>
        </w:tc>
        <w:tc>
          <w:tcPr>
            <w:tcW w:w="322" w:type="pct"/>
            <w:tcBorders>
              <w:top w:val="single" w:color="auto" w:sz="2" w:space="0"/>
              <w:left w:val="single" w:color="auto" w:sz="2" w:space="0"/>
              <w:bottom w:val="single" w:color="auto" w:sz="2" w:space="0"/>
              <w:right w:val="single" w:color="auto" w:sz="2" w:space="0"/>
            </w:tcBorders>
            <w:shd w:val="clear" w:color="auto" w:fill="D3D3D3"/>
            <w:vAlign w:val="center"/>
          </w:tcPr>
          <w:p w14:paraId="59E229D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是否为关联方担保</w:t>
            </w:r>
          </w:p>
        </w:tc>
      </w:tr>
      <w:tr w14:paraId="43135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59732A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香港天亿马</w:t>
            </w:r>
          </w:p>
        </w:tc>
        <w:tc>
          <w:tcPr>
            <w:tcW w:w="544" w:type="pct"/>
            <w:tcBorders>
              <w:top w:val="single" w:color="auto" w:sz="2" w:space="0"/>
              <w:left w:val="single" w:color="auto" w:sz="2" w:space="0"/>
              <w:bottom w:val="single" w:color="auto" w:sz="2" w:space="0"/>
              <w:right w:val="single" w:color="auto" w:sz="2" w:space="0"/>
            </w:tcBorders>
            <w:vAlign w:val="center"/>
          </w:tcPr>
          <w:p w14:paraId="4CA1E3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2023年12月28日</w:t>
            </w:r>
          </w:p>
        </w:tc>
        <w:tc>
          <w:tcPr>
            <w:tcW w:w="438" w:type="pct"/>
            <w:tcBorders>
              <w:top w:val="single" w:color="auto" w:sz="2" w:space="0"/>
              <w:left w:val="single" w:color="auto" w:sz="2" w:space="0"/>
              <w:bottom w:val="single" w:color="auto" w:sz="2" w:space="0"/>
              <w:right w:val="single" w:color="auto" w:sz="2" w:space="0"/>
            </w:tcBorders>
            <w:vAlign w:val="center"/>
          </w:tcPr>
          <w:p w14:paraId="744354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14,194.8</w:t>
            </w:r>
          </w:p>
        </w:tc>
        <w:tc>
          <w:tcPr>
            <w:tcW w:w="398" w:type="pct"/>
            <w:tcBorders>
              <w:top w:val="single" w:color="auto" w:sz="2" w:space="0"/>
              <w:left w:val="single" w:color="auto" w:sz="2" w:space="0"/>
              <w:bottom w:val="single" w:color="auto" w:sz="2" w:space="0"/>
              <w:right w:val="single" w:color="auto" w:sz="2" w:space="0"/>
            </w:tcBorders>
            <w:vAlign w:val="center"/>
          </w:tcPr>
          <w:p w14:paraId="2CE4C3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w:t>
            </w:r>
          </w:p>
        </w:tc>
        <w:tc>
          <w:tcPr>
            <w:tcW w:w="599" w:type="pct"/>
            <w:tcBorders>
              <w:top w:val="single" w:color="auto" w:sz="2" w:space="0"/>
              <w:left w:val="single" w:color="auto" w:sz="2" w:space="0"/>
              <w:bottom w:val="single" w:color="auto" w:sz="2" w:space="0"/>
              <w:right w:val="single" w:color="auto" w:sz="2" w:space="0"/>
            </w:tcBorders>
            <w:vAlign w:val="center"/>
          </w:tcPr>
          <w:p w14:paraId="744825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923.03</w:t>
            </w:r>
          </w:p>
        </w:tc>
        <w:tc>
          <w:tcPr>
            <w:tcW w:w="355" w:type="pct"/>
            <w:tcBorders>
              <w:top w:val="single" w:color="auto" w:sz="2" w:space="0"/>
              <w:left w:val="single" w:color="auto" w:sz="2" w:space="0"/>
              <w:bottom w:val="single" w:color="auto" w:sz="2" w:space="0"/>
              <w:right w:val="single" w:color="auto" w:sz="2" w:space="0"/>
            </w:tcBorders>
            <w:vAlign w:val="center"/>
          </w:tcPr>
          <w:p w14:paraId="3391992A">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2B3E8E83">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3F595721">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39CA4C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2023年12月27日至2028年11月22日，履行债务期限届满之日起三年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76052F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5586F1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F1ECC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29DCCA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互联精英</w:t>
            </w:r>
          </w:p>
        </w:tc>
        <w:tc>
          <w:tcPr>
            <w:tcW w:w="544" w:type="pct"/>
            <w:tcBorders>
              <w:top w:val="single" w:color="auto" w:sz="2" w:space="0"/>
              <w:left w:val="single" w:color="auto" w:sz="2" w:space="0"/>
              <w:bottom w:val="single" w:color="auto" w:sz="2" w:space="0"/>
              <w:right w:val="single" w:color="auto" w:sz="2" w:space="0"/>
            </w:tcBorders>
            <w:vAlign w:val="center"/>
          </w:tcPr>
          <w:p w14:paraId="5673C9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438" w:type="pct"/>
            <w:tcBorders>
              <w:top w:val="single" w:color="auto" w:sz="2" w:space="0"/>
              <w:left w:val="single" w:color="auto" w:sz="2" w:space="0"/>
              <w:bottom w:val="single" w:color="auto" w:sz="2" w:space="0"/>
              <w:right w:val="single" w:color="auto" w:sz="2" w:space="0"/>
            </w:tcBorders>
            <w:vAlign w:val="center"/>
          </w:tcPr>
          <w:p w14:paraId="538763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c>
          <w:tcPr>
            <w:tcW w:w="398" w:type="pct"/>
            <w:tcBorders>
              <w:top w:val="single" w:color="auto" w:sz="2" w:space="0"/>
              <w:left w:val="single" w:color="auto" w:sz="2" w:space="0"/>
              <w:bottom w:val="single" w:color="auto" w:sz="2" w:space="0"/>
              <w:right w:val="single" w:color="auto" w:sz="2" w:space="0"/>
            </w:tcBorders>
            <w:vAlign w:val="center"/>
          </w:tcPr>
          <w:p w14:paraId="533472E3">
            <w:pPr>
              <w:spacing w:line="240" w:lineRule="exact"/>
              <w:rPr>
                <w:rFonts w:ascii="Times New Roman" w:hAnsi="Times New Roman" w:cs="Times New Roman" w:eastAsiaTheme="majorEastAsia"/>
                <w:sz w:val="18"/>
                <w:szCs w:val="18"/>
              </w:rPr>
            </w:pPr>
          </w:p>
        </w:tc>
        <w:tc>
          <w:tcPr>
            <w:tcW w:w="599" w:type="pct"/>
            <w:tcBorders>
              <w:top w:val="single" w:color="auto" w:sz="2" w:space="0"/>
              <w:left w:val="single" w:color="auto" w:sz="2" w:space="0"/>
              <w:bottom w:val="single" w:color="auto" w:sz="2" w:space="0"/>
              <w:right w:val="single" w:color="auto" w:sz="2" w:space="0"/>
            </w:tcBorders>
            <w:vAlign w:val="center"/>
          </w:tcPr>
          <w:p w14:paraId="2AB7224A">
            <w:pPr>
              <w:spacing w:line="240" w:lineRule="exact"/>
              <w:jc w:val="right"/>
              <w:rPr>
                <w:rFonts w:ascii="Times New Roman" w:hAnsi="Times New Roman" w:cs="Times New Roman" w:eastAsiaTheme="majorEastAsia"/>
                <w:sz w:val="18"/>
                <w:szCs w:val="18"/>
              </w:rPr>
            </w:pPr>
          </w:p>
        </w:tc>
        <w:tc>
          <w:tcPr>
            <w:tcW w:w="355" w:type="pct"/>
            <w:tcBorders>
              <w:top w:val="single" w:color="auto" w:sz="2" w:space="0"/>
              <w:left w:val="single" w:color="auto" w:sz="2" w:space="0"/>
              <w:bottom w:val="single" w:color="auto" w:sz="2" w:space="0"/>
              <w:right w:val="single" w:color="auto" w:sz="2" w:space="0"/>
            </w:tcBorders>
            <w:vAlign w:val="center"/>
          </w:tcPr>
          <w:p w14:paraId="77711C74">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5152E074">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2CFE70DA">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32EFD0ED">
            <w:pPr>
              <w:spacing w:line="240" w:lineRule="exact"/>
              <w:rPr>
                <w:rFonts w:ascii="Times New Roman" w:hAnsi="Times New Roman" w:cs="Times New Roman" w:eastAsiaTheme="majorEastAsia"/>
                <w:sz w:val="18"/>
                <w:szCs w:val="18"/>
              </w:rPr>
            </w:pPr>
          </w:p>
        </w:tc>
        <w:tc>
          <w:tcPr>
            <w:tcW w:w="288" w:type="pct"/>
            <w:tcBorders>
              <w:top w:val="single" w:color="auto" w:sz="2" w:space="0"/>
              <w:left w:val="single" w:color="auto" w:sz="2" w:space="0"/>
              <w:bottom w:val="single" w:color="auto" w:sz="2" w:space="0"/>
              <w:right w:val="single" w:color="auto" w:sz="2" w:space="0"/>
            </w:tcBorders>
            <w:vAlign w:val="center"/>
          </w:tcPr>
          <w:p w14:paraId="153E732E">
            <w:pPr>
              <w:spacing w:line="240" w:lineRule="exac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76152C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BEEC3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187439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w:t>
            </w:r>
          </w:p>
        </w:tc>
        <w:tc>
          <w:tcPr>
            <w:tcW w:w="544" w:type="pct"/>
            <w:tcBorders>
              <w:top w:val="single" w:color="auto" w:sz="2" w:space="0"/>
              <w:left w:val="single" w:color="auto" w:sz="2" w:space="0"/>
              <w:bottom w:val="single" w:color="auto" w:sz="2" w:space="0"/>
              <w:right w:val="single" w:color="auto" w:sz="2" w:space="0"/>
            </w:tcBorders>
            <w:vAlign w:val="center"/>
          </w:tcPr>
          <w:p w14:paraId="32FF91D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2023年04月20日</w:t>
            </w:r>
          </w:p>
        </w:tc>
        <w:tc>
          <w:tcPr>
            <w:tcW w:w="438" w:type="pct"/>
            <w:tcBorders>
              <w:top w:val="single" w:color="auto" w:sz="2" w:space="0"/>
              <w:left w:val="single" w:color="auto" w:sz="2" w:space="0"/>
              <w:bottom w:val="single" w:color="auto" w:sz="2" w:space="0"/>
              <w:right w:val="single" w:color="auto" w:sz="2" w:space="0"/>
            </w:tcBorders>
            <w:vAlign w:val="center"/>
          </w:tcPr>
          <w:p w14:paraId="573F83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w:t>
            </w:r>
          </w:p>
        </w:tc>
        <w:tc>
          <w:tcPr>
            <w:tcW w:w="398" w:type="pct"/>
            <w:tcBorders>
              <w:top w:val="single" w:color="auto" w:sz="2" w:space="0"/>
              <w:left w:val="single" w:color="auto" w:sz="2" w:space="0"/>
              <w:bottom w:val="single" w:color="auto" w:sz="2" w:space="0"/>
              <w:right w:val="single" w:color="auto" w:sz="2" w:space="0"/>
            </w:tcBorders>
            <w:vAlign w:val="center"/>
          </w:tcPr>
          <w:p w14:paraId="75F7672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w:t>
            </w:r>
          </w:p>
        </w:tc>
        <w:tc>
          <w:tcPr>
            <w:tcW w:w="599" w:type="pct"/>
            <w:tcBorders>
              <w:top w:val="single" w:color="auto" w:sz="2" w:space="0"/>
              <w:left w:val="single" w:color="auto" w:sz="2" w:space="0"/>
              <w:bottom w:val="single" w:color="auto" w:sz="2" w:space="0"/>
              <w:right w:val="single" w:color="auto" w:sz="2" w:space="0"/>
            </w:tcBorders>
            <w:vAlign w:val="center"/>
          </w:tcPr>
          <w:p w14:paraId="27CCE8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w:t>
            </w:r>
          </w:p>
        </w:tc>
        <w:tc>
          <w:tcPr>
            <w:tcW w:w="355" w:type="pct"/>
            <w:tcBorders>
              <w:top w:val="single" w:color="auto" w:sz="2" w:space="0"/>
              <w:left w:val="single" w:color="auto" w:sz="2" w:space="0"/>
              <w:bottom w:val="single" w:color="auto" w:sz="2" w:space="0"/>
              <w:right w:val="single" w:color="auto" w:sz="2" w:space="0"/>
            </w:tcBorders>
            <w:vAlign w:val="center"/>
          </w:tcPr>
          <w:p w14:paraId="29FE04E8">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652AF04D">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2E11DA83">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29F01C7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2023年12月27日至2028年11月22日，履行债务期限届满之日起三年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443B304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0A7C8B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F241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0D15DA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w:t>
            </w:r>
          </w:p>
        </w:tc>
        <w:tc>
          <w:tcPr>
            <w:tcW w:w="544" w:type="pct"/>
            <w:tcBorders>
              <w:top w:val="single" w:color="auto" w:sz="2" w:space="0"/>
              <w:left w:val="single" w:color="auto" w:sz="2" w:space="0"/>
              <w:bottom w:val="single" w:color="auto" w:sz="2" w:space="0"/>
              <w:right w:val="single" w:color="auto" w:sz="2" w:space="0"/>
            </w:tcBorders>
            <w:vAlign w:val="center"/>
          </w:tcPr>
          <w:p w14:paraId="7829E1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2023年04月20日</w:t>
            </w:r>
          </w:p>
        </w:tc>
        <w:tc>
          <w:tcPr>
            <w:tcW w:w="438" w:type="pct"/>
            <w:tcBorders>
              <w:top w:val="single" w:color="auto" w:sz="2" w:space="0"/>
              <w:left w:val="single" w:color="auto" w:sz="2" w:space="0"/>
              <w:bottom w:val="single" w:color="auto" w:sz="2" w:space="0"/>
              <w:right w:val="single" w:color="auto" w:sz="2" w:space="0"/>
            </w:tcBorders>
            <w:vAlign w:val="center"/>
          </w:tcPr>
          <w:p w14:paraId="16702F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w:t>
            </w:r>
          </w:p>
        </w:tc>
        <w:tc>
          <w:tcPr>
            <w:tcW w:w="398" w:type="pct"/>
            <w:tcBorders>
              <w:top w:val="single" w:color="auto" w:sz="2" w:space="0"/>
              <w:left w:val="single" w:color="auto" w:sz="2" w:space="0"/>
              <w:bottom w:val="single" w:color="auto" w:sz="2" w:space="0"/>
              <w:right w:val="single" w:color="auto" w:sz="2" w:space="0"/>
            </w:tcBorders>
            <w:vAlign w:val="center"/>
          </w:tcPr>
          <w:p w14:paraId="35113F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2023年12月18日</w:t>
            </w:r>
          </w:p>
        </w:tc>
        <w:tc>
          <w:tcPr>
            <w:tcW w:w="599" w:type="pct"/>
            <w:tcBorders>
              <w:top w:val="single" w:color="auto" w:sz="2" w:space="0"/>
              <w:left w:val="single" w:color="auto" w:sz="2" w:space="0"/>
              <w:bottom w:val="single" w:color="auto" w:sz="2" w:space="0"/>
              <w:right w:val="single" w:color="auto" w:sz="2" w:space="0"/>
            </w:tcBorders>
            <w:vAlign w:val="center"/>
          </w:tcPr>
          <w:p w14:paraId="2EC05A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c>
          <w:tcPr>
            <w:tcW w:w="355" w:type="pct"/>
            <w:tcBorders>
              <w:top w:val="single" w:color="auto" w:sz="2" w:space="0"/>
              <w:left w:val="single" w:color="auto" w:sz="2" w:space="0"/>
              <w:bottom w:val="single" w:color="auto" w:sz="2" w:space="0"/>
              <w:right w:val="single" w:color="auto" w:sz="2" w:space="0"/>
            </w:tcBorders>
            <w:vAlign w:val="center"/>
          </w:tcPr>
          <w:p w14:paraId="08F48B5B">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26F345F9">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43C48E45">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5291DE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2023年12月18日至2028年12月18日，履行债务期限届满之日起三年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06114F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456B01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2F5E85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7477384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w:t>
            </w:r>
          </w:p>
        </w:tc>
        <w:tc>
          <w:tcPr>
            <w:tcW w:w="544" w:type="pct"/>
            <w:tcBorders>
              <w:top w:val="single" w:color="auto" w:sz="2" w:space="0"/>
              <w:left w:val="single" w:color="auto" w:sz="2" w:space="0"/>
              <w:bottom w:val="single" w:color="auto" w:sz="2" w:space="0"/>
              <w:right w:val="single" w:color="auto" w:sz="2" w:space="0"/>
            </w:tcBorders>
            <w:vAlign w:val="center"/>
          </w:tcPr>
          <w:p w14:paraId="56B86D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438" w:type="pct"/>
            <w:tcBorders>
              <w:top w:val="single" w:color="auto" w:sz="2" w:space="0"/>
              <w:left w:val="single" w:color="auto" w:sz="2" w:space="0"/>
              <w:bottom w:val="single" w:color="auto" w:sz="2" w:space="0"/>
              <w:right w:val="single" w:color="auto" w:sz="2" w:space="0"/>
            </w:tcBorders>
            <w:vAlign w:val="center"/>
          </w:tcPr>
          <w:p w14:paraId="2BA00F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w:t>
            </w:r>
          </w:p>
        </w:tc>
        <w:tc>
          <w:tcPr>
            <w:tcW w:w="398" w:type="pct"/>
            <w:tcBorders>
              <w:top w:val="single" w:color="auto" w:sz="2" w:space="0"/>
              <w:left w:val="single" w:color="auto" w:sz="2" w:space="0"/>
              <w:bottom w:val="single" w:color="auto" w:sz="2" w:space="0"/>
              <w:right w:val="single" w:color="auto" w:sz="2" w:space="0"/>
            </w:tcBorders>
            <w:vAlign w:val="center"/>
          </w:tcPr>
          <w:p w14:paraId="51B166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2024年02月06日</w:t>
            </w:r>
          </w:p>
        </w:tc>
        <w:tc>
          <w:tcPr>
            <w:tcW w:w="599" w:type="pct"/>
            <w:tcBorders>
              <w:top w:val="single" w:color="auto" w:sz="2" w:space="0"/>
              <w:left w:val="single" w:color="auto" w:sz="2" w:space="0"/>
              <w:bottom w:val="single" w:color="auto" w:sz="2" w:space="0"/>
              <w:right w:val="single" w:color="auto" w:sz="2" w:space="0"/>
            </w:tcBorders>
            <w:vAlign w:val="center"/>
          </w:tcPr>
          <w:p w14:paraId="4517FB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c>
          <w:tcPr>
            <w:tcW w:w="355" w:type="pct"/>
            <w:tcBorders>
              <w:top w:val="single" w:color="auto" w:sz="2" w:space="0"/>
              <w:left w:val="single" w:color="auto" w:sz="2" w:space="0"/>
              <w:bottom w:val="single" w:color="auto" w:sz="2" w:space="0"/>
              <w:right w:val="single" w:color="auto" w:sz="2" w:space="0"/>
            </w:tcBorders>
            <w:vAlign w:val="center"/>
          </w:tcPr>
          <w:p w14:paraId="5B0008B8">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17653112">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3F70AEE2">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4D0C5E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7B5630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445187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48EAD5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568986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天亿马信息科技</w:t>
            </w:r>
          </w:p>
        </w:tc>
        <w:tc>
          <w:tcPr>
            <w:tcW w:w="544" w:type="pct"/>
            <w:tcBorders>
              <w:top w:val="single" w:color="auto" w:sz="2" w:space="0"/>
              <w:left w:val="single" w:color="auto" w:sz="2" w:space="0"/>
              <w:bottom w:val="single" w:color="auto" w:sz="2" w:space="0"/>
              <w:right w:val="single" w:color="auto" w:sz="2" w:space="0"/>
            </w:tcBorders>
            <w:vAlign w:val="center"/>
          </w:tcPr>
          <w:p w14:paraId="7A1D8B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2023年04月20日</w:t>
            </w:r>
          </w:p>
        </w:tc>
        <w:tc>
          <w:tcPr>
            <w:tcW w:w="438" w:type="pct"/>
            <w:tcBorders>
              <w:top w:val="single" w:color="auto" w:sz="2" w:space="0"/>
              <w:left w:val="single" w:color="auto" w:sz="2" w:space="0"/>
              <w:bottom w:val="single" w:color="auto" w:sz="2" w:space="0"/>
              <w:right w:val="single" w:color="auto" w:sz="2" w:space="0"/>
            </w:tcBorders>
            <w:vAlign w:val="center"/>
          </w:tcPr>
          <w:p w14:paraId="270B63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4,000</w:t>
            </w:r>
          </w:p>
        </w:tc>
        <w:tc>
          <w:tcPr>
            <w:tcW w:w="398" w:type="pct"/>
            <w:tcBorders>
              <w:top w:val="single" w:color="auto" w:sz="2" w:space="0"/>
              <w:left w:val="single" w:color="auto" w:sz="2" w:space="0"/>
              <w:bottom w:val="single" w:color="auto" w:sz="2" w:space="0"/>
              <w:right w:val="single" w:color="auto" w:sz="2" w:space="0"/>
            </w:tcBorders>
            <w:vAlign w:val="center"/>
          </w:tcPr>
          <w:p w14:paraId="14D4A7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w:t>
            </w:r>
          </w:p>
        </w:tc>
        <w:tc>
          <w:tcPr>
            <w:tcW w:w="599" w:type="pct"/>
            <w:tcBorders>
              <w:top w:val="single" w:color="auto" w:sz="2" w:space="0"/>
              <w:left w:val="single" w:color="auto" w:sz="2" w:space="0"/>
              <w:bottom w:val="single" w:color="auto" w:sz="2" w:space="0"/>
              <w:right w:val="single" w:color="auto" w:sz="2" w:space="0"/>
            </w:tcBorders>
            <w:vAlign w:val="center"/>
          </w:tcPr>
          <w:p w14:paraId="5DD098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2,600</w:t>
            </w:r>
          </w:p>
        </w:tc>
        <w:tc>
          <w:tcPr>
            <w:tcW w:w="355" w:type="pct"/>
            <w:tcBorders>
              <w:top w:val="single" w:color="auto" w:sz="2" w:space="0"/>
              <w:left w:val="single" w:color="auto" w:sz="2" w:space="0"/>
              <w:bottom w:val="single" w:color="auto" w:sz="2" w:space="0"/>
              <w:right w:val="single" w:color="auto" w:sz="2" w:space="0"/>
            </w:tcBorders>
            <w:vAlign w:val="center"/>
          </w:tcPr>
          <w:p w14:paraId="138FE4E5">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6F16C612">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68D1AA74">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6AE207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2023年12月27日至2028年11月22日，履行债务期限届满之日起三年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30A16F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014830A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5B5B9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1085D9B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天亿马信息科技</w:t>
            </w:r>
          </w:p>
        </w:tc>
        <w:tc>
          <w:tcPr>
            <w:tcW w:w="544" w:type="pct"/>
            <w:tcBorders>
              <w:top w:val="single" w:color="auto" w:sz="2" w:space="0"/>
              <w:left w:val="single" w:color="auto" w:sz="2" w:space="0"/>
              <w:bottom w:val="single" w:color="auto" w:sz="2" w:space="0"/>
              <w:right w:val="single" w:color="auto" w:sz="2" w:space="0"/>
            </w:tcBorders>
            <w:vAlign w:val="center"/>
          </w:tcPr>
          <w:p w14:paraId="576CC4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438" w:type="pct"/>
            <w:tcBorders>
              <w:top w:val="single" w:color="auto" w:sz="2" w:space="0"/>
              <w:left w:val="single" w:color="auto" w:sz="2" w:space="0"/>
              <w:bottom w:val="single" w:color="auto" w:sz="2" w:space="0"/>
              <w:right w:val="single" w:color="auto" w:sz="2" w:space="0"/>
            </w:tcBorders>
            <w:vAlign w:val="center"/>
          </w:tcPr>
          <w:p w14:paraId="58418C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7,000</w:t>
            </w:r>
          </w:p>
        </w:tc>
        <w:tc>
          <w:tcPr>
            <w:tcW w:w="398" w:type="pct"/>
            <w:tcBorders>
              <w:top w:val="single" w:color="auto" w:sz="2" w:space="0"/>
              <w:left w:val="single" w:color="auto" w:sz="2" w:space="0"/>
              <w:bottom w:val="single" w:color="auto" w:sz="2" w:space="0"/>
              <w:right w:val="single" w:color="auto" w:sz="2" w:space="0"/>
            </w:tcBorders>
            <w:vAlign w:val="center"/>
          </w:tcPr>
          <w:p w14:paraId="352D14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2024年02月06日</w:t>
            </w:r>
          </w:p>
        </w:tc>
        <w:tc>
          <w:tcPr>
            <w:tcW w:w="599" w:type="pct"/>
            <w:tcBorders>
              <w:top w:val="single" w:color="auto" w:sz="2" w:space="0"/>
              <w:left w:val="single" w:color="auto" w:sz="2" w:space="0"/>
              <w:bottom w:val="single" w:color="auto" w:sz="2" w:space="0"/>
              <w:right w:val="single" w:color="auto" w:sz="2" w:space="0"/>
            </w:tcBorders>
            <w:vAlign w:val="center"/>
          </w:tcPr>
          <w:p w14:paraId="0D24D9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c>
          <w:tcPr>
            <w:tcW w:w="355" w:type="pct"/>
            <w:tcBorders>
              <w:top w:val="single" w:color="auto" w:sz="2" w:space="0"/>
              <w:left w:val="single" w:color="auto" w:sz="2" w:space="0"/>
              <w:bottom w:val="single" w:color="auto" w:sz="2" w:space="0"/>
              <w:right w:val="single" w:color="auto" w:sz="2" w:space="0"/>
            </w:tcBorders>
            <w:vAlign w:val="center"/>
          </w:tcPr>
          <w:p w14:paraId="4AF2CCE5">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2EDF3C9C">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05B9D3DF">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068031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5250B7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47DEA6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3809C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6971CC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数字产业</w:t>
            </w:r>
          </w:p>
        </w:tc>
        <w:tc>
          <w:tcPr>
            <w:tcW w:w="544" w:type="pct"/>
            <w:tcBorders>
              <w:top w:val="single" w:color="auto" w:sz="2" w:space="0"/>
              <w:left w:val="single" w:color="auto" w:sz="2" w:space="0"/>
              <w:bottom w:val="single" w:color="auto" w:sz="2" w:space="0"/>
              <w:right w:val="single" w:color="auto" w:sz="2" w:space="0"/>
            </w:tcBorders>
            <w:vAlign w:val="center"/>
          </w:tcPr>
          <w:p w14:paraId="4106767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438" w:type="pct"/>
            <w:tcBorders>
              <w:top w:val="single" w:color="auto" w:sz="2" w:space="0"/>
              <w:left w:val="single" w:color="auto" w:sz="2" w:space="0"/>
              <w:bottom w:val="single" w:color="auto" w:sz="2" w:space="0"/>
              <w:right w:val="single" w:color="auto" w:sz="2" w:space="0"/>
            </w:tcBorders>
            <w:vAlign w:val="center"/>
          </w:tcPr>
          <w:p w14:paraId="086943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2,000</w:t>
            </w:r>
          </w:p>
        </w:tc>
        <w:tc>
          <w:tcPr>
            <w:tcW w:w="398" w:type="pct"/>
            <w:tcBorders>
              <w:top w:val="single" w:color="auto" w:sz="2" w:space="0"/>
              <w:left w:val="single" w:color="auto" w:sz="2" w:space="0"/>
              <w:bottom w:val="single" w:color="auto" w:sz="2" w:space="0"/>
              <w:right w:val="single" w:color="auto" w:sz="2" w:space="0"/>
            </w:tcBorders>
            <w:vAlign w:val="center"/>
          </w:tcPr>
          <w:p w14:paraId="638DF158">
            <w:pPr>
              <w:spacing w:line="240" w:lineRule="exact"/>
              <w:rPr>
                <w:rFonts w:ascii="Times New Roman" w:hAnsi="Times New Roman" w:cs="Times New Roman" w:eastAsiaTheme="majorEastAsia"/>
                <w:sz w:val="18"/>
                <w:szCs w:val="18"/>
              </w:rPr>
            </w:pPr>
          </w:p>
        </w:tc>
        <w:tc>
          <w:tcPr>
            <w:tcW w:w="599" w:type="pct"/>
            <w:tcBorders>
              <w:top w:val="single" w:color="auto" w:sz="2" w:space="0"/>
              <w:left w:val="single" w:color="auto" w:sz="2" w:space="0"/>
              <w:bottom w:val="single" w:color="auto" w:sz="2" w:space="0"/>
              <w:right w:val="single" w:color="auto" w:sz="2" w:space="0"/>
            </w:tcBorders>
            <w:vAlign w:val="center"/>
          </w:tcPr>
          <w:p w14:paraId="583F8AFD">
            <w:pPr>
              <w:spacing w:line="240" w:lineRule="exact"/>
              <w:jc w:val="right"/>
              <w:rPr>
                <w:rFonts w:ascii="Times New Roman" w:hAnsi="Times New Roman" w:cs="Times New Roman" w:eastAsiaTheme="majorEastAsia"/>
                <w:sz w:val="18"/>
                <w:szCs w:val="18"/>
              </w:rPr>
            </w:pPr>
          </w:p>
        </w:tc>
        <w:tc>
          <w:tcPr>
            <w:tcW w:w="355" w:type="pct"/>
            <w:tcBorders>
              <w:top w:val="single" w:color="auto" w:sz="2" w:space="0"/>
              <w:left w:val="single" w:color="auto" w:sz="2" w:space="0"/>
              <w:bottom w:val="single" w:color="auto" w:sz="2" w:space="0"/>
              <w:right w:val="single" w:color="auto" w:sz="2" w:space="0"/>
            </w:tcBorders>
            <w:vAlign w:val="center"/>
          </w:tcPr>
          <w:p w14:paraId="113FA1A5">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53DC57B4">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47481DE5">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614A55E7">
            <w:pPr>
              <w:spacing w:line="240" w:lineRule="exact"/>
              <w:rPr>
                <w:rFonts w:ascii="Times New Roman" w:hAnsi="Times New Roman" w:cs="Times New Roman" w:eastAsiaTheme="majorEastAsia"/>
                <w:sz w:val="18"/>
                <w:szCs w:val="18"/>
              </w:rPr>
            </w:pPr>
          </w:p>
        </w:tc>
        <w:tc>
          <w:tcPr>
            <w:tcW w:w="288" w:type="pct"/>
            <w:tcBorders>
              <w:top w:val="single" w:color="auto" w:sz="2" w:space="0"/>
              <w:left w:val="single" w:color="auto" w:sz="2" w:space="0"/>
              <w:bottom w:val="single" w:color="auto" w:sz="2" w:space="0"/>
              <w:right w:val="single" w:color="auto" w:sz="2" w:space="0"/>
            </w:tcBorders>
            <w:vAlign w:val="center"/>
          </w:tcPr>
          <w:p w14:paraId="3D035A0C">
            <w:pPr>
              <w:spacing w:line="240" w:lineRule="exac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3F4843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35E42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6A5FCE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数字能源</w:t>
            </w:r>
          </w:p>
        </w:tc>
        <w:tc>
          <w:tcPr>
            <w:tcW w:w="544" w:type="pct"/>
            <w:tcBorders>
              <w:top w:val="single" w:color="auto" w:sz="2" w:space="0"/>
              <w:left w:val="single" w:color="auto" w:sz="2" w:space="0"/>
              <w:bottom w:val="single" w:color="auto" w:sz="2" w:space="0"/>
              <w:right w:val="single" w:color="auto" w:sz="2" w:space="0"/>
            </w:tcBorders>
            <w:vAlign w:val="center"/>
          </w:tcPr>
          <w:p w14:paraId="27DBFF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2024年04月29日</w:t>
            </w:r>
          </w:p>
        </w:tc>
        <w:tc>
          <w:tcPr>
            <w:tcW w:w="438" w:type="pct"/>
            <w:tcBorders>
              <w:top w:val="single" w:color="auto" w:sz="2" w:space="0"/>
              <w:left w:val="single" w:color="auto" w:sz="2" w:space="0"/>
              <w:bottom w:val="single" w:color="auto" w:sz="2" w:space="0"/>
              <w:right w:val="single" w:color="auto" w:sz="2" w:space="0"/>
            </w:tcBorders>
            <w:vAlign w:val="center"/>
          </w:tcPr>
          <w:p w14:paraId="3646C1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398" w:type="pct"/>
            <w:tcBorders>
              <w:top w:val="single" w:color="auto" w:sz="2" w:space="0"/>
              <w:left w:val="single" w:color="auto" w:sz="2" w:space="0"/>
              <w:bottom w:val="single" w:color="auto" w:sz="2" w:space="0"/>
              <w:right w:val="single" w:color="auto" w:sz="2" w:space="0"/>
            </w:tcBorders>
            <w:vAlign w:val="center"/>
          </w:tcPr>
          <w:p w14:paraId="219C83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2024年12月17日</w:t>
            </w:r>
          </w:p>
        </w:tc>
        <w:tc>
          <w:tcPr>
            <w:tcW w:w="599" w:type="pct"/>
            <w:tcBorders>
              <w:top w:val="single" w:color="auto" w:sz="2" w:space="0"/>
              <w:left w:val="single" w:color="auto" w:sz="2" w:space="0"/>
              <w:bottom w:val="single" w:color="auto" w:sz="2" w:space="0"/>
              <w:right w:val="single" w:color="auto" w:sz="2" w:space="0"/>
            </w:tcBorders>
            <w:vAlign w:val="center"/>
          </w:tcPr>
          <w:p w14:paraId="6C9443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3,700</w:t>
            </w:r>
          </w:p>
        </w:tc>
        <w:tc>
          <w:tcPr>
            <w:tcW w:w="355" w:type="pct"/>
            <w:tcBorders>
              <w:top w:val="single" w:color="auto" w:sz="2" w:space="0"/>
              <w:left w:val="single" w:color="auto" w:sz="2" w:space="0"/>
              <w:bottom w:val="single" w:color="auto" w:sz="2" w:space="0"/>
              <w:right w:val="single" w:color="auto" w:sz="2" w:space="0"/>
            </w:tcBorders>
            <w:vAlign w:val="center"/>
          </w:tcPr>
          <w:p w14:paraId="056CB2E8">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101CC9BF">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2EC84115">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05A318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5E88E7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3BEFF6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553E99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3E87F1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湖南天晨</w:t>
            </w:r>
          </w:p>
        </w:tc>
        <w:tc>
          <w:tcPr>
            <w:tcW w:w="544" w:type="pct"/>
            <w:tcBorders>
              <w:top w:val="single" w:color="auto" w:sz="2" w:space="0"/>
              <w:left w:val="single" w:color="auto" w:sz="2" w:space="0"/>
              <w:bottom w:val="single" w:color="auto" w:sz="2" w:space="0"/>
              <w:right w:val="single" w:color="auto" w:sz="2" w:space="0"/>
            </w:tcBorders>
            <w:vAlign w:val="center"/>
          </w:tcPr>
          <w:p w14:paraId="496AD5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2024年06月15日</w:t>
            </w:r>
          </w:p>
        </w:tc>
        <w:tc>
          <w:tcPr>
            <w:tcW w:w="438" w:type="pct"/>
            <w:tcBorders>
              <w:top w:val="single" w:color="auto" w:sz="2" w:space="0"/>
              <w:left w:val="single" w:color="auto" w:sz="2" w:space="0"/>
              <w:bottom w:val="single" w:color="auto" w:sz="2" w:space="0"/>
              <w:right w:val="single" w:color="auto" w:sz="2" w:space="0"/>
            </w:tcBorders>
            <w:vAlign w:val="center"/>
          </w:tcPr>
          <w:p w14:paraId="40227F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5,922</w:t>
            </w:r>
          </w:p>
        </w:tc>
        <w:tc>
          <w:tcPr>
            <w:tcW w:w="398" w:type="pct"/>
            <w:tcBorders>
              <w:top w:val="single" w:color="auto" w:sz="2" w:space="0"/>
              <w:left w:val="single" w:color="auto" w:sz="2" w:space="0"/>
              <w:bottom w:val="single" w:color="auto" w:sz="2" w:space="0"/>
              <w:right w:val="single" w:color="auto" w:sz="2" w:space="0"/>
            </w:tcBorders>
            <w:vAlign w:val="center"/>
          </w:tcPr>
          <w:p w14:paraId="33517B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2024年07月08日</w:t>
            </w:r>
          </w:p>
        </w:tc>
        <w:tc>
          <w:tcPr>
            <w:tcW w:w="599" w:type="pct"/>
            <w:tcBorders>
              <w:top w:val="single" w:color="auto" w:sz="2" w:space="0"/>
              <w:left w:val="single" w:color="auto" w:sz="2" w:space="0"/>
              <w:bottom w:val="single" w:color="auto" w:sz="2" w:space="0"/>
              <w:right w:val="single" w:color="auto" w:sz="2" w:space="0"/>
            </w:tcBorders>
            <w:vAlign w:val="center"/>
          </w:tcPr>
          <w:p w14:paraId="25D753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5,922</w:t>
            </w:r>
          </w:p>
        </w:tc>
        <w:tc>
          <w:tcPr>
            <w:tcW w:w="355" w:type="pct"/>
            <w:tcBorders>
              <w:top w:val="single" w:color="auto" w:sz="2" w:space="0"/>
              <w:left w:val="single" w:color="auto" w:sz="2" w:space="0"/>
              <w:bottom w:val="single" w:color="auto" w:sz="2" w:space="0"/>
              <w:right w:val="single" w:color="auto" w:sz="2" w:space="0"/>
            </w:tcBorders>
            <w:vAlign w:val="center"/>
          </w:tcPr>
          <w:p w14:paraId="22AE4DCC">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1A61EF9E">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62954687">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2379FD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2024年6月11日至2036年12月31日，履行债务期限届满之日起三年</w:t>
            </w:r>
          </w:p>
        </w:tc>
        <w:tc>
          <w:tcPr>
            <w:tcW w:w="288" w:type="pct"/>
            <w:tcBorders>
              <w:top w:val="single" w:color="auto" w:sz="2" w:space="0"/>
              <w:left w:val="single" w:color="auto" w:sz="2" w:space="0"/>
              <w:bottom w:val="single" w:color="auto" w:sz="2" w:space="0"/>
              <w:right w:val="single" w:color="auto" w:sz="2" w:space="0"/>
            </w:tcBorders>
            <w:vAlign w:val="center"/>
          </w:tcPr>
          <w:p w14:paraId="624ACF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c>
          <w:tcPr>
            <w:tcW w:w="322" w:type="pct"/>
            <w:tcBorders>
              <w:top w:val="single" w:color="auto" w:sz="2" w:space="0"/>
              <w:left w:val="single" w:color="auto" w:sz="2" w:space="0"/>
              <w:bottom w:val="single" w:color="auto" w:sz="2" w:space="0"/>
              <w:right w:val="single" w:color="auto" w:sz="2" w:space="0"/>
            </w:tcBorders>
            <w:vAlign w:val="center"/>
          </w:tcPr>
          <w:p w14:paraId="7040D4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7586AE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vAlign w:val="center"/>
          </w:tcPr>
          <w:p w14:paraId="4CB64B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深圳市天亿马信息技术有限公司</w:t>
            </w:r>
          </w:p>
        </w:tc>
        <w:tc>
          <w:tcPr>
            <w:tcW w:w="544" w:type="pct"/>
            <w:tcBorders>
              <w:top w:val="single" w:color="auto" w:sz="2" w:space="0"/>
              <w:left w:val="single" w:color="auto" w:sz="2" w:space="0"/>
              <w:bottom w:val="single" w:color="auto" w:sz="2" w:space="0"/>
              <w:right w:val="single" w:color="auto" w:sz="2" w:space="0"/>
            </w:tcBorders>
            <w:vAlign w:val="center"/>
          </w:tcPr>
          <w:p w14:paraId="5F2D1B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2024年12月12日</w:t>
            </w:r>
          </w:p>
        </w:tc>
        <w:tc>
          <w:tcPr>
            <w:tcW w:w="438" w:type="pct"/>
            <w:tcBorders>
              <w:top w:val="single" w:color="auto" w:sz="2" w:space="0"/>
              <w:left w:val="single" w:color="auto" w:sz="2" w:space="0"/>
              <w:bottom w:val="single" w:color="auto" w:sz="2" w:space="0"/>
              <w:right w:val="single" w:color="auto" w:sz="2" w:space="0"/>
            </w:tcBorders>
            <w:vAlign w:val="center"/>
          </w:tcPr>
          <w:p w14:paraId="0B1C68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26,900</w:t>
            </w:r>
          </w:p>
        </w:tc>
        <w:tc>
          <w:tcPr>
            <w:tcW w:w="398" w:type="pct"/>
            <w:tcBorders>
              <w:top w:val="single" w:color="auto" w:sz="2" w:space="0"/>
              <w:left w:val="single" w:color="auto" w:sz="2" w:space="0"/>
              <w:bottom w:val="single" w:color="auto" w:sz="2" w:space="0"/>
              <w:right w:val="single" w:color="auto" w:sz="2" w:space="0"/>
            </w:tcBorders>
            <w:vAlign w:val="center"/>
          </w:tcPr>
          <w:p w14:paraId="5959C7B1">
            <w:pPr>
              <w:spacing w:line="240" w:lineRule="exact"/>
              <w:rPr>
                <w:rFonts w:ascii="Times New Roman" w:hAnsi="Times New Roman" w:cs="Times New Roman" w:eastAsiaTheme="majorEastAsia"/>
                <w:sz w:val="18"/>
                <w:szCs w:val="18"/>
              </w:rPr>
            </w:pPr>
          </w:p>
        </w:tc>
        <w:tc>
          <w:tcPr>
            <w:tcW w:w="599" w:type="pct"/>
            <w:tcBorders>
              <w:top w:val="single" w:color="auto" w:sz="2" w:space="0"/>
              <w:left w:val="single" w:color="auto" w:sz="2" w:space="0"/>
              <w:bottom w:val="single" w:color="auto" w:sz="2" w:space="0"/>
              <w:right w:val="single" w:color="auto" w:sz="2" w:space="0"/>
            </w:tcBorders>
            <w:vAlign w:val="center"/>
          </w:tcPr>
          <w:p w14:paraId="27BFDEDD">
            <w:pPr>
              <w:spacing w:line="240" w:lineRule="exact"/>
              <w:jc w:val="right"/>
              <w:rPr>
                <w:rFonts w:ascii="Times New Roman" w:hAnsi="Times New Roman" w:cs="Times New Roman" w:eastAsiaTheme="majorEastAsia"/>
                <w:sz w:val="18"/>
                <w:szCs w:val="18"/>
              </w:rPr>
            </w:pPr>
          </w:p>
        </w:tc>
        <w:tc>
          <w:tcPr>
            <w:tcW w:w="355" w:type="pct"/>
            <w:tcBorders>
              <w:top w:val="single" w:color="auto" w:sz="2" w:space="0"/>
              <w:left w:val="single" w:color="auto" w:sz="2" w:space="0"/>
              <w:bottom w:val="single" w:color="auto" w:sz="2" w:space="0"/>
              <w:right w:val="single" w:color="auto" w:sz="2" w:space="0"/>
            </w:tcBorders>
            <w:vAlign w:val="center"/>
          </w:tcPr>
          <w:p w14:paraId="40CBB7D7">
            <w:pPr>
              <w:spacing w:line="240" w:lineRule="exact"/>
              <w:rPr>
                <w:rFonts w:ascii="Times New Roman" w:hAnsi="Times New Roman" w:cs="Times New Roman" w:eastAsiaTheme="majorEastAsia"/>
                <w:sz w:val="18"/>
                <w:szCs w:val="18"/>
              </w:rPr>
            </w:pPr>
          </w:p>
        </w:tc>
        <w:tc>
          <w:tcPr>
            <w:tcW w:w="379" w:type="pct"/>
            <w:tcBorders>
              <w:top w:val="single" w:color="auto" w:sz="2" w:space="0"/>
              <w:left w:val="single" w:color="auto" w:sz="2" w:space="0"/>
              <w:bottom w:val="single" w:color="auto" w:sz="2" w:space="0"/>
              <w:right w:val="single" w:color="auto" w:sz="2" w:space="0"/>
            </w:tcBorders>
            <w:vAlign w:val="center"/>
          </w:tcPr>
          <w:p w14:paraId="12396E27">
            <w:pPr>
              <w:spacing w:line="240" w:lineRule="exact"/>
              <w:rPr>
                <w:rFonts w:ascii="Times New Roman" w:hAnsi="Times New Roman" w:cs="Times New Roman" w:eastAsiaTheme="majorEastAsia"/>
                <w:sz w:val="18"/>
                <w:szCs w:val="18"/>
              </w:rPr>
            </w:pPr>
          </w:p>
        </w:tc>
        <w:tc>
          <w:tcPr>
            <w:tcW w:w="414" w:type="pct"/>
            <w:tcBorders>
              <w:top w:val="single" w:color="auto" w:sz="2" w:space="0"/>
              <w:left w:val="single" w:color="auto" w:sz="2" w:space="0"/>
              <w:bottom w:val="single" w:color="auto" w:sz="2" w:space="0"/>
              <w:right w:val="single" w:color="auto" w:sz="2" w:space="0"/>
            </w:tcBorders>
            <w:vAlign w:val="center"/>
          </w:tcPr>
          <w:p w14:paraId="11EFED81">
            <w:pPr>
              <w:spacing w:line="240" w:lineRule="exact"/>
              <w:rPr>
                <w:rFonts w:ascii="Times New Roman" w:hAnsi="Times New Roman" w:cs="Times New Roman" w:eastAsiaTheme="majorEastAsia"/>
                <w:sz w:val="18"/>
                <w:szCs w:val="18"/>
              </w:rPr>
            </w:pPr>
          </w:p>
        </w:tc>
        <w:tc>
          <w:tcPr>
            <w:tcW w:w="802" w:type="pct"/>
            <w:tcBorders>
              <w:top w:val="single" w:color="auto" w:sz="2" w:space="0"/>
              <w:left w:val="single" w:color="auto" w:sz="2" w:space="0"/>
              <w:bottom w:val="single" w:color="auto" w:sz="2" w:space="0"/>
              <w:right w:val="single" w:color="auto" w:sz="2" w:space="0"/>
            </w:tcBorders>
            <w:vAlign w:val="center"/>
          </w:tcPr>
          <w:p w14:paraId="244E780B">
            <w:pPr>
              <w:spacing w:line="240" w:lineRule="exact"/>
              <w:rPr>
                <w:rFonts w:ascii="Times New Roman" w:hAnsi="Times New Roman" w:cs="Times New Roman" w:eastAsiaTheme="majorEastAsia"/>
                <w:sz w:val="18"/>
                <w:szCs w:val="18"/>
              </w:rPr>
            </w:pPr>
          </w:p>
        </w:tc>
        <w:tc>
          <w:tcPr>
            <w:tcW w:w="288" w:type="pct"/>
            <w:tcBorders>
              <w:top w:val="single" w:color="auto" w:sz="2" w:space="0"/>
              <w:left w:val="single" w:color="auto" w:sz="2" w:space="0"/>
              <w:bottom w:val="single" w:color="auto" w:sz="2" w:space="0"/>
              <w:right w:val="single" w:color="auto" w:sz="2" w:space="0"/>
            </w:tcBorders>
            <w:vAlign w:val="center"/>
          </w:tcPr>
          <w:p w14:paraId="443F53C3">
            <w:pPr>
              <w:spacing w:line="240" w:lineRule="exac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78B9863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968F3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91DF62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报告期内审批对子公司担保额度合计（B1）</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5090EE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60,822</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C0DBC8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报告期内对子公司担保实际发生额合计（B2）</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51C906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11,622</w:t>
            </w:r>
          </w:p>
        </w:tc>
      </w:tr>
      <w:tr w14:paraId="2130A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EB06F5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报告期末已审批的对子公司担保额度合计（B3）</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4E5C3E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75,016.8</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E162F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报告期末对子公司实际担保余额合计（B4）</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14C0615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19,445.03</w:t>
            </w:r>
          </w:p>
        </w:tc>
      </w:tr>
      <w:tr w14:paraId="5EB9E2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114B6B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子公司对子公司的担保情况</w:t>
            </w:r>
          </w:p>
        </w:tc>
      </w:tr>
      <w:tr w14:paraId="004E39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62" w:type="pct"/>
            <w:tcBorders>
              <w:top w:val="single" w:color="auto" w:sz="2" w:space="0"/>
              <w:left w:val="single" w:color="auto" w:sz="2" w:space="0"/>
              <w:bottom w:val="single" w:color="auto" w:sz="2" w:space="0"/>
              <w:right w:val="single" w:color="auto" w:sz="2" w:space="0"/>
            </w:tcBorders>
            <w:shd w:val="clear" w:color="auto" w:fill="D3D3D3"/>
            <w:vAlign w:val="center"/>
          </w:tcPr>
          <w:p w14:paraId="19D6CC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担保对象名称</w:t>
            </w:r>
          </w:p>
        </w:tc>
        <w:tc>
          <w:tcPr>
            <w:tcW w:w="544" w:type="pct"/>
            <w:tcBorders>
              <w:top w:val="single" w:color="auto" w:sz="2" w:space="0"/>
              <w:left w:val="single" w:color="auto" w:sz="2" w:space="0"/>
              <w:bottom w:val="single" w:color="auto" w:sz="2" w:space="0"/>
              <w:right w:val="single" w:color="auto" w:sz="2" w:space="0"/>
            </w:tcBorders>
            <w:shd w:val="clear" w:color="auto" w:fill="D3D3D3"/>
            <w:vAlign w:val="center"/>
          </w:tcPr>
          <w:p w14:paraId="74F137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担保额度相关公告披露日期</w:t>
            </w:r>
          </w:p>
        </w:tc>
        <w:tc>
          <w:tcPr>
            <w:tcW w:w="438" w:type="pct"/>
            <w:tcBorders>
              <w:top w:val="single" w:color="auto" w:sz="2" w:space="0"/>
              <w:left w:val="single" w:color="auto" w:sz="2" w:space="0"/>
              <w:bottom w:val="single" w:color="auto" w:sz="2" w:space="0"/>
              <w:right w:val="single" w:color="auto" w:sz="2" w:space="0"/>
            </w:tcBorders>
            <w:shd w:val="clear" w:color="auto" w:fill="D3D3D3"/>
            <w:vAlign w:val="center"/>
          </w:tcPr>
          <w:p w14:paraId="67C321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担保额度</w:t>
            </w:r>
          </w:p>
        </w:tc>
        <w:tc>
          <w:tcPr>
            <w:tcW w:w="398" w:type="pct"/>
            <w:tcBorders>
              <w:top w:val="single" w:color="auto" w:sz="2" w:space="0"/>
              <w:left w:val="single" w:color="auto" w:sz="2" w:space="0"/>
              <w:bottom w:val="single" w:color="auto" w:sz="2" w:space="0"/>
              <w:right w:val="single" w:color="auto" w:sz="2" w:space="0"/>
            </w:tcBorders>
            <w:shd w:val="clear" w:color="auto" w:fill="D3D3D3"/>
            <w:vAlign w:val="center"/>
          </w:tcPr>
          <w:p w14:paraId="67F9F1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实际发生日期</w:t>
            </w:r>
          </w:p>
        </w:tc>
        <w:tc>
          <w:tcPr>
            <w:tcW w:w="599" w:type="pct"/>
            <w:tcBorders>
              <w:top w:val="single" w:color="auto" w:sz="2" w:space="0"/>
              <w:left w:val="single" w:color="auto" w:sz="2" w:space="0"/>
              <w:bottom w:val="single" w:color="auto" w:sz="2" w:space="0"/>
              <w:right w:val="single" w:color="auto" w:sz="2" w:space="0"/>
            </w:tcBorders>
            <w:shd w:val="clear" w:color="auto" w:fill="D3D3D3"/>
            <w:vAlign w:val="center"/>
          </w:tcPr>
          <w:p w14:paraId="3C52B0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实际担保金额</w:t>
            </w:r>
          </w:p>
        </w:tc>
        <w:tc>
          <w:tcPr>
            <w:tcW w:w="355" w:type="pct"/>
            <w:tcBorders>
              <w:top w:val="single" w:color="auto" w:sz="2" w:space="0"/>
              <w:left w:val="single" w:color="auto" w:sz="2" w:space="0"/>
              <w:bottom w:val="single" w:color="auto" w:sz="2" w:space="0"/>
              <w:right w:val="single" w:color="auto" w:sz="2" w:space="0"/>
            </w:tcBorders>
            <w:shd w:val="clear" w:color="auto" w:fill="D3D3D3"/>
            <w:vAlign w:val="center"/>
          </w:tcPr>
          <w:p w14:paraId="2D1F1A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担保类型</w:t>
            </w:r>
          </w:p>
        </w:tc>
        <w:tc>
          <w:tcPr>
            <w:tcW w:w="379" w:type="pct"/>
            <w:tcBorders>
              <w:top w:val="single" w:color="auto" w:sz="2" w:space="0"/>
              <w:left w:val="single" w:color="auto" w:sz="2" w:space="0"/>
              <w:bottom w:val="single" w:color="auto" w:sz="2" w:space="0"/>
              <w:right w:val="single" w:color="auto" w:sz="2" w:space="0"/>
            </w:tcBorders>
            <w:shd w:val="clear" w:color="auto" w:fill="D3D3D3"/>
            <w:vAlign w:val="center"/>
          </w:tcPr>
          <w:p w14:paraId="0F674A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担保物（如有）</w:t>
            </w:r>
          </w:p>
        </w:tc>
        <w:tc>
          <w:tcPr>
            <w:tcW w:w="414" w:type="pct"/>
            <w:tcBorders>
              <w:top w:val="single" w:color="auto" w:sz="2" w:space="0"/>
              <w:left w:val="single" w:color="auto" w:sz="2" w:space="0"/>
              <w:bottom w:val="single" w:color="auto" w:sz="2" w:space="0"/>
              <w:right w:val="single" w:color="auto" w:sz="2" w:space="0"/>
            </w:tcBorders>
            <w:shd w:val="clear" w:color="auto" w:fill="D3D3D3"/>
            <w:vAlign w:val="center"/>
          </w:tcPr>
          <w:p w14:paraId="77A844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反担保情况（如有）</w:t>
            </w:r>
          </w:p>
        </w:tc>
        <w:tc>
          <w:tcPr>
            <w:tcW w:w="802" w:type="pct"/>
            <w:tcBorders>
              <w:top w:val="single" w:color="auto" w:sz="2" w:space="0"/>
              <w:left w:val="single" w:color="auto" w:sz="2" w:space="0"/>
              <w:bottom w:val="single" w:color="auto" w:sz="2" w:space="0"/>
              <w:right w:val="single" w:color="auto" w:sz="2" w:space="0"/>
            </w:tcBorders>
            <w:shd w:val="clear" w:color="auto" w:fill="D3D3D3"/>
            <w:vAlign w:val="center"/>
          </w:tcPr>
          <w:p w14:paraId="5F1F27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担保期</w:t>
            </w:r>
          </w:p>
        </w:tc>
        <w:tc>
          <w:tcPr>
            <w:tcW w:w="288" w:type="pct"/>
            <w:tcBorders>
              <w:top w:val="single" w:color="auto" w:sz="2" w:space="0"/>
              <w:left w:val="single" w:color="auto" w:sz="2" w:space="0"/>
              <w:bottom w:val="single" w:color="auto" w:sz="2" w:space="0"/>
              <w:right w:val="single" w:color="auto" w:sz="2" w:space="0"/>
            </w:tcBorders>
            <w:shd w:val="clear" w:color="auto" w:fill="D3D3D3"/>
            <w:vAlign w:val="center"/>
          </w:tcPr>
          <w:p w14:paraId="62ECF9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是否履行完毕</w:t>
            </w:r>
          </w:p>
        </w:tc>
        <w:tc>
          <w:tcPr>
            <w:tcW w:w="322" w:type="pct"/>
            <w:tcBorders>
              <w:top w:val="single" w:color="auto" w:sz="2" w:space="0"/>
              <w:left w:val="single" w:color="auto" w:sz="2" w:space="0"/>
              <w:bottom w:val="single" w:color="auto" w:sz="2" w:space="0"/>
              <w:right w:val="single" w:color="auto" w:sz="2" w:space="0"/>
            </w:tcBorders>
            <w:shd w:val="clear" w:color="auto" w:fill="D3D3D3"/>
            <w:vAlign w:val="center"/>
          </w:tcPr>
          <w:p w14:paraId="1CC75D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是否为关联方担保</w:t>
            </w:r>
          </w:p>
        </w:tc>
      </w:tr>
      <w:tr w14:paraId="739A9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34B1BFE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公司担保总额（即前三大项的合计）</w:t>
            </w:r>
          </w:p>
        </w:tc>
      </w:tr>
      <w:tr w14:paraId="0EAB52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A4B87D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报告期内审批担保额度合计（A1+B1+C1）</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4A78DE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60,822</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C307B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报告期内担保实际发生额合计（A2+B2+C2）</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3E649C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11,622</w:t>
            </w:r>
          </w:p>
        </w:tc>
      </w:tr>
      <w:tr w14:paraId="2849EE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E4B9F8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报告期末已审批的担保额度合计（A3+B3+C3）</w:t>
            </w:r>
          </w:p>
        </w:tc>
        <w:tc>
          <w:tcPr>
            <w:tcW w:w="836" w:type="pct"/>
            <w:gridSpan w:val="2"/>
            <w:tcBorders>
              <w:top w:val="single" w:color="auto" w:sz="2" w:space="0"/>
              <w:left w:val="single" w:color="auto" w:sz="2" w:space="0"/>
              <w:bottom w:val="single" w:color="auto" w:sz="2" w:space="0"/>
              <w:right w:val="single" w:color="auto" w:sz="2" w:space="0"/>
            </w:tcBorders>
            <w:vAlign w:val="center"/>
          </w:tcPr>
          <w:p w14:paraId="5C5D11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75,016.8</w:t>
            </w:r>
          </w:p>
        </w:tc>
        <w:tc>
          <w:tcPr>
            <w:tcW w:w="954"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9EBED1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报告期末实际担保余额合计（A4+B4+C4）</w:t>
            </w:r>
          </w:p>
        </w:tc>
        <w:tc>
          <w:tcPr>
            <w:tcW w:w="2204" w:type="pct"/>
            <w:gridSpan w:val="5"/>
            <w:tcBorders>
              <w:top w:val="single" w:color="auto" w:sz="2" w:space="0"/>
              <w:left w:val="single" w:color="auto" w:sz="2" w:space="0"/>
              <w:bottom w:val="single" w:color="auto" w:sz="2" w:space="0"/>
              <w:right w:val="single" w:color="auto" w:sz="2" w:space="0"/>
            </w:tcBorders>
            <w:vAlign w:val="center"/>
          </w:tcPr>
          <w:p w14:paraId="58130C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19,445.03</w:t>
            </w:r>
          </w:p>
        </w:tc>
      </w:tr>
      <w:tr w14:paraId="64D076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842"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7A9A3D6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实际担保总额（即A4+B4+C4）占公司净资产的比例</w:t>
            </w:r>
          </w:p>
        </w:tc>
        <w:tc>
          <w:tcPr>
            <w:tcW w:w="3158" w:type="pct"/>
            <w:gridSpan w:val="7"/>
            <w:tcBorders>
              <w:top w:val="single" w:color="auto" w:sz="2" w:space="0"/>
              <w:left w:val="single" w:color="auto" w:sz="2" w:space="0"/>
              <w:bottom w:val="single" w:color="auto" w:sz="2" w:space="0"/>
              <w:right w:val="single" w:color="auto" w:sz="2" w:space="0"/>
            </w:tcBorders>
            <w:vAlign w:val="center"/>
          </w:tcPr>
          <w:p w14:paraId="398C16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25.64%</w:t>
            </w:r>
          </w:p>
        </w:tc>
      </w:tr>
      <w:tr w14:paraId="064368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76583F5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6B4112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842"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8F2F2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直接或间接为资产负债率超过70%的被担保对象提供的债务担保余额（E）</w:t>
            </w:r>
          </w:p>
        </w:tc>
        <w:tc>
          <w:tcPr>
            <w:tcW w:w="3158" w:type="pct"/>
            <w:gridSpan w:val="7"/>
            <w:tcBorders>
              <w:top w:val="single" w:color="auto" w:sz="2" w:space="0"/>
              <w:left w:val="single" w:color="auto" w:sz="2" w:space="0"/>
              <w:bottom w:val="single" w:color="auto" w:sz="2" w:space="0"/>
              <w:right w:val="single" w:color="auto" w:sz="2" w:space="0"/>
            </w:tcBorders>
            <w:vAlign w:val="center"/>
          </w:tcPr>
          <w:p w14:paraId="4E845D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9,622</w:t>
            </w:r>
          </w:p>
        </w:tc>
      </w:tr>
      <w:tr w14:paraId="745262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842"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A4B488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上述三项担保金额合计（D+E+F）</w:t>
            </w:r>
          </w:p>
        </w:tc>
        <w:tc>
          <w:tcPr>
            <w:tcW w:w="3158" w:type="pct"/>
            <w:gridSpan w:val="7"/>
            <w:tcBorders>
              <w:top w:val="single" w:color="auto" w:sz="2" w:space="0"/>
              <w:left w:val="single" w:color="auto" w:sz="2" w:space="0"/>
              <w:bottom w:val="single" w:color="auto" w:sz="2" w:space="0"/>
              <w:right w:val="single" w:color="auto" w:sz="2" w:space="0"/>
            </w:tcBorders>
            <w:vAlign w:val="center"/>
          </w:tcPr>
          <w:p w14:paraId="5AAAD2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9,622</w:t>
            </w:r>
          </w:p>
        </w:tc>
      </w:tr>
    </w:tbl>
    <w:p w14:paraId="5B35A98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采用复合方式担保的具体情况说明</w:t>
      </w:r>
    </w:p>
    <w:p w14:paraId="3FDE499E">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62A0F1FD">
      <w:pPr>
        <w:pStyle w:val="3"/>
        <w:spacing w:line="280" w:lineRule="exact"/>
        <w:jc w:val="left"/>
        <w:rPr>
          <w:rFonts w:ascii="Times New Roman" w:hAnsi="Times New Roman" w:cs="Times New Roman" w:eastAsiaTheme="majorEastAsia"/>
          <w:b/>
          <w:bCs/>
        </w:rPr>
      </w:pPr>
      <w:bookmarkStart w:id="127" w:name="_Toc989016"/>
      <w:r>
        <w:rPr>
          <w:rFonts w:ascii="Times New Roman" w:hAnsi="Times New Roman" w:cs="Times New Roman" w:eastAsiaTheme="majorEastAsia"/>
          <w:b/>
          <w:bCs/>
        </w:rPr>
        <w:t>3、委托他人进行现金资产管理情况</w:t>
      </w:r>
      <w:bookmarkEnd w:id="127"/>
    </w:p>
    <w:p w14:paraId="73C6A38A">
      <w:pPr>
        <w:keepNext/>
        <w:keepLines/>
        <w:spacing w:before="300" w:after="300" w:line="280" w:lineRule="exact"/>
        <w:outlineLvl w:val="3"/>
        <w:rPr>
          <w:rFonts w:ascii="Times New Roman" w:hAnsi="Times New Roman" w:cs="Times New Roman" w:eastAsiaTheme="majorEastAsia"/>
          <w:b/>
          <w:bCs/>
          <w:sz w:val="18"/>
          <w:szCs w:val="18"/>
        </w:rPr>
      </w:pPr>
      <w:bookmarkStart w:id="128" w:name="_Toc989017"/>
      <w:r>
        <w:rPr>
          <w:rFonts w:ascii="Times New Roman" w:hAnsi="Times New Roman" w:cs="Times New Roman" w:eastAsiaTheme="majorEastAsia"/>
          <w:b/>
          <w:bCs/>
          <w:sz w:val="18"/>
          <w:szCs w:val="18"/>
        </w:rPr>
        <w:t>（1） 委托理财情况</w:t>
      </w:r>
      <w:bookmarkEnd w:id="128"/>
    </w:p>
    <w:p w14:paraId="03F3BFB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037C1CA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报告期内委托理财概况</w:t>
      </w:r>
    </w:p>
    <w:p w14:paraId="11C1A058">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单位：万元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8"/>
        <w:gridCol w:w="1606"/>
        <w:gridCol w:w="1606"/>
        <w:gridCol w:w="1606"/>
        <w:gridCol w:w="1606"/>
      </w:tblGrid>
      <w:tr w14:paraId="7B07F7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321864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具体类型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328F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委托理财的资金来源</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F8657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委托理财发生额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4D81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未到期余额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E1FF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逾期未收回的金额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21BF9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逾期未收回理财已计提减值金额</w:t>
            </w:r>
          </w:p>
        </w:tc>
      </w:tr>
      <w:tr w14:paraId="169565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EAB47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银行理财产品</w:t>
            </w:r>
          </w:p>
        </w:tc>
        <w:tc>
          <w:tcPr>
            <w:tcW w:w="1606" w:type="dxa"/>
            <w:tcBorders>
              <w:top w:val="single" w:color="auto" w:sz="2" w:space="0"/>
              <w:left w:val="single" w:color="auto" w:sz="2" w:space="0"/>
              <w:bottom w:val="single" w:color="auto" w:sz="2" w:space="0"/>
              <w:right w:val="single" w:color="auto" w:sz="2" w:space="0"/>
            </w:tcBorders>
            <w:vAlign w:val="center"/>
          </w:tcPr>
          <w:p w14:paraId="2F44FB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w:t>
            </w:r>
          </w:p>
        </w:tc>
        <w:tc>
          <w:tcPr>
            <w:tcW w:w="1606" w:type="dxa"/>
            <w:tcBorders>
              <w:top w:val="single" w:color="auto" w:sz="2" w:space="0"/>
              <w:left w:val="single" w:color="auto" w:sz="2" w:space="0"/>
              <w:bottom w:val="single" w:color="auto" w:sz="2" w:space="0"/>
              <w:right w:val="single" w:color="auto" w:sz="2" w:space="0"/>
            </w:tcBorders>
            <w:vAlign w:val="center"/>
          </w:tcPr>
          <w:p w14:paraId="78E1BB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25,009.74</w:t>
            </w:r>
          </w:p>
        </w:tc>
        <w:tc>
          <w:tcPr>
            <w:tcW w:w="1606" w:type="dxa"/>
            <w:tcBorders>
              <w:top w:val="single" w:color="auto" w:sz="2" w:space="0"/>
              <w:left w:val="single" w:color="auto" w:sz="2" w:space="0"/>
              <w:bottom w:val="single" w:color="auto" w:sz="2" w:space="0"/>
              <w:right w:val="single" w:color="auto" w:sz="2" w:space="0"/>
            </w:tcBorders>
            <w:vAlign w:val="center"/>
          </w:tcPr>
          <w:p w14:paraId="21A76C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5,000.06</w:t>
            </w:r>
          </w:p>
        </w:tc>
        <w:tc>
          <w:tcPr>
            <w:tcW w:w="1606" w:type="dxa"/>
            <w:tcBorders>
              <w:top w:val="single" w:color="auto" w:sz="2" w:space="0"/>
              <w:left w:val="single" w:color="auto" w:sz="2" w:space="0"/>
              <w:bottom w:val="single" w:color="auto" w:sz="2" w:space="0"/>
              <w:right w:val="single" w:color="auto" w:sz="2" w:space="0"/>
            </w:tcBorders>
            <w:vAlign w:val="center"/>
          </w:tcPr>
          <w:p w14:paraId="107EC8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606" w:type="dxa"/>
            <w:tcBorders>
              <w:top w:val="single" w:color="auto" w:sz="2" w:space="0"/>
              <w:left w:val="single" w:color="auto" w:sz="2" w:space="0"/>
              <w:bottom w:val="single" w:color="auto" w:sz="2" w:space="0"/>
              <w:right w:val="single" w:color="auto" w:sz="2" w:space="0"/>
            </w:tcBorders>
            <w:vAlign w:val="center"/>
          </w:tcPr>
          <w:p w14:paraId="51184D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593DF4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4A036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银行理财产品</w:t>
            </w:r>
          </w:p>
        </w:tc>
        <w:tc>
          <w:tcPr>
            <w:tcW w:w="1606" w:type="dxa"/>
            <w:tcBorders>
              <w:top w:val="single" w:color="auto" w:sz="2" w:space="0"/>
              <w:left w:val="single" w:color="auto" w:sz="2" w:space="0"/>
              <w:bottom w:val="single" w:color="auto" w:sz="2" w:space="0"/>
              <w:right w:val="single" w:color="auto" w:sz="2" w:space="0"/>
            </w:tcBorders>
            <w:vAlign w:val="center"/>
          </w:tcPr>
          <w:p w14:paraId="13B693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募集资金</w:t>
            </w:r>
          </w:p>
        </w:tc>
        <w:tc>
          <w:tcPr>
            <w:tcW w:w="1606" w:type="dxa"/>
            <w:tcBorders>
              <w:top w:val="single" w:color="auto" w:sz="2" w:space="0"/>
              <w:left w:val="single" w:color="auto" w:sz="2" w:space="0"/>
              <w:bottom w:val="single" w:color="auto" w:sz="2" w:space="0"/>
              <w:right w:val="single" w:color="auto" w:sz="2" w:space="0"/>
            </w:tcBorders>
            <w:vAlign w:val="center"/>
          </w:tcPr>
          <w:p w14:paraId="538075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c>
          <w:tcPr>
            <w:tcW w:w="1606" w:type="dxa"/>
            <w:tcBorders>
              <w:top w:val="single" w:color="auto" w:sz="2" w:space="0"/>
              <w:left w:val="single" w:color="auto" w:sz="2" w:space="0"/>
              <w:bottom w:val="single" w:color="auto" w:sz="2" w:space="0"/>
              <w:right w:val="single" w:color="auto" w:sz="2" w:space="0"/>
            </w:tcBorders>
            <w:vAlign w:val="center"/>
          </w:tcPr>
          <w:p w14:paraId="7BB60C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c>
          <w:tcPr>
            <w:tcW w:w="1606" w:type="dxa"/>
            <w:tcBorders>
              <w:top w:val="single" w:color="auto" w:sz="2" w:space="0"/>
              <w:left w:val="single" w:color="auto" w:sz="2" w:space="0"/>
              <w:bottom w:val="single" w:color="auto" w:sz="2" w:space="0"/>
              <w:right w:val="single" w:color="auto" w:sz="2" w:space="0"/>
            </w:tcBorders>
            <w:vAlign w:val="center"/>
          </w:tcPr>
          <w:p w14:paraId="193278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606" w:type="dxa"/>
            <w:tcBorders>
              <w:top w:val="single" w:color="auto" w:sz="2" w:space="0"/>
              <w:left w:val="single" w:color="auto" w:sz="2" w:space="0"/>
              <w:bottom w:val="single" w:color="auto" w:sz="2" w:space="0"/>
              <w:right w:val="single" w:color="auto" w:sz="2" w:space="0"/>
            </w:tcBorders>
            <w:vAlign w:val="center"/>
          </w:tcPr>
          <w:p w14:paraId="2A699C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06B83B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D37B6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银行理财产品</w:t>
            </w:r>
          </w:p>
        </w:tc>
        <w:tc>
          <w:tcPr>
            <w:tcW w:w="1606" w:type="dxa"/>
            <w:tcBorders>
              <w:top w:val="single" w:color="auto" w:sz="2" w:space="0"/>
              <w:left w:val="single" w:color="auto" w:sz="2" w:space="0"/>
              <w:bottom w:val="single" w:color="auto" w:sz="2" w:space="0"/>
              <w:right w:val="single" w:color="auto" w:sz="2" w:space="0"/>
            </w:tcBorders>
            <w:vAlign w:val="center"/>
          </w:tcPr>
          <w:p w14:paraId="0310E0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自有资金</w:t>
            </w:r>
          </w:p>
        </w:tc>
        <w:tc>
          <w:tcPr>
            <w:tcW w:w="1606" w:type="dxa"/>
            <w:tcBorders>
              <w:top w:val="single" w:color="auto" w:sz="2" w:space="0"/>
              <w:left w:val="single" w:color="auto" w:sz="2" w:space="0"/>
              <w:bottom w:val="single" w:color="auto" w:sz="2" w:space="0"/>
              <w:right w:val="single" w:color="auto" w:sz="2" w:space="0"/>
            </w:tcBorders>
            <w:vAlign w:val="center"/>
          </w:tcPr>
          <w:p w14:paraId="6906B6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9,587.29</w:t>
            </w:r>
          </w:p>
        </w:tc>
        <w:tc>
          <w:tcPr>
            <w:tcW w:w="1606" w:type="dxa"/>
            <w:tcBorders>
              <w:top w:val="single" w:color="auto" w:sz="2" w:space="0"/>
              <w:left w:val="single" w:color="auto" w:sz="2" w:space="0"/>
              <w:bottom w:val="single" w:color="auto" w:sz="2" w:space="0"/>
              <w:right w:val="single" w:color="auto" w:sz="2" w:space="0"/>
            </w:tcBorders>
            <w:vAlign w:val="center"/>
          </w:tcPr>
          <w:p w14:paraId="07CF55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2,188.09</w:t>
            </w:r>
          </w:p>
        </w:tc>
        <w:tc>
          <w:tcPr>
            <w:tcW w:w="1606" w:type="dxa"/>
            <w:tcBorders>
              <w:top w:val="single" w:color="auto" w:sz="2" w:space="0"/>
              <w:left w:val="single" w:color="auto" w:sz="2" w:space="0"/>
              <w:bottom w:val="single" w:color="auto" w:sz="2" w:space="0"/>
              <w:right w:val="single" w:color="auto" w:sz="2" w:space="0"/>
            </w:tcBorders>
            <w:vAlign w:val="center"/>
          </w:tcPr>
          <w:p w14:paraId="01FE7A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606" w:type="dxa"/>
            <w:tcBorders>
              <w:top w:val="single" w:color="auto" w:sz="2" w:space="0"/>
              <w:left w:val="single" w:color="auto" w:sz="2" w:space="0"/>
              <w:bottom w:val="single" w:color="auto" w:sz="2" w:space="0"/>
              <w:right w:val="single" w:color="auto" w:sz="2" w:space="0"/>
            </w:tcBorders>
            <w:vAlign w:val="center"/>
          </w:tcPr>
          <w:p w14:paraId="76A46A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204639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4D9DE2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24ADB9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35,597.03</w:t>
            </w:r>
          </w:p>
        </w:tc>
        <w:tc>
          <w:tcPr>
            <w:tcW w:w="1606" w:type="dxa"/>
            <w:tcBorders>
              <w:top w:val="single" w:color="auto" w:sz="2" w:space="0"/>
              <w:left w:val="single" w:color="auto" w:sz="2" w:space="0"/>
              <w:bottom w:val="single" w:color="auto" w:sz="2" w:space="0"/>
              <w:right w:val="single" w:color="auto" w:sz="2" w:space="0"/>
            </w:tcBorders>
            <w:vAlign w:val="center"/>
          </w:tcPr>
          <w:p w14:paraId="4B96AE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8,188.15</w:t>
            </w:r>
          </w:p>
        </w:tc>
        <w:tc>
          <w:tcPr>
            <w:tcW w:w="1606" w:type="dxa"/>
            <w:tcBorders>
              <w:top w:val="single" w:color="auto" w:sz="2" w:space="0"/>
              <w:left w:val="single" w:color="auto" w:sz="2" w:space="0"/>
              <w:bottom w:val="single" w:color="auto" w:sz="2" w:space="0"/>
              <w:right w:val="single" w:color="auto" w:sz="2" w:space="0"/>
            </w:tcBorders>
            <w:vAlign w:val="center"/>
          </w:tcPr>
          <w:p w14:paraId="40AAB7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606" w:type="dxa"/>
            <w:tcBorders>
              <w:top w:val="single" w:color="auto" w:sz="2" w:space="0"/>
              <w:left w:val="single" w:color="auto" w:sz="2" w:space="0"/>
              <w:bottom w:val="single" w:color="auto" w:sz="2" w:space="0"/>
              <w:right w:val="single" w:color="auto" w:sz="2" w:space="0"/>
            </w:tcBorders>
            <w:vAlign w:val="center"/>
          </w:tcPr>
          <w:p w14:paraId="4042FA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bl>
    <w:p w14:paraId="182F921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单项金额重大或安全性较低、流动性较差的高风险委托理财具体情况</w:t>
      </w:r>
    </w:p>
    <w:p w14:paraId="4692126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43790C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委托理财出现预期无法收回本金或存在其他可能导致减值的情形</w:t>
      </w:r>
    </w:p>
    <w:p w14:paraId="0F24CB3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AE08913">
      <w:pPr>
        <w:keepNext/>
        <w:keepLines/>
        <w:spacing w:before="300" w:after="300" w:line="280" w:lineRule="exact"/>
        <w:outlineLvl w:val="3"/>
        <w:rPr>
          <w:rFonts w:ascii="Times New Roman" w:hAnsi="Times New Roman" w:cs="Times New Roman" w:eastAsiaTheme="majorEastAsia"/>
          <w:b/>
          <w:bCs/>
          <w:sz w:val="18"/>
          <w:szCs w:val="18"/>
        </w:rPr>
      </w:pPr>
      <w:bookmarkStart w:id="129" w:name="_Toc989018"/>
      <w:r>
        <w:rPr>
          <w:rFonts w:ascii="Times New Roman" w:hAnsi="Times New Roman" w:cs="Times New Roman" w:eastAsiaTheme="majorEastAsia"/>
          <w:b/>
          <w:bCs/>
          <w:sz w:val="18"/>
          <w:szCs w:val="18"/>
        </w:rPr>
        <w:t>（2） 委托贷款情况</w:t>
      </w:r>
      <w:bookmarkEnd w:id="129"/>
    </w:p>
    <w:p w14:paraId="7817979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F0A9A7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公司报告期不存在委托贷款。</w:t>
      </w:r>
    </w:p>
    <w:p w14:paraId="0685C406">
      <w:pPr>
        <w:pStyle w:val="3"/>
        <w:spacing w:line="280" w:lineRule="exact"/>
        <w:jc w:val="left"/>
        <w:rPr>
          <w:rFonts w:ascii="Times New Roman" w:hAnsi="Times New Roman" w:cs="Times New Roman" w:eastAsiaTheme="majorEastAsia"/>
          <w:b/>
          <w:bCs/>
        </w:rPr>
      </w:pPr>
      <w:bookmarkStart w:id="130" w:name="_Toc989019"/>
      <w:r>
        <w:rPr>
          <w:rFonts w:ascii="Times New Roman" w:hAnsi="Times New Roman" w:cs="Times New Roman" w:eastAsiaTheme="majorEastAsia"/>
          <w:b/>
          <w:bCs/>
        </w:rPr>
        <w:t>4、其他重大合同</w:t>
      </w:r>
      <w:bookmarkEnd w:id="130"/>
    </w:p>
    <w:p w14:paraId="71936A6A">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DB07DD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公司报告期不存在其他重大合同。</w:t>
      </w:r>
    </w:p>
    <w:p w14:paraId="4B2B5E7B">
      <w:pPr>
        <w:pStyle w:val="2"/>
        <w:spacing w:before="300" w:after="300" w:line="320" w:lineRule="exact"/>
        <w:rPr>
          <w:rFonts w:ascii="Times New Roman" w:hAnsi="Times New Roman" w:cs="Times New Roman" w:eastAsiaTheme="majorEastAsia"/>
          <w:b/>
          <w:bCs/>
          <w:sz w:val="24"/>
          <w:szCs w:val="24"/>
        </w:rPr>
      </w:pPr>
      <w:bookmarkStart w:id="131" w:name="_Toc989020"/>
      <w:r>
        <w:rPr>
          <w:rFonts w:ascii="Times New Roman" w:hAnsi="Times New Roman" w:cs="Times New Roman" w:eastAsiaTheme="majorEastAsia"/>
          <w:b/>
          <w:bCs/>
          <w:sz w:val="24"/>
          <w:szCs w:val="24"/>
        </w:rPr>
        <w:t>十六、其他重大事项的说明</w:t>
      </w:r>
      <w:bookmarkEnd w:id="131"/>
    </w:p>
    <w:p w14:paraId="22E8EE30">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B5CC7D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公司报告期不存在需要说明的其他重大事项。</w:t>
      </w:r>
    </w:p>
    <w:p w14:paraId="3B52CD8F">
      <w:pPr>
        <w:pStyle w:val="2"/>
        <w:spacing w:before="300" w:after="300" w:line="320" w:lineRule="exact"/>
        <w:rPr>
          <w:rFonts w:ascii="Times New Roman" w:hAnsi="Times New Roman" w:cs="Times New Roman" w:eastAsiaTheme="majorEastAsia"/>
          <w:b/>
          <w:bCs/>
          <w:sz w:val="24"/>
          <w:szCs w:val="24"/>
        </w:rPr>
      </w:pPr>
      <w:bookmarkStart w:id="132" w:name="_Toc989021"/>
      <w:r>
        <w:rPr>
          <w:rFonts w:ascii="Times New Roman" w:hAnsi="Times New Roman" w:cs="Times New Roman" w:eastAsiaTheme="majorEastAsia"/>
          <w:b/>
          <w:bCs/>
          <w:sz w:val="24"/>
          <w:szCs w:val="24"/>
        </w:rPr>
        <w:t>十七、公司子公司重大事项</w:t>
      </w:r>
      <w:bookmarkEnd w:id="132"/>
    </w:p>
    <w:p w14:paraId="32E4FE0D">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7D13F16">
      <w:pPr>
        <w:rPr>
          <w:rFonts w:ascii="Times New Roman" w:hAnsi="Times New Roman" w:cs="Times New Roman" w:eastAsiaTheme="majorEastAsia"/>
        </w:rPr>
      </w:pPr>
      <w:r>
        <w:rPr>
          <w:rFonts w:ascii="Times New Roman" w:hAnsi="Times New Roman" w:cs="Times New Roman" w:eastAsiaTheme="majorEastAsia"/>
        </w:rPr>
        <w:br w:type="page"/>
      </w:r>
    </w:p>
    <w:p w14:paraId="16868C51">
      <w:pPr>
        <w:pStyle w:val="18"/>
        <w:spacing w:before="340" w:after="330" w:line="773" w:lineRule="exact"/>
        <w:jc w:val="center"/>
        <w:rPr>
          <w:rFonts w:ascii="Times New Roman" w:hAnsi="Times New Roman" w:cs="Times New Roman" w:eastAsiaTheme="majorEastAsia"/>
          <w:b/>
          <w:bCs/>
          <w:sz w:val="32"/>
          <w:szCs w:val="32"/>
        </w:rPr>
      </w:pPr>
      <w:bookmarkStart w:id="133" w:name="_Toc989022"/>
      <w:r>
        <w:rPr>
          <w:rFonts w:ascii="Times New Roman" w:hAnsi="Times New Roman" w:cs="Times New Roman" w:eastAsiaTheme="majorEastAsia"/>
          <w:b/>
          <w:bCs/>
          <w:sz w:val="32"/>
          <w:szCs w:val="32"/>
        </w:rPr>
        <w:t>第七节 股份变动及股东情况</w:t>
      </w:r>
      <w:bookmarkEnd w:id="133"/>
    </w:p>
    <w:p w14:paraId="3898EA40">
      <w:pPr>
        <w:pStyle w:val="2"/>
        <w:spacing w:before="300" w:after="300" w:line="320" w:lineRule="exact"/>
        <w:rPr>
          <w:rFonts w:ascii="Times New Roman" w:hAnsi="Times New Roman" w:cs="Times New Roman" w:eastAsiaTheme="majorEastAsia"/>
          <w:b/>
          <w:bCs/>
          <w:sz w:val="24"/>
          <w:szCs w:val="24"/>
        </w:rPr>
      </w:pPr>
      <w:bookmarkStart w:id="134" w:name="_Toc989023"/>
      <w:r>
        <w:rPr>
          <w:rFonts w:ascii="Times New Roman" w:hAnsi="Times New Roman" w:cs="Times New Roman" w:eastAsiaTheme="majorEastAsia"/>
          <w:b/>
          <w:bCs/>
          <w:sz w:val="24"/>
          <w:szCs w:val="24"/>
        </w:rPr>
        <w:t>一、股份变动情况</w:t>
      </w:r>
      <w:bookmarkEnd w:id="134"/>
    </w:p>
    <w:p w14:paraId="7C4F54D1">
      <w:pPr>
        <w:pStyle w:val="3"/>
        <w:spacing w:line="280" w:lineRule="exact"/>
        <w:jc w:val="left"/>
        <w:rPr>
          <w:rFonts w:ascii="Times New Roman" w:hAnsi="Times New Roman" w:cs="Times New Roman" w:eastAsiaTheme="majorEastAsia"/>
          <w:b/>
          <w:bCs/>
        </w:rPr>
      </w:pPr>
      <w:bookmarkStart w:id="135" w:name="_Toc989024"/>
      <w:r>
        <w:rPr>
          <w:rFonts w:ascii="Times New Roman" w:hAnsi="Times New Roman" w:cs="Times New Roman" w:eastAsiaTheme="majorEastAsia"/>
          <w:b/>
          <w:bCs/>
        </w:rPr>
        <w:t>1、股份变动情况</w:t>
      </w:r>
      <w:bookmarkEnd w:id="135"/>
    </w:p>
    <w:p w14:paraId="3F6BF37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单位：股</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4"/>
        <w:gridCol w:w="1026"/>
        <w:gridCol w:w="861"/>
        <w:gridCol w:w="898"/>
        <w:gridCol w:w="564"/>
        <w:gridCol w:w="1066"/>
        <w:gridCol w:w="857"/>
        <w:gridCol w:w="859"/>
        <w:gridCol w:w="1027"/>
        <w:gridCol w:w="861"/>
      </w:tblGrid>
      <w:tr w14:paraId="1DB1C7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931"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100A5C">
            <w:pPr>
              <w:rPr>
                <w:rFonts w:ascii="Times New Roman" w:hAnsi="Times New Roman" w:cs="Times New Roman" w:eastAsiaTheme="majorEastAsia"/>
              </w:rPr>
            </w:pPr>
          </w:p>
        </w:tc>
        <w:tc>
          <w:tcPr>
            <w:tcW w:w="958"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A5AF8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本次变动前</w:t>
            </w:r>
          </w:p>
        </w:tc>
        <w:tc>
          <w:tcPr>
            <w:tcW w:w="2154" w:type="pct"/>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88E96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本次变动增减（＋，－）</w:t>
            </w:r>
          </w:p>
        </w:tc>
        <w:tc>
          <w:tcPr>
            <w:tcW w:w="958"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920F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本次变动后</w:t>
            </w:r>
          </w:p>
        </w:tc>
      </w:tr>
      <w:tr w14:paraId="5F4A1C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931"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E92399">
            <w:pPr>
              <w:rPr>
                <w:rFonts w:ascii="Times New Roman" w:hAnsi="Times New Roman" w:cs="Times New Roman" w:eastAsiaTheme="majorEastAsia"/>
              </w:rPr>
            </w:pPr>
          </w:p>
        </w:tc>
        <w:tc>
          <w:tcPr>
            <w:tcW w:w="521" w:type="pct"/>
            <w:tcBorders>
              <w:top w:val="single" w:color="auto" w:sz="2" w:space="0"/>
              <w:left w:val="single" w:color="auto" w:sz="2" w:space="0"/>
              <w:bottom w:val="single" w:color="auto" w:sz="2" w:space="0"/>
              <w:right w:val="single" w:color="auto" w:sz="2" w:space="0"/>
            </w:tcBorders>
            <w:shd w:val="clear" w:color="auto" w:fill="D3D3D3"/>
            <w:vAlign w:val="center"/>
          </w:tcPr>
          <w:p w14:paraId="31562E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437" w:type="pct"/>
            <w:tcBorders>
              <w:top w:val="single" w:color="auto" w:sz="2" w:space="0"/>
              <w:left w:val="single" w:color="auto" w:sz="2" w:space="0"/>
              <w:bottom w:val="single" w:color="auto" w:sz="2" w:space="0"/>
              <w:right w:val="single" w:color="auto" w:sz="2" w:space="0"/>
            </w:tcBorders>
            <w:shd w:val="clear" w:color="auto" w:fill="D3D3D3"/>
            <w:vAlign w:val="center"/>
          </w:tcPr>
          <w:p w14:paraId="192123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456" w:type="pct"/>
            <w:tcBorders>
              <w:top w:val="single" w:color="auto" w:sz="2" w:space="0"/>
              <w:left w:val="single" w:color="auto" w:sz="2" w:space="0"/>
              <w:bottom w:val="single" w:color="auto" w:sz="2" w:space="0"/>
              <w:right w:val="single" w:color="auto" w:sz="2" w:space="0"/>
            </w:tcBorders>
            <w:shd w:val="clear" w:color="auto" w:fill="D3D3D3"/>
            <w:vAlign w:val="center"/>
          </w:tcPr>
          <w:p w14:paraId="1763AB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发行新股</w:t>
            </w:r>
          </w:p>
        </w:tc>
        <w:tc>
          <w:tcPr>
            <w:tcW w:w="286" w:type="pct"/>
            <w:tcBorders>
              <w:top w:val="single" w:color="auto" w:sz="2" w:space="0"/>
              <w:left w:val="single" w:color="auto" w:sz="2" w:space="0"/>
              <w:bottom w:val="single" w:color="auto" w:sz="2" w:space="0"/>
              <w:right w:val="single" w:color="auto" w:sz="2" w:space="0"/>
            </w:tcBorders>
            <w:shd w:val="clear" w:color="auto" w:fill="D3D3D3"/>
            <w:vAlign w:val="center"/>
          </w:tcPr>
          <w:p w14:paraId="43D945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送股</w:t>
            </w:r>
          </w:p>
        </w:tc>
        <w:tc>
          <w:tcPr>
            <w:tcW w:w="541" w:type="pct"/>
            <w:tcBorders>
              <w:top w:val="single" w:color="auto" w:sz="2" w:space="0"/>
              <w:left w:val="single" w:color="auto" w:sz="2" w:space="0"/>
              <w:bottom w:val="single" w:color="auto" w:sz="2" w:space="0"/>
              <w:right w:val="single" w:color="auto" w:sz="2" w:space="0"/>
            </w:tcBorders>
            <w:shd w:val="clear" w:color="auto" w:fill="D3D3D3"/>
            <w:vAlign w:val="center"/>
          </w:tcPr>
          <w:p w14:paraId="558E78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公积金转股</w:t>
            </w:r>
          </w:p>
        </w:tc>
        <w:tc>
          <w:tcPr>
            <w:tcW w:w="435" w:type="pct"/>
            <w:tcBorders>
              <w:top w:val="single" w:color="auto" w:sz="2" w:space="0"/>
              <w:left w:val="single" w:color="auto" w:sz="2" w:space="0"/>
              <w:bottom w:val="single" w:color="auto" w:sz="2" w:space="0"/>
              <w:right w:val="single" w:color="auto" w:sz="2" w:space="0"/>
            </w:tcBorders>
            <w:shd w:val="clear" w:color="auto" w:fill="D3D3D3"/>
            <w:vAlign w:val="center"/>
          </w:tcPr>
          <w:p w14:paraId="6D8D86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435" w:type="pct"/>
            <w:tcBorders>
              <w:top w:val="single" w:color="auto" w:sz="2" w:space="0"/>
              <w:left w:val="single" w:color="auto" w:sz="2" w:space="0"/>
              <w:bottom w:val="single" w:color="auto" w:sz="2" w:space="0"/>
              <w:right w:val="single" w:color="auto" w:sz="2" w:space="0"/>
            </w:tcBorders>
            <w:shd w:val="clear" w:color="auto" w:fill="D3D3D3"/>
            <w:vAlign w:val="center"/>
          </w:tcPr>
          <w:p w14:paraId="0B061BB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小计</w:t>
            </w:r>
          </w:p>
        </w:tc>
        <w:tc>
          <w:tcPr>
            <w:tcW w:w="521" w:type="pct"/>
            <w:tcBorders>
              <w:top w:val="single" w:color="auto" w:sz="2" w:space="0"/>
              <w:left w:val="single" w:color="auto" w:sz="2" w:space="0"/>
              <w:bottom w:val="single" w:color="auto" w:sz="2" w:space="0"/>
              <w:right w:val="single" w:color="auto" w:sz="2" w:space="0"/>
            </w:tcBorders>
            <w:shd w:val="clear" w:color="auto" w:fill="D3D3D3"/>
            <w:vAlign w:val="center"/>
          </w:tcPr>
          <w:p w14:paraId="6AAE3DA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437" w:type="pct"/>
            <w:tcBorders>
              <w:top w:val="single" w:color="auto" w:sz="2" w:space="0"/>
              <w:left w:val="single" w:color="auto" w:sz="2" w:space="0"/>
              <w:bottom w:val="single" w:color="auto" w:sz="2" w:space="0"/>
              <w:right w:val="single" w:color="auto" w:sz="2" w:space="0"/>
            </w:tcBorders>
            <w:shd w:val="clear" w:color="auto" w:fill="D3D3D3"/>
            <w:vAlign w:val="center"/>
          </w:tcPr>
          <w:p w14:paraId="3A68B3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r>
      <w:tr w14:paraId="394E3F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7ED01F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一、有限售条件股份</w:t>
            </w:r>
          </w:p>
        </w:tc>
        <w:tc>
          <w:tcPr>
            <w:tcW w:w="521" w:type="pct"/>
            <w:tcBorders>
              <w:top w:val="single" w:color="auto" w:sz="2" w:space="0"/>
              <w:left w:val="single" w:color="auto" w:sz="2" w:space="0"/>
              <w:bottom w:val="single" w:color="auto" w:sz="2" w:space="0"/>
              <w:right w:val="single" w:color="auto" w:sz="2" w:space="0"/>
            </w:tcBorders>
            <w:vAlign w:val="center"/>
          </w:tcPr>
          <w:p w14:paraId="62DAA5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23,637,944</w:t>
            </w:r>
          </w:p>
        </w:tc>
        <w:tc>
          <w:tcPr>
            <w:tcW w:w="437" w:type="pct"/>
            <w:tcBorders>
              <w:top w:val="single" w:color="auto" w:sz="2" w:space="0"/>
              <w:left w:val="single" w:color="auto" w:sz="2" w:space="0"/>
              <w:bottom w:val="single" w:color="auto" w:sz="2" w:space="0"/>
              <w:right w:val="single" w:color="auto" w:sz="2" w:space="0"/>
            </w:tcBorders>
            <w:vAlign w:val="center"/>
          </w:tcPr>
          <w:p w14:paraId="597530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35.16%</w:t>
            </w:r>
          </w:p>
        </w:tc>
        <w:tc>
          <w:tcPr>
            <w:tcW w:w="456" w:type="pct"/>
            <w:tcBorders>
              <w:top w:val="single" w:color="auto" w:sz="2" w:space="0"/>
              <w:left w:val="single" w:color="auto" w:sz="2" w:space="0"/>
              <w:bottom w:val="single" w:color="auto" w:sz="2" w:space="0"/>
              <w:right w:val="single" w:color="auto" w:sz="2" w:space="0"/>
            </w:tcBorders>
            <w:vAlign w:val="center"/>
          </w:tcPr>
          <w:p w14:paraId="0F3E98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005A7E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5B6FD6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2423C329">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435" w:type="pct"/>
            <w:tcBorders>
              <w:top w:val="single" w:color="auto" w:sz="2" w:space="0"/>
              <w:left w:val="single" w:color="auto" w:sz="2" w:space="0"/>
              <w:bottom w:val="single" w:color="auto" w:sz="2" w:space="0"/>
              <w:right w:val="single" w:color="auto" w:sz="2" w:space="0"/>
            </w:tcBorders>
            <w:vAlign w:val="center"/>
          </w:tcPr>
          <w:p w14:paraId="5BF882F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521" w:type="pct"/>
            <w:tcBorders>
              <w:top w:val="single" w:color="auto" w:sz="2" w:space="0"/>
              <w:left w:val="single" w:color="auto" w:sz="2" w:space="0"/>
              <w:bottom w:val="single" w:color="auto" w:sz="2" w:space="0"/>
              <w:right w:val="single" w:color="auto" w:sz="2" w:space="0"/>
            </w:tcBorders>
            <w:vAlign w:val="center"/>
          </w:tcPr>
          <w:p w14:paraId="0819C4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23,509,944</w:t>
            </w:r>
          </w:p>
        </w:tc>
        <w:tc>
          <w:tcPr>
            <w:tcW w:w="437" w:type="pct"/>
            <w:tcBorders>
              <w:top w:val="single" w:color="auto" w:sz="2" w:space="0"/>
              <w:left w:val="single" w:color="auto" w:sz="2" w:space="0"/>
              <w:bottom w:val="single" w:color="auto" w:sz="2" w:space="0"/>
              <w:right w:val="single" w:color="auto" w:sz="2" w:space="0"/>
            </w:tcBorders>
            <w:vAlign w:val="center"/>
          </w:tcPr>
          <w:p w14:paraId="3D929C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35.03%</w:t>
            </w:r>
          </w:p>
        </w:tc>
      </w:tr>
      <w:tr w14:paraId="3377F5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3BDBCC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1、国家持股</w:t>
            </w:r>
          </w:p>
        </w:tc>
        <w:tc>
          <w:tcPr>
            <w:tcW w:w="521" w:type="pct"/>
            <w:tcBorders>
              <w:top w:val="single" w:color="auto" w:sz="2" w:space="0"/>
              <w:left w:val="single" w:color="auto" w:sz="2" w:space="0"/>
              <w:bottom w:val="single" w:color="auto" w:sz="2" w:space="0"/>
              <w:right w:val="single" w:color="auto" w:sz="2" w:space="0"/>
            </w:tcBorders>
            <w:vAlign w:val="center"/>
          </w:tcPr>
          <w:p w14:paraId="1995E4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6343A4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1B9A8E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72AA20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3B6C75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078B371F">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4C66C3F7">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2FA53A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2B22D7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0268A1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325B0CC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2、国有法人持股</w:t>
            </w:r>
          </w:p>
        </w:tc>
        <w:tc>
          <w:tcPr>
            <w:tcW w:w="521" w:type="pct"/>
            <w:tcBorders>
              <w:top w:val="single" w:color="auto" w:sz="2" w:space="0"/>
              <w:left w:val="single" w:color="auto" w:sz="2" w:space="0"/>
              <w:bottom w:val="single" w:color="auto" w:sz="2" w:space="0"/>
              <w:right w:val="single" w:color="auto" w:sz="2" w:space="0"/>
            </w:tcBorders>
            <w:vAlign w:val="center"/>
          </w:tcPr>
          <w:p w14:paraId="74D125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762F6E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6FC985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06DD1B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32DDFC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33785AB">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5A6F603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3BE7DD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5748E4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4D0EBA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1D9E0BB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3、其他内资持股</w:t>
            </w:r>
          </w:p>
        </w:tc>
        <w:tc>
          <w:tcPr>
            <w:tcW w:w="521" w:type="pct"/>
            <w:tcBorders>
              <w:top w:val="single" w:color="auto" w:sz="2" w:space="0"/>
              <w:left w:val="single" w:color="auto" w:sz="2" w:space="0"/>
              <w:bottom w:val="single" w:color="auto" w:sz="2" w:space="0"/>
              <w:right w:val="single" w:color="auto" w:sz="2" w:space="0"/>
            </w:tcBorders>
            <w:vAlign w:val="center"/>
          </w:tcPr>
          <w:p w14:paraId="231B0B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23,637,944</w:t>
            </w:r>
          </w:p>
        </w:tc>
        <w:tc>
          <w:tcPr>
            <w:tcW w:w="437" w:type="pct"/>
            <w:tcBorders>
              <w:top w:val="single" w:color="auto" w:sz="2" w:space="0"/>
              <w:left w:val="single" w:color="auto" w:sz="2" w:space="0"/>
              <w:bottom w:val="single" w:color="auto" w:sz="2" w:space="0"/>
              <w:right w:val="single" w:color="auto" w:sz="2" w:space="0"/>
            </w:tcBorders>
            <w:vAlign w:val="center"/>
          </w:tcPr>
          <w:p w14:paraId="50126F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35.16%</w:t>
            </w:r>
          </w:p>
        </w:tc>
        <w:tc>
          <w:tcPr>
            <w:tcW w:w="456" w:type="pct"/>
            <w:tcBorders>
              <w:top w:val="single" w:color="auto" w:sz="2" w:space="0"/>
              <w:left w:val="single" w:color="auto" w:sz="2" w:space="0"/>
              <w:bottom w:val="single" w:color="auto" w:sz="2" w:space="0"/>
              <w:right w:val="single" w:color="auto" w:sz="2" w:space="0"/>
            </w:tcBorders>
            <w:vAlign w:val="center"/>
          </w:tcPr>
          <w:p w14:paraId="6669DE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17A62A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3BBAE8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3150E9DF">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435" w:type="pct"/>
            <w:tcBorders>
              <w:top w:val="single" w:color="auto" w:sz="2" w:space="0"/>
              <w:left w:val="single" w:color="auto" w:sz="2" w:space="0"/>
              <w:bottom w:val="single" w:color="auto" w:sz="2" w:space="0"/>
              <w:right w:val="single" w:color="auto" w:sz="2" w:space="0"/>
            </w:tcBorders>
            <w:vAlign w:val="center"/>
          </w:tcPr>
          <w:p w14:paraId="357E7F03">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521" w:type="pct"/>
            <w:tcBorders>
              <w:top w:val="single" w:color="auto" w:sz="2" w:space="0"/>
              <w:left w:val="single" w:color="auto" w:sz="2" w:space="0"/>
              <w:bottom w:val="single" w:color="auto" w:sz="2" w:space="0"/>
              <w:right w:val="single" w:color="auto" w:sz="2" w:space="0"/>
            </w:tcBorders>
            <w:vAlign w:val="center"/>
          </w:tcPr>
          <w:p w14:paraId="21BF93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23,509,944</w:t>
            </w:r>
          </w:p>
        </w:tc>
        <w:tc>
          <w:tcPr>
            <w:tcW w:w="437" w:type="pct"/>
            <w:tcBorders>
              <w:top w:val="single" w:color="auto" w:sz="2" w:space="0"/>
              <w:left w:val="single" w:color="auto" w:sz="2" w:space="0"/>
              <w:bottom w:val="single" w:color="auto" w:sz="2" w:space="0"/>
              <w:right w:val="single" w:color="auto" w:sz="2" w:space="0"/>
            </w:tcBorders>
            <w:vAlign w:val="center"/>
          </w:tcPr>
          <w:p w14:paraId="6573DD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35.03%</w:t>
            </w:r>
          </w:p>
        </w:tc>
      </w:tr>
      <w:tr w14:paraId="7B9B3E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31A092B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其中：境内法人持股</w:t>
            </w:r>
          </w:p>
        </w:tc>
        <w:tc>
          <w:tcPr>
            <w:tcW w:w="521" w:type="pct"/>
            <w:tcBorders>
              <w:top w:val="single" w:color="auto" w:sz="2" w:space="0"/>
              <w:left w:val="single" w:color="auto" w:sz="2" w:space="0"/>
              <w:bottom w:val="single" w:color="auto" w:sz="2" w:space="0"/>
              <w:right w:val="single" w:color="auto" w:sz="2" w:space="0"/>
            </w:tcBorders>
            <w:vAlign w:val="center"/>
          </w:tcPr>
          <w:p w14:paraId="5F03AA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2EA92E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443384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3BEA28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1A0E0E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42FAB011">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6FAB201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467E77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7D7C33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43D03F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67DEB957">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境内自然人持股</w:t>
            </w:r>
          </w:p>
        </w:tc>
        <w:tc>
          <w:tcPr>
            <w:tcW w:w="521" w:type="pct"/>
            <w:tcBorders>
              <w:top w:val="single" w:color="auto" w:sz="2" w:space="0"/>
              <w:left w:val="single" w:color="auto" w:sz="2" w:space="0"/>
              <w:bottom w:val="single" w:color="auto" w:sz="2" w:space="0"/>
              <w:right w:val="single" w:color="auto" w:sz="2" w:space="0"/>
            </w:tcBorders>
            <w:vAlign w:val="center"/>
          </w:tcPr>
          <w:p w14:paraId="44DC85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23,637,944</w:t>
            </w:r>
          </w:p>
        </w:tc>
        <w:tc>
          <w:tcPr>
            <w:tcW w:w="437" w:type="pct"/>
            <w:tcBorders>
              <w:top w:val="single" w:color="auto" w:sz="2" w:space="0"/>
              <w:left w:val="single" w:color="auto" w:sz="2" w:space="0"/>
              <w:bottom w:val="single" w:color="auto" w:sz="2" w:space="0"/>
              <w:right w:val="single" w:color="auto" w:sz="2" w:space="0"/>
            </w:tcBorders>
            <w:vAlign w:val="center"/>
          </w:tcPr>
          <w:p w14:paraId="14559A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35.16%</w:t>
            </w:r>
          </w:p>
        </w:tc>
        <w:tc>
          <w:tcPr>
            <w:tcW w:w="456" w:type="pct"/>
            <w:tcBorders>
              <w:top w:val="single" w:color="auto" w:sz="2" w:space="0"/>
              <w:left w:val="single" w:color="auto" w:sz="2" w:space="0"/>
              <w:bottom w:val="single" w:color="auto" w:sz="2" w:space="0"/>
              <w:right w:val="single" w:color="auto" w:sz="2" w:space="0"/>
            </w:tcBorders>
            <w:vAlign w:val="center"/>
          </w:tcPr>
          <w:p w14:paraId="5217CD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75697C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0A57A4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741D4DA5">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435" w:type="pct"/>
            <w:tcBorders>
              <w:top w:val="single" w:color="auto" w:sz="2" w:space="0"/>
              <w:left w:val="single" w:color="auto" w:sz="2" w:space="0"/>
              <w:bottom w:val="single" w:color="auto" w:sz="2" w:space="0"/>
              <w:right w:val="single" w:color="auto" w:sz="2" w:space="0"/>
            </w:tcBorders>
            <w:vAlign w:val="center"/>
          </w:tcPr>
          <w:p w14:paraId="29E8F6DF">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521" w:type="pct"/>
            <w:tcBorders>
              <w:top w:val="single" w:color="auto" w:sz="2" w:space="0"/>
              <w:left w:val="single" w:color="auto" w:sz="2" w:space="0"/>
              <w:bottom w:val="single" w:color="auto" w:sz="2" w:space="0"/>
              <w:right w:val="single" w:color="auto" w:sz="2" w:space="0"/>
            </w:tcBorders>
            <w:vAlign w:val="center"/>
          </w:tcPr>
          <w:p w14:paraId="393D82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23,509,944</w:t>
            </w:r>
          </w:p>
        </w:tc>
        <w:tc>
          <w:tcPr>
            <w:tcW w:w="437" w:type="pct"/>
            <w:tcBorders>
              <w:top w:val="single" w:color="auto" w:sz="2" w:space="0"/>
              <w:left w:val="single" w:color="auto" w:sz="2" w:space="0"/>
              <w:bottom w:val="single" w:color="auto" w:sz="2" w:space="0"/>
              <w:right w:val="single" w:color="auto" w:sz="2" w:space="0"/>
            </w:tcBorders>
            <w:vAlign w:val="center"/>
          </w:tcPr>
          <w:p w14:paraId="6C1695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35.03%</w:t>
            </w:r>
          </w:p>
        </w:tc>
      </w:tr>
      <w:tr w14:paraId="5C3D9C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5A4FEF7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4、外资持股</w:t>
            </w:r>
          </w:p>
        </w:tc>
        <w:tc>
          <w:tcPr>
            <w:tcW w:w="521" w:type="pct"/>
            <w:tcBorders>
              <w:top w:val="single" w:color="auto" w:sz="2" w:space="0"/>
              <w:left w:val="single" w:color="auto" w:sz="2" w:space="0"/>
              <w:bottom w:val="single" w:color="auto" w:sz="2" w:space="0"/>
              <w:right w:val="single" w:color="auto" w:sz="2" w:space="0"/>
            </w:tcBorders>
            <w:vAlign w:val="center"/>
          </w:tcPr>
          <w:p w14:paraId="00BBB6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047D28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05629C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51D9D3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71671A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52B1F072">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6047B797">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100E36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425178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2F2C75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0FAD539C">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其中：境外法人持股</w:t>
            </w:r>
          </w:p>
        </w:tc>
        <w:tc>
          <w:tcPr>
            <w:tcW w:w="521" w:type="pct"/>
            <w:tcBorders>
              <w:top w:val="single" w:color="auto" w:sz="2" w:space="0"/>
              <w:left w:val="single" w:color="auto" w:sz="2" w:space="0"/>
              <w:bottom w:val="single" w:color="auto" w:sz="2" w:space="0"/>
              <w:right w:val="single" w:color="auto" w:sz="2" w:space="0"/>
            </w:tcBorders>
            <w:vAlign w:val="center"/>
          </w:tcPr>
          <w:p w14:paraId="25BDA7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475D86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5B864D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110C88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727E4F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3160815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54056787">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618568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771C0F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2EA60C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552659E0">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境外自然人持股</w:t>
            </w:r>
          </w:p>
        </w:tc>
        <w:tc>
          <w:tcPr>
            <w:tcW w:w="521" w:type="pct"/>
            <w:tcBorders>
              <w:top w:val="single" w:color="auto" w:sz="2" w:space="0"/>
              <w:left w:val="single" w:color="auto" w:sz="2" w:space="0"/>
              <w:bottom w:val="single" w:color="auto" w:sz="2" w:space="0"/>
              <w:right w:val="single" w:color="auto" w:sz="2" w:space="0"/>
            </w:tcBorders>
            <w:vAlign w:val="center"/>
          </w:tcPr>
          <w:p w14:paraId="201372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251E6D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259669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146758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412E44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08BE5A53">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BC573BA">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5DD0E2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67862A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43DD7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6E1EFFA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二、无限售条件股份</w:t>
            </w:r>
          </w:p>
        </w:tc>
        <w:tc>
          <w:tcPr>
            <w:tcW w:w="521" w:type="pct"/>
            <w:tcBorders>
              <w:top w:val="single" w:color="auto" w:sz="2" w:space="0"/>
              <w:left w:val="single" w:color="auto" w:sz="2" w:space="0"/>
              <w:bottom w:val="single" w:color="auto" w:sz="2" w:space="0"/>
              <w:right w:val="single" w:color="auto" w:sz="2" w:space="0"/>
            </w:tcBorders>
            <w:vAlign w:val="center"/>
          </w:tcPr>
          <w:p w14:paraId="21623E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43,598,856</w:t>
            </w:r>
          </w:p>
        </w:tc>
        <w:tc>
          <w:tcPr>
            <w:tcW w:w="437" w:type="pct"/>
            <w:tcBorders>
              <w:top w:val="single" w:color="auto" w:sz="2" w:space="0"/>
              <w:left w:val="single" w:color="auto" w:sz="2" w:space="0"/>
              <w:bottom w:val="single" w:color="auto" w:sz="2" w:space="0"/>
              <w:right w:val="single" w:color="auto" w:sz="2" w:space="0"/>
            </w:tcBorders>
            <w:vAlign w:val="center"/>
          </w:tcPr>
          <w:p w14:paraId="4DBCAF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64.84%</w:t>
            </w:r>
          </w:p>
        </w:tc>
        <w:tc>
          <w:tcPr>
            <w:tcW w:w="456" w:type="pct"/>
            <w:tcBorders>
              <w:top w:val="single" w:color="auto" w:sz="2" w:space="0"/>
              <w:left w:val="single" w:color="auto" w:sz="2" w:space="0"/>
              <w:bottom w:val="single" w:color="auto" w:sz="2" w:space="0"/>
              <w:right w:val="single" w:color="auto" w:sz="2" w:space="0"/>
            </w:tcBorders>
            <w:vAlign w:val="center"/>
          </w:tcPr>
          <w:p w14:paraId="535084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4F4261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319A80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AEF5A50">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566DE9A2">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34B692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43,598,856</w:t>
            </w:r>
          </w:p>
        </w:tc>
        <w:tc>
          <w:tcPr>
            <w:tcW w:w="437" w:type="pct"/>
            <w:tcBorders>
              <w:top w:val="single" w:color="auto" w:sz="2" w:space="0"/>
              <w:left w:val="single" w:color="auto" w:sz="2" w:space="0"/>
              <w:bottom w:val="single" w:color="auto" w:sz="2" w:space="0"/>
              <w:right w:val="single" w:color="auto" w:sz="2" w:space="0"/>
            </w:tcBorders>
            <w:vAlign w:val="center"/>
          </w:tcPr>
          <w:p w14:paraId="7310BD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w:t>
            </w:r>
          </w:p>
        </w:tc>
      </w:tr>
      <w:tr w14:paraId="7E96E7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56511E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1、人民币普通股</w:t>
            </w:r>
          </w:p>
        </w:tc>
        <w:tc>
          <w:tcPr>
            <w:tcW w:w="521" w:type="pct"/>
            <w:tcBorders>
              <w:top w:val="single" w:color="auto" w:sz="2" w:space="0"/>
              <w:left w:val="single" w:color="auto" w:sz="2" w:space="0"/>
              <w:bottom w:val="single" w:color="auto" w:sz="2" w:space="0"/>
              <w:right w:val="single" w:color="auto" w:sz="2" w:space="0"/>
            </w:tcBorders>
            <w:vAlign w:val="center"/>
          </w:tcPr>
          <w:p w14:paraId="737658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43,598,856</w:t>
            </w:r>
          </w:p>
        </w:tc>
        <w:tc>
          <w:tcPr>
            <w:tcW w:w="437" w:type="pct"/>
            <w:tcBorders>
              <w:top w:val="single" w:color="auto" w:sz="2" w:space="0"/>
              <w:left w:val="single" w:color="auto" w:sz="2" w:space="0"/>
              <w:bottom w:val="single" w:color="auto" w:sz="2" w:space="0"/>
              <w:right w:val="single" w:color="auto" w:sz="2" w:space="0"/>
            </w:tcBorders>
            <w:vAlign w:val="center"/>
          </w:tcPr>
          <w:p w14:paraId="7775BE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64.84%</w:t>
            </w:r>
          </w:p>
        </w:tc>
        <w:tc>
          <w:tcPr>
            <w:tcW w:w="456" w:type="pct"/>
            <w:tcBorders>
              <w:top w:val="single" w:color="auto" w:sz="2" w:space="0"/>
              <w:left w:val="single" w:color="auto" w:sz="2" w:space="0"/>
              <w:bottom w:val="single" w:color="auto" w:sz="2" w:space="0"/>
              <w:right w:val="single" w:color="auto" w:sz="2" w:space="0"/>
            </w:tcBorders>
            <w:vAlign w:val="center"/>
          </w:tcPr>
          <w:p w14:paraId="3774D2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488C0C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7AF5EF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773795A5">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71715E06">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0FCCD8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43,598,856</w:t>
            </w:r>
          </w:p>
        </w:tc>
        <w:tc>
          <w:tcPr>
            <w:tcW w:w="437" w:type="pct"/>
            <w:tcBorders>
              <w:top w:val="single" w:color="auto" w:sz="2" w:space="0"/>
              <w:left w:val="single" w:color="auto" w:sz="2" w:space="0"/>
              <w:bottom w:val="single" w:color="auto" w:sz="2" w:space="0"/>
              <w:right w:val="single" w:color="auto" w:sz="2" w:space="0"/>
            </w:tcBorders>
            <w:vAlign w:val="center"/>
          </w:tcPr>
          <w:p w14:paraId="54615E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w:t>
            </w:r>
          </w:p>
        </w:tc>
      </w:tr>
      <w:tr w14:paraId="1B6A42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25D852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2、境内上市的外资股</w:t>
            </w:r>
          </w:p>
        </w:tc>
        <w:tc>
          <w:tcPr>
            <w:tcW w:w="521" w:type="pct"/>
            <w:tcBorders>
              <w:top w:val="single" w:color="auto" w:sz="2" w:space="0"/>
              <w:left w:val="single" w:color="auto" w:sz="2" w:space="0"/>
              <w:bottom w:val="single" w:color="auto" w:sz="2" w:space="0"/>
              <w:right w:val="single" w:color="auto" w:sz="2" w:space="0"/>
            </w:tcBorders>
            <w:vAlign w:val="center"/>
          </w:tcPr>
          <w:p w14:paraId="19B31C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3A55AA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72004B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3151F1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46C19D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70C1F2F5">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39F1C86E">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65A926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6D90D9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09FF29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11CFCB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3、境外上市的外资股</w:t>
            </w:r>
          </w:p>
        </w:tc>
        <w:tc>
          <w:tcPr>
            <w:tcW w:w="521" w:type="pct"/>
            <w:tcBorders>
              <w:top w:val="single" w:color="auto" w:sz="2" w:space="0"/>
              <w:left w:val="single" w:color="auto" w:sz="2" w:space="0"/>
              <w:bottom w:val="single" w:color="auto" w:sz="2" w:space="0"/>
              <w:right w:val="single" w:color="auto" w:sz="2" w:space="0"/>
            </w:tcBorders>
            <w:vAlign w:val="center"/>
          </w:tcPr>
          <w:p w14:paraId="34DA12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3F9F0B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6C1FB9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6D2AE8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6FF39E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2F2E481">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8C2886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46186D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2A8259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3C99A1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54CBF56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521" w:type="pct"/>
            <w:tcBorders>
              <w:top w:val="single" w:color="auto" w:sz="2" w:space="0"/>
              <w:left w:val="single" w:color="auto" w:sz="2" w:space="0"/>
              <w:bottom w:val="single" w:color="auto" w:sz="2" w:space="0"/>
              <w:right w:val="single" w:color="auto" w:sz="2" w:space="0"/>
            </w:tcBorders>
            <w:vAlign w:val="center"/>
          </w:tcPr>
          <w:p w14:paraId="2B8005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5996B3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56" w:type="pct"/>
            <w:tcBorders>
              <w:top w:val="single" w:color="auto" w:sz="2" w:space="0"/>
              <w:left w:val="single" w:color="auto" w:sz="2" w:space="0"/>
              <w:bottom w:val="single" w:color="auto" w:sz="2" w:space="0"/>
              <w:right w:val="single" w:color="auto" w:sz="2" w:space="0"/>
            </w:tcBorders>
            <w:vAlign w:val="center"/>
          </w:tcPr>
          <w:p w14:paraId="6C7B61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4F6CA6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5E7EC3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6BD25BBC">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2624B796">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21" w:type="pct"/>
            <w:tcBorders>
              <w:top w:val="single" w:color="auto" w:sz="2" w:space="0"/>
              <w:left w:val="single" w:color="auto" w:sz="2" w:space="0"/>
              <w:bottom w:val="single" w:color="auto" w:sz="2" w:space="0"/>
              <w:right w:val="single" w:color="auto" w:sz="2" w:space="0"/>
            </w:tcBorders>
            <w:vAlign w:val="center"/>
          </w:tcPr>
          <w:p w14:paraId="77C1AA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7" w:type="pct"/>
            <w:tcBorders>
              <w:top w:val="single" w:color="auto" w:sz="2" w:space="0"/>
              <w:left w:val="single" w:color="auto" w:sz="2" w:space="0"/>
              <w:bottom w:val="single" w:color="auto" w:sz="2" w:space="0"/>
              <w:right w:val="single" w:color="auto" w:sz="2" w:space="0"/>
            </w:tcBorders>
            <w:vAlign w:val="center"/>
          </w:tcPr>
          <w:p w14:paraId="7D713E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78DB4D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B0DB5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三、股份总数</w:t>
            </w:r>
          </w:p>
        </w:tc>
        <w:tc>
          <w:tcPr>
            <w:tcW w:w="521" w:type="pct"/>
            <w:tcBorders>
              <w:top w:val="single" w:color="auto" w:sz="2" w:space="0"/>
              <w:left w:val="single" w:color="auto" w:sz="2" w:space="0"/>
              <w:bottom w:val="single" w:color="auto" w:sz="2" w:space="0"/>
              <w:right w:val="single" w:color="auto" w:sz="2" w:space="0"/>
            </w:tcBorders>
            <w:vAlign w:val="center"/>
          </w:tcPr>
          <w:p w14:paraId="5EC887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67,236,800</w:t>
            </w:r>
          </w:p>
        </w:tc>
        <w:tc>
          <w:tcPr>
            <w:tcW w:w="437" w:type="pct"/>
            <w:tcBorders>
              <w:top w:val="single" w:color="auto" w:sz="2" w:space="0"/>
              <w:left w:val="single" w:color="auto" w:sz="2" w:space="0"/>
              <w:bottom w:val="single" w:color="auto" w:sz="2" w:space="0"/>
              <w:right w:val="single" w:color="auto" w:sz="2" w:space="0"/>
            </w:tcBorders>
            <w:vAlign w:val="center"/>
          </w:tcPr>
          <w:p w14:paraId="58EA98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456" w:type="pct"/>
            <w:tcBorders>
              <w:top w:val="single" w:color="auto" w:sz="2" w:space="0"/>
              <w:left w:val="single" w:color="auto" w:sz="2" w:space="0"/>
              <w:bottom w:val="single" w:color="auto" w:sz="2" w:space="0"/>
              <w:right w:val="single" w:color="auto" w:sz="2" w:space="0"/>
            </w:tcBorders>
            <w:vAlign w:val="center"/>
          </w:tcPr>
          <w:p w14:paraId="55A0B8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286" w:type="pct"/>
            <w:tcBorders>
              <w:top w:val="single" w:color="auto" w:sz="2" w:space="0"/>
              <w:left w:val="single" w:color="auto" w:sz="2" w:space="0"/>
              <w:bottom w:val="single" w:color="auto" w:sz="2" w:space="0"/>
              <w:right w:val="single" w:color="auto" w:sz="2" w:space="0"/>
            </w:tcBorders>
            <w:vAlign w:val="center"/>
          </w:tcPr>
          <w:p w14:paraId="442C2E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41" w:type="pct"/>
            <w:tcBorders>
              <w:top w:val="single" w:color="auto" w:sz="2" w:space="0"/>
              <w:left w:val="single" w:color="auto" w:sz="2" w:space="0"/>
              <w:bottom w:val="single" w:color="auto" w:sz="2" w:space="0"/>
              <w:right w:val="single" w:color="auto" w:sz="2" w:space="0"/>
            </w:tcBorders>
            <w:vAlign w:val="center"/>
          </w:tcPr>
          <w:p w14:paraId="52D3FA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35" w:type="pct"/>
            <w:tcBorders>
              <w:top w:val="single" w:color="auto" w:sz="2" w:space="0"/>
              <w:left w:val="single" w:color="auto" w:sz="2" w:space="0"/>
              <w:bottom w:val="single" w:color="auto" w:sz="2" w:space="0"/>
              <w:right w:val="single" w:color="auto" w:sz="2" w:space="0"/>
            </w:tcBorders>
            <w:vAlign w:val="center"/>
          </w:tcPr>
          <w:p w14:paraId="11E8A3CB">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435" w:type="pct"/>
            <w:tcBorders>
              <w:top w:val="single" w:color="auto" w:sz="2" w:space="0"/>
              <w:left w:val="single" w:color="auto" w:sz="2" w:space="0"/>
              <w:bottom w:val="single" w:color="auto" w:sz="2" w:space="0"/>
              <w:right w:val="single" w:color="auto" w:sz="2" w:space="0"/>
            </w:tcBorders>
            <w:vAlign w:val="center"/>
          </w:tcPr>
          <w:p w14:paraId="3C79A1D3">
            <w:pPr>
              <w:spacing w:line="240" w:lineRule="exact"/>
              <w:ind w:left="-42" w:leftChars="-20" w:right="-52" w:rightChars="-25"/>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w:t>
            </w:r>
          </w:p>
        </w:tc>
        <w:tc>
          <w:tcPr>
            <w:tcW w:w="521" w:type="pct"/>
            <w:tcBorders>
              <w:top w:val="single" w:color="auto" w:sz="2" w:space="0"/>
              <w:left w:val="single" w:color="auto" w:sz="2" w:space="0"/>
              <w:bottom w:val="single" w:color="auto" w:sz="2" w:space="0"/>
              <w:right w:val="single" w:color="auto" w:sz="2" w:space="0"/>
            </w:tcBorders>
            <w:vAlign w:val="center"/>
          </w:tcPr>
          <w:p w14:paraId="5F122C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67,108,800</w:t>
            </w:r>
          </w:p>
        </w:tc>
        <w:tc>
          <w:tcPr>
            <w:tcW w:w="437" w:type="pct"/>
            <w:tcBorders>
              <w:top w:val="single" w:color="auto" w:sz="2" w:space="0"/>
              <w:left w:val="single" w:color="auto" w:sz="2" w:space="0"/>
              <w:bottom w:val="single" w:color="auto" w:sz="2" w:space="0"/>
              <w:right w:val="single" w:color="auto" w:sz="2" w:space="0"/>
            </w:tcBorders>
            <w:vAlign w:val="center"/>
          </w:tcPr>
          <w:p w14:paraId="405E6B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bl>
    <w:p w14:paraId="2D28FF5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股份变动的原因</w:t>
      </w:r>
    </w:p>
    <w:p w14:paraId="6EE5228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04F980EE">
      <w:pPr>
        <w:pStyle w:val="10"/>
        <w:spacing w:before="156" w:beforeLines="50" w:beforeAutospacing="0" w:after="156" w:afterLines="50" w:afterAutospacing="0"/>
        <w:ind w:firstLine="420" w:firstLineChars="200"/>
        <w:jc w:val="both"/>
        <w:rPr>
          <w:rFonts w:ascii="Times New Roman" w:hAnsi="Times New Roman" w:cs="Times New Roman" w:eastAsiaTheme="majorEastAsia"/>
        </w:rPr>
      </w:pPr>
      <w:r>
        <w:rPr>
          <w:rFonts w:ascii="Times New Roman" w:hAnsi="Times New Roman" w:cs="Times New Roman" w:eastAsiaTheme="majorEastAsia"/>
          <w:color w:val="000000"/>
          <w:sz w:val="21"/>
          <w:szCs w:val="21"/>
        </w:rPr>
        <w:t>1.回购并注销部分已授予但尚未解锁的限制性股票</w:t>
      </w:r>
    </w:p>
    <w:p w14:paraId="4EE0CC63">
      <w:pPr>
        <w:pStyle w:val="10"/>
        <w:spacing w:before="156" w:beforeLines="50" w:beforeAutospacing="0" w:after="156" w:afterLines="50" w:afterAutospacing="0"/>
        <w:ind w:firstLine="420" w:firstLineChars="200"/>
        <w:jc w:val="both"/>
        <w:rPr>
          <w:rFonts w:ascii="Times New Roman" w:hAnsi="Times New Roman" w:cs="Times New Roman" w:eastAsiaTheme="majorEastAsia"/>
        </w:rPr>
      </w:pPr>
      <w:r>
        <w:rPr>
          <w:rFonts w:ascii="Times New Roman" w:hAnsi="Times New Roman" w:cs="Times New Roman" w:eastAsiaTheme="majorEastAsia"/>
          <w:color w:val="000000"/>
          <w:sz w:val="21"/>
          <w:szCs w:val="21"/>
        </w:rPr>
        <w:t>因2023年度公司层面考核指标未达成，根据《《关于〈广东天亿马信息产业股份有限公司2023年限制性股票激励计划（草案修订稿）〉及其摘要的议案》《关于〈广东天亿马信息产业股份有限公司2023年限制性股票激励计划实施考核管理办法（修订稿）〉的议案》，经公司股东会、董事会、监事会审议通过，同意向激励对象回购已授予但尚未解锁的限制性股票128,000股。公司于2024年11月完成对该部分股票的回购，并于2024年12月完成注销登记工作。</w:t>
      </w:r>
    </w:p>
    <w:p w14:paraId="06C809B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股份变动的批准情况</w:t>
      </w:r>
    </w:p>
    <w:p w14:paraId="3F95B97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43BA0CC9">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2024年4月25日，公司召开第三届董事会第二十二次会议和第三届监事会第二十次会议，另于2024年5月20日召开2023年年度股东大会，审议通过了《关于回购注销部分已授予但尚未解除限售的限制性股票的议案》。</w:t>
      </w:r>
    </w:p>
    <w:p w14:paraId="2A8741B4">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2024年8月28日，公司召开第三届董事会第二十四次会议、第三届监事会第二十二次会议，另于2024年9月20日召开2024年第三次临时股东会，审议通过了《关于调整2023年限制性股票激励计划第一类限制性股票回购价格、第二类限制性股票授予价格的议案》《关于拟减少公司注册资本、变更经营范围、修订章程的议案》，并于同日披露了《广东天亿马信息产业股份有限公司关于减少公司注册资本通知债权人公告》。</w:t>
      </w:r>
    </w:p>
    <w:p w14:paraId="621FEAC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股份变动的过户情况</w:t>
      </w:r>
    </w:p>
    <w:p w14:paraId="5EBCB98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63FDA7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股份变动对最近一年和最近一期基本每股收益和稀释每股收益、归属于公司普通股股东的每股净资产等财务指标的影响</w:t>
      </w:r>
    </w:p>
    <w:p w14:paraId="3C6F4FE9">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B8C55C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公司认为必要或证券监管机构要求披露的其他内容</w:t>
      </w:r>
    </w:p>
    <w:p w14:paraId="7DC7F0B5">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731B503">
      <w:pPr>
        <w:pStyle w:val="3"/>
        <w:spacing w:line="280" w:lineRule="exact"/>
        <w:jc w:val="left"/>
        <w:rPr>
          <w:rFonts w:ascii="Times New Roman" w:hAnsi="Times New Roman" w:cs="Times New Roman" w:eastAsiaTheme="majorEastAsia"/>
          <w:b/>
          <w:bCs/>
        </w:rPr>
      </w:pPr>
      <w:bookmarkStart w:id="136" w:name="_Toc989025"/>
      <w:r>
        <w:rPr>
          <w:rFonts w:ascii="Times New Roman" w:hAnsi="Times New Roman" w:cs="Times New Roman" w:eastAsiaTheme="majorEastAsia"/>
          <w:b/>
          <w:bCs/>
        </w:rPr>
        <w:t>2、限售股份变动情况</w:t>
      </w:r>
      <w:bookmarkEnd w:id="136"/>
    </w:p>
    <w:p w14:paraId="4B904534">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45E1C94">
      <w:pPr>
        <w:pStyle w:val="2"/>
        <w:spacing w:before="300" w:after="300" w:line="320" w:lineRule="exact"/>
        <w:rPr>
          <w:rFonts w:ascii="Times New Roman" w:hAnsi="Times New Roman" w:cs="Times New Roman" w:eastAsiaTheme="majorEastAsia"/>
          <w:b/>
          <w:bCs/>
          <w:sz w:val="24"/>
          <w:szCs w:val="24"/>
        </w:rPr>
      </w:pPr>
      <w:bookmarkStart w:id="137" w:name="_Toc989026"/>
      <w:r>
        <w:rPr>
          <w:rFonts w:ascii="Times New Roman" w:hAnsi="Times New Roman" w:cs="Times New Roman" w:eastAsiaTheme="majorEastAsia"/>
          <w:b/>
          <w:bCs/>
          <w:sz w:val="24"/>
          <w:szCs w:val="24"/>
        </w:rPr>
        <w:t>二、证券发行与上市情况</w:t>
      </w:r>
      <w:bookmarkEnd w:id="137"/>
    </w:p>
    <w:p w14:paraId="77E00DE4">
      <w:pPr>
        <w:pStyle w:val="3"/>
        <w:spacing w:line="280" w:lineRule="exact"/>
        <w:jc w:val="left"/>
        <w:rPr>
          <w:rFonts w:ascii="Times New Roman" w:hAnsi="Times New Roman" w:cs="Times New Roman" w:eastAsiaTheme="majorEastAsia"/>
          <w:b/>
          <w:bCs/>
        </w:rPr>
      </w:pPr>
      <w:bookmarkStart w:id="138" w:name="_Toc989027"/>
      <w:r>
        <w:rPr>
          <w:rFonts w:ascii="Times New Roman" w:hAnsi="Times New Roman" w:cs="Times New Roman" w:eastAsiaTheme="majorEastAsia"/>
          <w:b/>
          <w:bCs/>
        </w:rPr>
        <w:t>1、报告期内证券发行（不含优先股）情况</w:t>
      </w:r>
      <w:bookmarkEnd w:id="138"/>
    </w:p>
    <w:p w14:paraId="2B2A4B20">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FE85F96">
      <w:pPr>
        <w:pStyle w:val="3"/>
        <w:spacing w:line="280" w:lineRule="exact"/>
        <w:jc w:val="left"/>
        <w:rPr>
          <w:rFonts w:ascii="Times New Roman" w:hAnsi="Times New Roman" w:cs="Times New Roman" w:eastAsiaTheme="majorEastAsia"/>
          <w:b/>
          <w:bCs/>
        </w:rPr>
      </w:pPr>
      <w:bookmarkStart w:id="139" w:name="_Toc989028"/>
      <w:r>
        <w:rPr>
          <w:rFonts w:ascii="Times New Roman" w:hAnsi="Times New Roman" w:cs="Times New Roman" w:eastAsiaTheme="majorEastAsia"/>
          <w:b/>
          <w:bCs/>
        </w:rPr>
        <w:t>2、公司股份总数及股东结构的变动、公司资产和负债结构的变动情况说明</w:t>
      </w:r>
      <w:bookmarkEnd w:id="139"/>
    </w:p>
    <w:p w14:paraId="4B8E8CC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7052F44A">
      <w:pPr>
        <w:pStyle w:val="10"/>
        <w:spacing w:before="156" w:beforeLines="50" w:beforeAutospacing="0" w:after="156" w:afterLines="50" w:afterAutospacing="0"/>
        <w:ind w:firstLine="420" w:firstLineChars="20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（1）股份总数变动情况</w:t>
      </w:r>
    </w:p>
    <w:p w14:paraId="557E5F99">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18"/>
          <w:szCs w:val="18"/>
        </w:rPr>
      </w:pPr>
      <w:r>
        <w:rPr>
          <w:rFonts w:ascii="Times New Roman" w:hAnsi="Times New Roman" w:cs="Times New Roman" w:eastAsiaTheme="majorEastAsia"/>
          <w:color w:val="000000"/>
          <w:sz w:val="21"/>
          <w:szCs w:val="21"/>
        </w:rPr>
        <w:t>因2023年度公司层面考核指标未达成，根据《《关于〈广东天亿马信息产业股份有限公司2023年限制性股票激励计划（草案修订稿）〉及其摘要的议案》《关于〈广东天亿马信息产业股份有限公司2023年限制性股票激励计划实施考核管理办法（修订稿）〉的议案》，经公司股东会、董事会、监事会审议通过，同意向激励对象回购已授予但尚未解锁的限制性股票128,000股。公司于2024年11月完成对该部分股票的回购，并于2024年12月完成注销登记工作。</w:t>
      </w:r>
    </w:p>
    <w:p w14:paraId="001B2C68">
      <w:pPr>
        <w:pStyle w:val="3"/>
        <w:spacing w:line="280" w:lineRule="exact"/>
        <w:jc w:val="left"/>
        <w:rPr>
          <w:rFonts w:ascii="Times New Roman" w:hAnsi="Times New Roman" w:cs="Times New Roman" w:eastAsiaTheme="majorEastAsia"/>
          <w:b/>
          <w:bCs/>
        </w:rPr>
      </w:pPr>
      <w:bookmarkStart w:id="140" w:name="_Toc989029"/>
      <w:r>
        <w:rPr>
          <w:rFonts w:ascii="Times New Roman" w:hAnsi="Times New Roman" w:cs="Times New Roman" w:eastAsiaTheme="majorEastAsia"/>
          <w:b/>
          <w:bCs/>
        </w:rPr>
        <w:t>3、现存的内部职工股情况</w:t>
      </w:r>
      <w:bookmarkEnd w:id="140"/>
    </w:p>
    <w:p w14:paraId="51497FB3">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EA997F6">
      <w:pPr>
        <w:pStyle w:val="2"/>
        <w:spacing w:before="300" w:after="300" w:line="320" w:lineRule="exact"/>
        <w:rPr>
          <w:rFonts w:ascii="Times New Roman" w:hAnsi="Times New Roman" w:cs="Times New Roman" w:eastAsiaTheme="majorEastAsia"/>
          <w:b/>
          <w:bCs/>
          <w:sz w:val="24"/>
          <w:szCs w:val="24"/>
        </w:rPr>
      </w:pPr>
      <w:bookmarkStart w:id="141" w:name="_Toc989030"/>
      <w:r>
        <w:rPr>
          <w:rFonts w:ascii="Times New Roman" w:hAnsi="Times New Roman" w:cs="Times New Roman" w:eastAsiaTheme="majorEastAsia"/>
          <w:b/>
          <w:bCs/>
          <w:sz w:val="24"/>
          <w:szCs w:val="24"/>
        </w:rPr>
        <w:t>三、股东和实际控制人情况</w:t>
      </w:r>
      <w:bookmarkEnd w:id="141"/>
    </w:p>
    <w:p w14:paraId="16CD705C">
      <w:pPr>
        <w:pStyle w:val="3"/>
        <w:spacing w:line="280" w:lineRule="exact"/>
        <w:jc w:val="left"/>
        <w:rPr>
          <w:rFonts w:ascii="Times New Roman" w:hAnsi="Times New Roman" w:cs="Times New Roman" w:eastAsiaTheme="majorEastAsia"/>
          <w:b/>
          <w:bCs/>
        </w:rPr>
      </w:pPr>
      <w:bookmarkStart w:id="142" w:name="_Toc989031"/>
      <w:r>
        <w:rPr>
          <w:rFonts w:ascii="Times New Roman" w:hAnsi="Times New Roman" w:cs="Times New Roman" w:eastAsiaTheme="majorEastAsia"/>
          <w:b/>
          <w:bCs/>
        </w:rPr>
        <w:t>1、公司股东数量及持股情况</w:t>
      </w:r>
      <w:bookmarkEnd w:id="142"/>
    </w:p>
    <w:p w14:paraId="5B7FB925">
      <w:pPr>
        <w:widowControl/>
        <w:rPr>
          <w:rFonts w:ascii="Times New Roman" w:hAnsi="Times New Roman" w:cs="Times New Roman" w:eastAsiaTheme="majorEastAsia"/>
          <w:sz w:val="18"/>
          <w:szCs w:val="18"/>
        </w:rPr>
      </w:pPr>
      <w:r>
        <w:rPr>
          <w:rFonts w:ascii="Times New Roman" w:hAnsi="Times New Roman" w:cs="Times New Roman" w:eastAsiaTheme="majorEastAsia"/>
          <w:sz w:val="18"/>
          <w:szCs w:val="18"/>
        </w:rPr>
        <w:br w:type="page"/>
      </w:r>
    </w:p>
    <w:p w14:paraId="4E16CE66">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单位：股</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2"/>
        <w:gridCol w:w="833"/>
        <w:gridCol w:w="1022"/>
        <w:gridCol w:w="1081"/>
        <w:gridCol w:w="1164"/>
        <w:gridCol w:w="1144"/>
        <w:gridCol w:w="1414"/>
        <w:gridCol w:w="306"/>
        <w:gridCol w:w="830"/>
        <w:gridCol w:w="937"/>
      </w:tblGrid>
      <w:tr w14:paraId="249D9D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shd w:val="clear" w:color="auto" w:fill="D3D3D3"/>
            <w:vAlign w:val="center"/>
          </w:tcPr>
          <w:p w14:paraId="5DAAD54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报告期末普通股股东总数</w:t>
            </w:r>
          </w:p>
        </w:tc>
        <w:tc>
          <w:tcPr>
            <w:tcW w:w="423" w:type="pct"/>
            <w:tcBorders>
              <w:top w:val="single" w:color="auto" w:sz="2" w:space="0"/>
              <w:left w:val="single" w:color="auto" w:sz="2" w:space="0"/>
              <w:bottom w:val="single" w:color="auto" w:sz="2" w:space="0"/>
              <w:right w:val="single" w:color="auto" w:sz="2" w:space="0"/>
            </w:tcBorders>
            <w:vAlign w:val="center"/>
          </w:tcPr>
          <w:p w14:paraId="688D59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12,695</w:t>
            </w:r>
          </w:p>
        </w:tc>
        <w:tc>
          <w:tcPr>
            <w:tcW w:w="519" w:type="pct"/>
            <w:tcBorders>
              <w:top w:val="single" w:color="auto" w:sz="2" w:space="0"/>
              <w:left w:val="single" w:color="auto" w:sz="2" w:space="0"/>
              <w:bottom w:val="single" w:color="auto" w:sz="2" w:space="0"/>
              <w:right w:val="single" w:color="auto" w:sz="2" w:space="0"/>
            </w:tcBorders>
            <w:shd w:val="clear" w:color="auto" w:fill="D3D3D3"/>
            <w:vAlign w:val="center"/>
          </w:tcPr>
          <w:p w14:paraId="097466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年度报告披露日前上一月末普通股股东总数</w:t>
            </w:r>
          </w:p>
        </w:tc>
        <w:tc>
          <w:tcPr>
            <w:tcW w:w="549" w:type="pct"/>
            <w:tcBorders>
              <w:top w:val="single" w:color="auto" w:sz="2" w:space="0"/>
              <w:left w:val="single" w:color="auto" w:sz="2" w:space="0"/>
              <w:bottom w:val="single" w:color="auto" w:sz="2" w:space="0"/>
              <w:right w:val="single" w:color="auto" w:sz="2" w:space="0"/>
            </w:tcBorders>
            <w:vAlign w:val="center"/>
          </w:tcPr>
          <w:p w14:paraId="24EE67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w:t>
            </w:r>
          </w:p>
        </w:tc>
        <w:tc>
          <w:tcPr>
            <w:tcW w:w="591" w:type="pct"/>
            <w:tcBorders>
              <w:top w:val="single" w:color="auto" w:sz="2" w:space="0"/>
              <w:left w:val="single" w:color="auto" w:sz="2" w:space="0"/>
              <w:bottom w:val="single" w:color="auto" w:sz="2" w:space="0"/>
              <w:right w:val="single" w:color="auto" w:sz="2" w:space="0"/>
            </w:tcBorders>
            <w:shd w:val="clear" w:color="auto" w:fill="D3D3D3"/>
            <w:vAlign w:val="center"/>
          </w:tcPr>
          <w:p w14:paraId="2C38696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报告期末表决权恢复的优先股股东总数（如有）（参见注9）</w:t>
            </w:r>
          </w:p>
        </w:tc>
        <w:tc>
          <w:tcPr>
            <w:tcW w:w="581" w:type="pct"/>
            <w:tcBorders>
              <w:top w:val="single" w:color="auto" w:sz="2" w:space="0"/>
              <w:left w:val="single" w:color="auto" w:sz="2" w:space="0"/>
              <w:bottom w:val="single" w:color="auto" w:sz="2" w:space="0"/>
              <w:right w:val="single" w:color="auto" w:sz="2" w:space="0"/>
            </w:tcBorders>
            <w:vAlign w:val="center"/>
          </w:tcPr>
          <w:p w14:paraId="3CE364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shd w:val="clear" w:color="auto" w:fill="D3D3D3"/>
            <w:vAlign w:val="center"/>
          </w:tcPr>
          <w:p w14:paraId="7061D14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年度报告披露日前上一月末表决权恢复的优先股股东总数（如有）（参见注9）</w:t>
            </w:r>
          </w:p>
        </w:tc>
        <w:tc>
          <w:tcPr>
            <w:tcW w:w="155" w:type="pct"/>
            <w:tcBorders>
              <w:top w:val="single" w:color="auto" w:sz="2" w:space="0"/>
              <w:left w:val="single" w:color="auto" w:sz="2" w:space="0"/>
              <w:bottom w:val="single" w:color="auto" w:sz="2" w:space="0"/>
              <w:right w:val="single" w:color="auto" w:sz="2" w:space="0"/>
            </w:tcBorders>
            <w:vAlign w:val="center"/>
          </w:tcPr>
          <w:p w14:paraId="05EAC9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421" w:type="pct"/>
            <w:tcBorders>
              <w:top w:val="single" w:color="auto" w:sz="2" w:space="0"/>
              <w:left w:val="single" w:color="auto" w:sz="2" w:space="0"/>
              <w:bottom w:val="single" w:color="auto" w:sz="2" w:space="0"/>
              <w:right w:val="single" w:color="auto" w:sz="2" w:space="0"/>
            </w:tcBorders>
            <w:shd w:val="clear" w:color="auto" w:fill="D3D3D3"/>
            <w:vAlign w:val="center"/>
          </w:tcPr>
          <w:p w14:paraId="7465364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持有特别表决权股份的股东总数（如有）</w:t>
            </w:r>
          </w:p>
        </w:tc>
        <w:tc>
          <w:tcPr>
            <w:tcW w:w="475" w:type="pct"/>
            <w:tcBorders>
              <w:top w:val="single" w:color="auto" w:sz="2" w:space="0"/>
              <w:left w:val="single" w:color="auto" w:sz="2" w:space="0"/>
              <w:bottom w:val="single" w:color="auto" w:sz="2" w:space="0"/>
              <w:right w:val="single" w:color="auto" w:sz="2" w:space="0"/>
            </w:tcBorders>
            <w:vAlign w:val="center"/>
          </w:tcPr>
          <w:p w14:paraId="7DFC86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17075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0"/>
            <w:tcBorders>
              <w:top w:val="single" w:color="auto" w:sz="2" w:space="0"/>
              <w:left w:val="single" w:color="auto" w:sz="2" w:space="0"/>
              <w:bottom w:val="single" w:color="auto" w:sz="2" w:space="0"/>
              <w:right w:val="single" w:color="auto" w:sz="2" w:space="0"/>
            </w:tcBorders>
            <w:shd w:val="clear" w:color="auto" w:fill="D3D3D3"/>
            <w:vAlign w:val="center"/>
          </w:tcPr>
          <w:p w14:paraId="7D0DBE8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持股5%以上的股东或前10名股东持股情况（不含通过转融通出借股份）</w:t>
            </w:r>
          </w:p>
        </w:tc>
      </w:tr>
      <w:tr w14:paraId="2CFAEA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B700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股东名称</w:t>
            </w:r>
          </w:p>
        </w:tc>
        <w:tc>
          <w:tcPr>
            <w:tcW w:w="423"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DF785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股东性质</w:t>
            </w:r>
          </w:p>
        </w:tc>
        <w:tc>
          <w:tcPr>
            <w:tcW w:w="519"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FCCA3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持股比例</w:t>
            </w:r>
          </w:p>
        </w:tc>
        <w:tc>
          <w:tcPr>
            <w:tcW w:w="549"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A998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报告期末持股数量</w:t>
            </w:r>
          </w:p>
        </w:tc>
        <w:tc>
          <w:tcPr>
            <w:tcW w:w="591"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5223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报告期内增减变动情况</w:t>
            </w:r>
          </w:p>
        </w:tc>
        <w:tc>
          <w:tcPr>
            <w:tcW w:w="581"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71FB9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持有有限售条件的股份数量</w:t>
            </w:r>
          </w:p>
        </w:tc>
        <w:tc>
          <w:tcPr>
            <w:tcW w:w="718"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DDD0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持有无限售条件的股份数量</w:t>
            </w:r>
          </w:p>
        </w:tc>
        <w:tc>
          <w:tcPr>
            <w:tcW w:w="1051" w:type="pct"/>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2B488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质押、标记或冻结情况</w:t>
            </w:r>
          </w:p>
        </w:tc>
      </w:tr>
      <w:tr w14:paraId="4C2521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44536AD">
            <w:pPr>
              <w:rPr>
                <w:rFonts w:ascii="Times New Roman" w:hAnsi="Times New Roman" w:cs="Times New Roman" w:eastAsiaTheme="majorEastAsia"/>
              </w:rPr>
            </w:pPr>
          </w:p>
        </w:tc>
        <w:tc>
          <w:tcPr>
            <w:tcW w:w="423"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00E43D">
            <w:pPr>
              <w:rPr>
                <w:rFonts w:ascii="Times New Roman" w:hAnsi="Times New Roman" w:cs="Times New Roman" w:eastAsiaTheme="majorEastAsia"/>
              </w:rPr>
            </w:pPr>
          </w:p>
        </w:tc>
        <w:tc>
          <w:tcPr>
            <w:tcW w:w="519"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A1416C2">
            <w:pPr>
              <w:rPr>
                <w:rFonts w:ascii="Times New Roman" w:hAnsi="Times New Roman" w:cs="Times New Roman" w:eastAsiaTheme="majorEastAsia"/>
              </w:rPr>
            </w:pPr>
          </w:p>
        </w:tc>
        <w:tc>
          <w:tcPr>
            <w:tcW w:w="549"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0B9B191">
            <w:pPr>
              <w:rPr>
                <w:rFonts w:ascii="Times New Roman" w:hAnsi="Times New Roman" w:cs="Times New Roman" w:eastAsiaTheme="majorEastAsia"/>
              </w:rPr>
            </w:pPr>
          </w:p>
        </w:tc>
        <w:tc>
          <w:tcPr>
            <w:tcW w:w="591"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C5D9CF">
            <w:pPr>
              <w:rPr>
                <w:rFonts w:ascii="Times New Roman" w:hAnsi="Times New Roman" w:cs="Times New Roman" w:eastAsiaTheme="majorEastAsia"/>
              </w:rPr>
            </w:pPr>
          </w:p>
        </w:tc>
        <w:tc>
          <w:tcPr>
            <w:tcW w:w="581"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B7CDD5">
            <w:pPr>
              <w:rPr>
                <w:rFonts w:ascii="Times New Roman" w:hAnsi="Times New Roman" w:cs="Times New Roman" w:eastAsiaTheme="majorEastAsia"/>
              </w:rPr>
            </w:pPr>
          </w:p>
        </w:tc>
        <w:tc>
          <w:tcPr>
            <w:tcW w:w="718"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5EE435">
            <w:pPr>
              <w:rPr>
                <w:rFonts w:ascii="Times New Roman" w:hAnsi="Times New Roman" w:cs="Times New Roman" w:eastAsiaTheme="majorEastAsia"/>
              </w:rPr>
            </w:pPr>
          </w:p>
        </w:tc>
        <w:tc>
          <w:tcPr>
            <w:tcW w:w="57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E409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股份状态</w:t>
            </w:r>
          </w:p>
        </w:tc>
        <w:tc>
          <w:tcPr>
            <w:tcW w:w="475" w:type="pct"/>
            <w:tcBorders>
              <w:top w:val="single" w:color="auto" w:sz="2" w:space="0"/>
              <w:left w:val="single" w:color="auto" w:sz="2" w:space="0"/>
              <w:bottom w:val="single" w:color="auto" w:sz="2" w:space="0"/>
              <w:right w:val="single" w:color="auto" w:sz="2" w:space="0"/>
            </w:tcBorders>
            <w:shd w:val="clear" w:color="auto" w:fill="D3D3D3"/>
            <w:vAlign w:val="center"/>
          </w:tcPr>
          <w:p w14:paraId="7CFCCA9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r>
      <w:tr w14:paraId="7F4EBF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571F8BE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423" w:type="pct"/>
            <w:tcBorders>
              <w:top w:val="single" w:color="auto" w:sz="2" w:space="0"/>
              <w:left w:val="single" w:color="auto" w:sz="2" w:space="0"/>
              <w:bottom w:val="single" w:color="auto" w:sz="2" w:space="0"/>
              <w:right w:val="single" w:color="auto" w:sz="2" w:space="0"/>
            </w:tcBorders>
            <w:vAlign w:val="center"/>
          </w:tcPr>
          <w:p w14:paraId="2DCDD06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4DDBEC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28.80%</w:t>
            </w:r>
          </w:p>
        </w:tc>
        <w:tc>
          <w:tcPr>
            <w:tcW w:w="549" w:type="pct"/>
            <w:tcBorders>
              <w:top w:val="single" w:color="auto" w:sz="2" w:space="0"/>
              <w:left w:val="single" w:color="auto" w:sz="2" w:space="0"/>
              <w:bottom w:val="single" w:color="auto" w:sz="2" w:space="0"/>
              <w:right w:val="single" w:color="auto" w:sz="2" w:space="0"/>
            </w:tcBorders>
            <w:vAlign w:val="center"/>
          </w:tcPr>
          <w:p w14:paraId="773F70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19,327,824</w:t>
            </w:r>
          </w:p>
        </w:tc>
        <w:tc>
          <w:tcPr>
            <w:tcW w:w="591" w:type="pct"/>
            <w:tcBorders>
              <w:top w:val="single" w:color="auto" w:sz="2" w:space="0"/>
              <w:left w:val="single" w:color="auto" w:sz="2" w:space="0"/>
              <w:bottom w:val="single" w:color="auto" w:sz="2" w:space="0"/>
              <w:right w:val="single" w:color="auto" w:sz="2" w:space="0"/>
            </w:tcBorders>
            <w:vAlign w:val="center"/>
          </w:tcPr>
          <w:p w14:paraId="6E499F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w:t>
            </w:r>
          </w:p>
        </w:tc>
        <w:tc>
          <w:tcPr>
            <w:tcW w:w="581" w:type="pct"/>
            <w:tcBorders>
              <w:top w:val="single" w:color="auto" w:sz="2" w:space="0"/>
              <w:left w:val="single" w:color="auto" w:sz="2" w:space="0"/>
              <w:bottom w:val="single" w:color="auto" w:sz="2" w:space="0"/>
              <w:right w:val="single" w:color="auto" w:sz="2" w:space="0"/>
            </w:tcBorders>
            <w:vAlign w:val="center"/>
          </w:tcPr>
          <w:p w14:paraId="75C8CC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19,327,824</w:t>
            </w:r>
          </w:p>
        </w:tc>
        <w:tc>
          <w:tcPr>
            <w:tcW w:w="718" w:type="pct"/>
            <w:tcBorders>
              <w:top w:val="single" w:color="auto" w:sz="2" w:space="0"/>
              <w:left w:val="single" w:color="auto" w:sz="2" w:space="0"/>
              <w:bottom w:val="single" w:color="auto" w:sz="2" w:space="0"/>
              <w:right w:val="single" w:color="auto" w:sz="2" w:space="0"/>
            </w:tcBorders>
            <w:vAlign w:val="center"/>
          </w:tcPr>
          <w:p w14:paraId="24A700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4410824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质押</w:t>
            </w:r>
          </w:p>
        </w:tc>
        <w:tc>
          <w:tcPr>
            <w:tcW w:w="475" w:type="pct"/>
            <w:tcBorders>
              <w:top w:val="single" w:color="auto" w:sz="2" w:space="0"/>
              <w:left w:val="single" w:color="auto" w:sz="2" w:space="0"/>
              <w:bottom w:val="single" w:color="auto" w:sz="2" w:space="0"/>
              <w:right w:val="single" w:color="auto" w:sz="2" w:space="0"/>
            </w:tcBorders>
            <w:vAlign w:val="center"/>
          </w:tcPr>
          <w:p w14:paraId="679A3A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5,060,000</w:t>
            </w:r>
          </w:p>
        </w:tc>
      </w:tr>
      <w:tr w14:paraId="2503A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7BD8643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423" w:type="pct"/>
            <w:tcBorders>
              <w:top w:val="single" w:color="auto" w:sz="2" w:space="0"/>
              <w:left w:val="single" w:color="auto" w:sz="2" w:space="0"/>
              <w:bottom w:val="single" w:color="auto" w:sz="2" w:space="0"/>
              <w:right w:val="single" w:color="auto" w:sz="2" w:space="0"/>
            </w:tcBorders>
            <w:vAlign w:val="center"/>
          </w:tcPr>
          <w:p w14:paraId="6F69F25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69B42E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6.23%</w:t>
            </w:r>
          </w:p>
        </w:tc>
        <w:tc>
          <w:tcPr>
            <w:tcW w:w="549" w:type="pct"/>
            <w:tcBorders>
              <w:top w:val="single" w:color="auto" w:sz="2" w:space="0"/>
              <w:left w:val="single" w:color="auto" w:sz="2" w:space="0"/>
              <w:bottom w:val="single" w:color="auto" w:sz="2" w:space="0"/>
              <w:right w:val="single" w:color="auto" w:sz="2" w:space="0"/>
            </w:tcBorders>
            <w:vAlign w:val="center"/>
          </w:tcPr>
          <w:p w14:paraId="3D0812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4,182,120</w:t>
            </w:r>
          </w:p>
        </w:tc>
        <w:tc>
          <w:tcPr>
            <w:tcW w:w="591" w:type="pct"/>
            <w:tcBorders>
              <w:top w:val="single" w:color="auto" w:sz="2" w:space="0"/>
              <w:left w:val="single" w:color="auto" w:sz="2" w:space="0"/>
              <w:bottom w:val="single" w:color="auto" w:sz="2" w:space="0"/>
              <w:right w:val="single" w:color="auto" w:sz="2" w:space="0"/>
            </w:tcBorders>
            <w:vAlign w:val="center"/>
          </w:tcPr>
          <w:p w14:paraId="46BDEA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-64,000</w:t>
            </w:r>
          </w:p>
        </w:tc>
        <w:tc>
          <w:tcPr>
            <w:tcW w:w="581" w:type="pct"/>
            <w:tcBorders>
              <w:top w:val="single" w:color="auto" w:sz="2" w:space="0"/>
              <w:left w:val="single" w:color="auto" w:sz="2" w:space="0"/>
              <w:bottom w:val="single" w:color="auto" w:sz="2" w:space="0"/>
              <w:right w:val="single" w:color="auto" w:sz="2" w:space="0"/>
            </w:tcBorders>
            <w:vAlign w:val="center"/>
          </w:tcPr>
          <w:p w14:paraId="6C2399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4,182,120</w:t>
            </w:r>
          </w:p>
        </w:tc>
        <w:tc>
          <w:tcPr>
            <w:tcW w:w="718" w:type="pct"/>
            <w:tcBorders>
              <w:top w:val="single" w:color="auto" w:sz="2" w:space="0"/>
              <w:left w:val="single" w:color="auto" w:sz="2" w:space="0"/>
              <w:bottom w:val="single" w:color="auto" w:sz="2" w:space="0"/>
              <w:right w:val="single" w:color="auto" w:sz="2" w:space="0"/>
            </w:tcBorders>
            <w:vAlign w:val="center"/>
          </w:tcPr>
          <w:p w14:paraId="68E40A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1A87633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质押</w:t>
            </w:r>
          </w:p>
        </w:tc>
        <w:tc>
          <w:tcPr>
            <w:tcW w:w="475" w:type="pct"/>
            <w:tcBorders>
              <w:top w:val="single" w:color="auto" w:sz="2" w:space="0"/>
              <w:left w:val="single" w:color="auto" w:sz="2" w:space="0"/>
              <w:bottom w:val="single" w:color="auto" w:sz="2" w:space="0"/>
              <w:right w:val="single" w:color="auto" w:sz="2" w:space="0"/>
            </w:tcBorders>
            <w:vAlign w:val="center"/>
          </w:tcPr>
          <w:p w14:paraId="79A201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3,600,000</w:t>
            </w:r>
          </w:p>
        </w:tc>
      </w:tr>
      <w:tr w14:paraId="595EB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7970AC8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南京优志投资管理合伙企业（有限合伙）</w:t>
            </w:r>
          </w:p>
        </w:tc>
        <w:tc>
          <w:tcPr>
            <w:tcW w:w="423" w:type="pct"/>
            <w:tcBorders>
              <w:top w:val="single" w:color="auto" w:sz="2" w:space="0"/>
              <w:left w:val="single" w:color="auto" w:sz="2" w:space="0"/>
              <w:bottom w:val="single" w:color="auto" w:sz="2" w:space="0"/>
              <w:right w:val="single" w:color="auto" w:sz="2" w:space="0"/>
            </w:tcBorders>
            <w:vAlign w:val="center"/>
          </w:tcPr>
          <w:p w14:paraId="38AA269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境内非国有法人</w:t>
            </w:r>
          </w:p>
        </w:tc>
        <w:tc>
          <w:tcPr>
            <w:tcW w:w="519" w:type="pct"/>
            <w:tcBorders>
              <w:top w:val="single" w:color="auto" w:sz="2" w:space="0"/>
              <w:left w:val="single" w:color="auto" w:sz="2" w:space="0"/>
              <w:bottom w:val="single" w:color="auto" w:sz="2" w:space="0"/>
              <w:right w:val="single" w:color="auto" w:sz="2" w:space="0"/>
            </w:tcBorders>
            <w:vAlign w:val="center"/>
          </w:tcPr>
          <w:p w14:paraId="7B8FD5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4.28%</w:t>
            </w:r>
          </w:p>
        </w:tc>
        <w:tc>
          <w:tcPr>
            <w:tcW w:w="549" w:type="pct"/>
            <w:tcBorders>
              <w:top w:val="single" w:color="auto" w:sz="2" w:space="0"/>
              <w:left w:val="single" w:color="auto" w:sz="2" w:space="0"/>
              <w:bottom w:val="single" w:color="auto" w:sz="2" w:space="0"/>
              <w:right w:val="single" w:color="auto" w:sz="2" w:space="0"/>
            </w:tcBorders>
            <w:vAlign w:val="center"/>
          </w:tcPr>
          <w:p w14:paraId="0B6C7C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2,875,000</w:t>
            </w:r>
          </w:p>
        </w:tc>
        <w:tc>
          <w:tcPr>
            <w:tcW w:w="591" w:type="pct"/>
            <w:tcBorders>
              <w:top w:val="single" w:color="auto" w:sz="2" w:space="0"/>
              <w:left w:val="single" w:color="auto" w:sz="2" w:space="0"/>
              <w:bottom w:val="single" w:color="auto" w:sz="2" w:space="0"/>
              <w:right w:val="single" w:color="auto" w:sz="2" w:space="0"/>
            </w:tcBorders>
            <w:vAlign w:val="center"/>
          </w:tcPr>
          <w:p w14:paraId="572476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81" w:type="pct"/>
            <w:tcBorders>
              <w:top w:val="single" w:color="auto" w:sz="2" w:space="0"/>
              <w:left w:val="single" w:color="auto" w:sz="2" w:space="0"/>
              <w:bottom w:val="single" w:color="auto" w:sz="2" w:space="0"/>
              <w:right w:val="single" w:color="auto" w:sz="2" w:space="0"/>
            </w:tcBorders>
            <w:vAlign w:val="center"/>
          </w:tcPr>
          <w:p w14:paraId="2C88F4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3C556B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2,875,000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2730B64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02EDAB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6CE0DA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5C2F3F7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共青城东兴博元投资中心（有限合伙）</w:t>
            </w:r>
          </w:p>
        </w:tc>
        <w:tc>
          <w:tcPr>
            <w:tcW w:w="423" w:type="pct"/>
            <w:tcBorders>
              <w:top w:val="single" w:color="auto" w:sz="2" w:space="0"/>
              <w:left w:val="single" w:color="auto" w:sz="2" w:space="0"/>
              <w:bottom w:val="single" w:color="auto" w:sz="2" w:space="0"/>
              <w:right w:val="single" w:color="auto" w:sz="2" w:space="0"/>
            </w:tcBorders>
            <w:vAlign w:val="center"/>
          </w:tcPr>
          <w:p w14:paraId="60E1D60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境内非国有法人</w:t>
            </w:r>
          </w:p>
        </w:tc>
        <w:tc>
          <w:tcPr>
            <w:tcW w:w="519" w:type="pct"/>
            <w:tcBorders>
              <w:top w:val="single" w:color="auto" w:sz="2" w:space="0"/>
              <w:left w:val="single" w:color="auto" w:sz="2" w:space="0"/>
              <w:bottom w:val="single" w:color="auto" w:sz="2" w:space="0"/>
              <w:right w:val="single" w:color="auto" w:sz="2" w:space="0"/>
            </w:tcBorders>
            <w:vAlign w:val="center"/>
          </w:tcPr>
          <w:p w14:paraId="793583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3.63%</w:t>
            </w:r>
          </w:p>
        </w:tc>
        <w:tc>
          <w:tcPr>
            <w:tcW w:w="549" w:type="pct"/>
            <w:tcBorders>
              <w:top w:val="single" w:color="auto" w:sz="2" w:space="0"/>
              <w:left w:val="single" w:color="auto" w:sz="2" w:space="0"/>
              <w:bottom w:val="single" w:color="auto" w:sz="2" w:space="0"/>
              <w:right w:val="single" w:color="auto" w:sz="2" w:space="0"/>
            </w:tcBorders>
            <w:vAlign w:val="center"/>
          </w:tcPr>
          <w:p w14:paraId="5FFF65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2,438,401</w:t>
            </w:r>
          </w:p>
        </w:tc>
        <w:tc>
          <w:tcPr>
            <w:tcW w:w="591" w:type="pct"/>
            <w:tcBorders>
              <w:top w:val="single" w:color="auto" w:sz="2" w:space="0"/>
              <w:left w:val="single" w:color="auto" w:sz="2" w:space="0"/>
              <w:bottom w:val="single" w:color="auto" w:sz="2" w:space="0"/>
              <w:right w:val="single" w:color="auto" w:sz="2" w:space="0"/>
            </w:tcBorders>
            <w:vAlign w:val="center"/>
          </w:tcPr>
          <w:p w14:paraId="058842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-35,400</w:t>
            </w:r>
          </w:p>
        </w:tc>
        <w:tc>
          <w:tcPr>
            <w:tcW w:w="581" w:type="pct"/>
            <w:tcBorders>
              <w:top w:val="single" w:color="auto" w:sz="2" w:space="0"/>
              <w:left w:val="single" w:color="auto" w:sz="2" w:space="0"/>
              <w:bottom w:val="single" w:color="auto" w:sz="2" w:space="0"/>
              <w:right w:val="single" w:color="auto" w:sz="2" w:space="0"/>
            </w:tcBorders>
            <w:vAlign w:val="center"/>
          </w:tcPr>
          <w:p w14:paraId="43ED69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3B7732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2,438,401</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524BA90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1B6B37A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0884FE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09F4AE6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南京乐遂信息咨询管理合伙企业（有限合伙）</w:t>
            </w:r>
          </w:p>
        </w:tc>
        <w:tc>
          <w:tcPr>
            <w:tcW w:w="423" w:type="pct"/>
            <w:tcBorders>
              <w:top w:val="single" w:color="auto" w:sz="2" w:space="0"/>
              <w:left w:val="single" w:color="auto" w:sz="2" w:space="0"/>
              <w:bottom w:val="single" w:color="auto" w:sz="2" w:space="0"/>
              <w:right w:val="single" w:color="auto" w:sz="2" w:space="0"/>
            </w:tcBorders>
            <w:vAlign w:val="center"/>
          </w:tcPr>
          <w:p w14:paraId="51E2321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境内非国有法人</w:t>
            </w:r>
          </w:p>
        </w:tc>
        <w:tc>
          <w:tcPr>
            <w:tcW w:w="519" w:type="pct"/>
            <w:tcBorders>
              <w:top w:val="single" w:color="auto" w:sz="2" w:space="0"/>
              <w:left w:val="single" w:color="auto" w:sz="2" w:space="0"/>
              <w:bottom w:val="single" w:color="auto" w:sz="2" w:space="0"/>
              <w:right w:val="single" w:color="auto" w:sz="2" w:space="0"/>
            </w:tcBorders>
            <w:vAlign w:val="center"/>
          </w:tcPr>
          <w:p w14:paraId="71DD21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w:t>
            </w:r>
          </w:p>
        </w:tc>
        <w:tc>
          <w:tcPr>
            <w:tcW w:w="549" w:type="pct"/>
            <w:tcBorders>
              <w:top w:val="single" w:color="auto" w:sz="2" w:space="0"/>
              <w:left w:val="single" w:color="auto" w:sz="2" w:space="0"/>
              <w:bottom w:val="single" w:color="auto" w:sz="2" w:space="0"/>
              <w:right w:val="single" w:color="auto" w:sz="2" w:space="0"/>
            </w:tcBorders>
            <w:vAlign w:val="center"/>
          </w:tcPr>
          <w:p w14:paraId="3E0AF0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983,186</w:t>
            </w:r>
          </w:p>
        </w:tc>
        <w:tc>
          <w:tcPr>
            <w:tcW w:w="591" w:type="pct"/>
            <w:tcBorders>
              <w:top w:val="single" w:color="auto" w:sz="2" w:space="0"/>
              <w:left w:val="single" w:color="auto" w:sz="2" w:space="0"/>
              <w:bottom w:val="single" w:color="auto" w:sz="2" w:space="0"/>
              <w:right w:val="single" w:color="auto" w:sz="2" w:space="0"/>
            </w:tcBorders>
            <w:vAlign w:val="center"/>
          </w:tcPr>
          <w:p w14:paraId="351FD2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-661,000</w:t>
            </w:r>
          </w:p>
        </w:tc>
        <w:tc>
          <w:tcPr>
            <w:tcW w:w="581" w:type="pct"/>
            <w:tcBorders>
              <w:top w:val="single" w:color="auto" w:sz="2" w:space="0"/>
              <w:left w:val="single" w:color="auto" w:sz="2" w:space="0"/>
              <w:bottom w:val="single" w:color="auto" w:sz="2" w:space="0"/>
              <w:right w:val="single" w:color="auto" w:sz="2" w:space="0"/>
            </w:tcBorders>
            <w:vAlign w:val="center"/>
          </w:tcPr>
          <w:p w14:paraId="504BD8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1C52B2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983,186</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114052A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0CB5C9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19011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5CC1C48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广东天亿马信息产业股份有限公司－2023年员工持股计划</w:t>
            </w:r>
          </w:p>
        </w:tc>
        <w:tc>
          <w:tcPr>
            <w:tcW w:w="423" w:type="pct"/>
            <w:tcBorders>
              <w:top w:val="single" w:color="auto" w:sz="2" w:space="0"/>
              <w:left w:val="single" w:color="auto" w:sz="2" w:space="0"/>
              <w:bottom w:val="single" w:color="auto" w:sz="2" w:space="0"/>
              <w:right w:val="single" w:color="auto" w:sz="2" w:space="0"/>
            </w:tcBorders>
            <w:vAlign w:val="center"/>
          </w:tcPr>
          <w:p w14:paraId="2542972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519" w:type="pct"/>
            <w:tcBorders>
              <w:top w:val="single" w:color="auto" w:sz="2" w:space="0"/>
              <w:left w:val="single" w:color="auto" w:sz="2" w:space="0"/>
              <w:bottom w:val="single" w:color="auto" w:sz="2" w:space="0"/>
              <w:right w:val="single" w:color="auto" w:sz="2" w:space="0"/>
            </w:tcBorders>
            <w:vAlign w:val="center"/>
          </w:tcPr>
          <w:p w14:paraId="59902D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0.70%</w:t>
            </w:r>
          </w:p>
        </w:tc>
        <w:tc>
          <w:tcPr>
            <w:tcW w:w="549" w:type="pct"/>
            <w:tcBorders>
              <w:top w:val="single" w:color="auto" w:sz="2" w:space="0"/>
              <w:left w:val="single" w:color="auto" w:sz="2" w:space="0"/>
              <w:bottom w:val="single" w:color="auto" w:sz="2" w:space="0"/>
              <w:right w:val="single" w:color="auto" w:sz="2" w:space="0"/>
            </w:tcBorders>
            <w:vAlign w:val="center"/>
          </w:tcPr>
          <w:p w14:paraId="0757DB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472,400</w:t>
            </w:r>
          </w:p>
        </w:tc>
        <w:tc>
          <w:tcPr>
            <w:tcW w:w="591" w:type="pct"/>
            <w:tcBorders>
              <w:top w:val="single" w:color="auto" w:sz="2" w:space="0"/>
              <w:left w:val="single" w:color="auto" w:sz="2" w:space="0"/>
              <w:bottom w:val="single" w:color="auto" w:sz="2" w:space="0"/>
              <w:right w:val="single" w:color="auto" w:sz="2" w:space="0"/>
            </w:tcBorders>
            <w:vAlign w:val="center"/>
          </w:tcPr>
          <w:p w14:paraId="2D4C6A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81" w:type="pct"/>
            <w:tcBorders>
              <w:top w:val="single" w:color="auto" w:sz="2" w:space="0"/>
              <w:left w:val="single" w:color="auto" w:sz="2" w:space="0"/>
              <w:bottom w:val="single" w:color="auto" w:sz="2" w:space="0"/>
              <w:right w:val="single" w:color="auto" w:sz="2" w:space="0"/>
            </w:tcBorders>
            <w:vAlign w:val="center"/>
          </w:tcPr>
          <w:p w14:paraId="66AA93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63CA13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472,400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685AC93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59B8D9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5AF71C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0EDDCC4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唐旭东</w:t>
            </w:r>
          </w:p>
        </w:tc>
        <w:tc>
          <w:tcPr>
            <w:tcW w:w="423" w:type="pct"/>
            <w:tcBorders>
              <w:top w:val="single" w:color="auto" w:sz="2" w:space="0"/>
              <w:left w:val="single" w:color="auto" w:sz="2" w:space="0"/>
              <w:bottom w:val="single" w:color="auto" w:sz="2" w:space="0"/>
              <w:right w:val="single" w:color="auto" w:sz="2" w:space="0"/>
            </w:tcBorders>
            <w:vAlign w:val="center"/>
          </w:tcPr>
          <w:p w14:paraId="4EBF513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43862B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0.53%</w:t>
            </w:r>
          </w:p>
        </w:tc>
        <w:tc>
          <w:tcPr>
            <w:tcW w:w="549" w:type="pct"/>
            <w:tcBorders>
              <w:top w:val="single" w:color="auto" w:sz="2" w:space="0"/>
              <w:left w:val="single" w:color="auto" w:sz="2" w:space="0"/>
              <w:bottom w:val="single" w:color="auto" w:sz="2" w:space="0"/>
              <w:right w:val="single" w:color="auto" w:sz="2" w:space="0"/>
            </w:tcBorders>
            <w:vAlign w:val="center"/>
          </w:tcPr>
          <w:p w14:paraId="2B4A74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355,860</w:t>
            </w:r>
          </w:p>
        </w:tc>
        <w:tc>
          <w:tcPr>
            <w:tcW w:w="591" w:type="pct"/>
            <w:tcBorders>
              <w:top w:val="single" w:color="auto" w:sz="2" w:space="0"/>
              <w:left w:val="single" w:color="auto" w:sz="2" w:space="0"/>
              <w:bottom w:val="single" w:color="auto" w:sz="2" w:space="0"/>
              <w:right w:val="single" w:color="auto" w:sz="2" w:space="0"/>
            </w:tcBorders>
            <w:vAlign w:val="center"/>
          </w:tcPr>
          <w:p w14:paraId="171C82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81" w:type="pct"/>
            <w:tcBorders>
              <w:top w:val="single" w:color="auto" w:sz="2" w:space="0"/>
              <w:left w:val="single" w:color="auto" w:sz="2" w:space="0"/>
              <w:bottom w:val="single" w:color="auto" w:sz="2" w:space="0"/>
              <w:right w:val="single" w:color="auto" w:sz="2" w:space="0"/>
            </w:tcBorders>
            <w:vAlign w:val="center"/>
          </w:tcPr>
          <w:p w14:paraId="0C83F7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7128AB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355,860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6E23D00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576006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3B9F1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19F5DED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郑树英</w:t>
            </w:r>
          </w:p>
        </w:tc>
        <w:tc>
          <w:tcPr>
            <w:tcW w:w="423" w:type="pct"/>
            <w:tcBorders>
              <w:top w:val="single" w:color="auto" w:sz="2" w:space="0"/>
              <w:left w:val="single" w:color="auto" w:sz="2" w:space="0"/>
              <w:bottom w:val="single" w:color="auto" w:sz="2" w:space="0"/>
              <w:right w:val="single" w:color="auto" w:sz="2" w:space="0"/>
            </w:tcBorders>
            <w:vAlign w:val="center"/>
          </w:tcPr>
          <w:p w14:paraId="5DCFC7C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7633EB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0.49%</w:t>
            </w:r>
          </w:p>
        </w:tc>
        <w:tc>
          <w:tcPr>
            <w:tcW w:w="549" w:type="pct"/>
            <w:tcBorders>
              <w:top w:val="single" w:color="auto" w:sz="2" w:space="0"/>
              <w:left w:val="single" w:color="auto" w:sz="2" w:space="0"/>
              <w:bottom w:val="single" w:color="auto" w:sz="2" w:space="0"/>
              <w:right w:val="single" w:color="auto" w:sz="2" w:space="0"/>
            </w:tcBorders>
            <w:vAlign w:val="center"/>
          </w:tcPr>
          <w:p w14:paraId="0DF0BB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327,229</w:t>
            </w:r>
          </w:p>
        </w:tc>
        <w:tc>
          <w:tcPr>
            <w:tcW w:w="591" w:type="pct"/>
            <w:tcBorders>
              <w:top w:val="single" w:color="auto" w:sz="2" w:space="0"/>
              <w:left w:val="single" w:color="auto" w:sz="2" w:space="0"/>
              <w:bottom w:val="single" w:color="auto" w:sz="2" w:space="0"/>
              <w:right w:val="single" w:color="auto" w:sz="2" w:space="0"/>
            </w:tcBorders>
            <w:vAlign w:val="center"/>
          </w:tcPr>
          <w:p w14:paraId="50B482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-887,771</w:t>
            </w:r>
          </w:p>
        </w:tc>
        <w:tc>
          <w:tcPr>
            <w:tcW w:w="581" w:type="pct"/>
            <w:tcBorders>
              <w:top w:val="single" w:color="auto" w:sz="2" w:space="0"/>
              <w:left w:val="single" w:color="auto" w:sz="2" w:space="0"/>
              <w:bottom w:val="single" w:color="auto" w:sz="2" w:space="0"/>
              <w:right w:val="single" w:color="auto" w:sz="2" w:space="0"/>
            </w:tcBorders>
            <w:vAlign w:val="center"/>
          </w:tcPr>
          <w:p w14:paraId="5FF32F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765957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327,229</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4A17DF2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25477F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3F3523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36BB503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李建华</w:t>
            </w:r>
          </w:p>
        </w:tc>
        <w:tc>
          <w:tcPr>
            <w:tcW w:w="423" w:type="pct"/>
            <w:tcBorders>
              <w:top w:val="single" w:color="auto" w:sz="2" w:space="0"/>
              <w:left w:val="single" w:color="auto" w:sz="2" w:space="0"/>
              <w:bottom w:val="single" w:color="auto" w:sz="2" w:space="0"/>
              <w:right w:val="single" w:color="auto" w:sz="2" w:space="0"/>
            </w:tcBorders>
            <w:vAlign w:val="center"/>
          </w:tcPr>
          <w:p w14:paraId="1309B53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287DAA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0.35%</w:t>
            </w:r>
          </w:p>
        </w:tc>
        <w:tc>
          <w:tcPr>
            <w:tcW w:w="549" w:type="pct"/>
            <w:tcBorders>
              <w:top w:val="single" w:color="auto" w:sz="2" w:space="0"/>
              <w:left w:val="single" w:color="auto" w:sz="2" w:space="0"/>
              <w:bottom w:val="single" w:color="auto" w:sz="2" w:space="0"/>
              <w:right w:val="single" w:color="auto" w:sz="2" w:space="0"/>
            </w:tcBorders>
            <w:vAlign w:val="center"/>
          </w:tcPr>
          <w:p w14:paraId="7E12EB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235,500</w:t>
            </w:r>
          </w:p>
        </w:tc>
        <w:tc>
          <w:tcPr>
            <w:tcW w:w="591" w:type="pct"/>
            <w:tcBorders>
              <w:top w:val="single" w:color="auto" w:sz="2" w:space="0"/>
              <w:left w:val="single" w:color="auto" w:sz="2" w:space="0"/>
              <w:bottom w:val="single" w:color="auto" w:sz="2" w:space="0"/>
              <w:right w:val="single" w:color="auto" w:sz="2" w:space="0"/>
            </w:tcBorders>
            <w:vAlign w:val="center"/>
          </w:tcPr>
          <w:p w14:paraId="6E1691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81" w:type="pct"/>
            <w:tcBorders>
              <w:top w:val="single" w:color="auto" w:sz="2" w:space="0"/>
              <w:left w:val="single" w:color="auto" w:sz="2" w:space="0"/>
              <w:bottom w:val="single" w:color="auto" w:sz="2" w:space="0"/>
              <w:right w:val="single" w:color="auto" w:sz="2" w:space="0"/>
            </w:tcBorders>
            <w:vAlign w:val="center"/>
          </w:tcPr>
          <w:p w14:paraId="14AE7C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060C42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235,500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22D2BF6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4EE98C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7089BB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70" w:type="pct"/>
            <w:tcBorders>
              <w:top w:val="single" w:color="auto" w:sz="2" w:space="0"/>
              <w:left w:val="single" w:color="auto" w:sz="2" w:space="0"/>
              <w:bottom w:val="single" w:color="auto" w:sz="2" w:space="0"/>
              <w:right w:val="single" w:color="auto" w:sz="2" w:space="0"/>
            </w:tcBorders>
            <w:vAlign w:val="center"/>
          </w:tcPr>
          <w:p w14:paraId="7B1F7F0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赵林泓</w:t>
            </w:r>
          </w:p>
        </w:tc>
        <w:tc>
          <w:tcPr>
            <w:tcW w:w="423" w:type="pct"/>
            <w:tcBorders>
              <w:top w:val="single" w:color="auto" w:sz="2" w:space="0"/>
              <w:left w:val="single" w:color="auto" w:sz="2" w:space="0"/>
              <w:bottom w:val="single" w:color="auto" w:sz="2" w:space="0"/>
              <w:right w:val="single" w:color="auto" w:sz="2" w:space="0"/>
            </w:tcBorders>
            <w:vAlign w:val="center"/>
          </w:tcPr>
          <w:p w14:paraId="1844697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境内自然人</w:t>
            </w:r>
          </w:p>
        </w:tc>
        <w:tc>
          <w:tcPr>
            <w:tcW w:w="519" w:type="pct"/>
            <w:tcBorders>
              <w:top w:val="single" w:color="auto" w:sz="2" w:space="0"/>
              <w:left w:val="single" w:color="auto" w:sz="2" w:space="0"/>
              <w:bottom w:val="single" w:color="auto" w:sz="2" w:space="0"/>
              <w:right w:val="single" w:color="auto" w:sz="2" w:space="0"/>
            </w:tcBorders>
            <w:vAlign w:val="center"/>
          </w:tcPr>
          <w:p w14:paraId="27CBD3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0.34%</w:t>
            </w:r>
          </w:p>
        </w:tc>
        <w:tc>
          <w:tcPr>
            <w:tcW w:w="549" w:type="pct"/>
            <w:tcBorders>
              <w:top w:val="single" w:color="auto" w:sz="2" w:space="0"/>
              <w:left w:val="single" w:color="auto" w:sz="2" w:space="0"/>
              <w:bottom w:val="single" w:color="auto" w:sz="2" w:space="0"/>
              <w:right w:val="single" w:color="auto" w:sz="2" w:space="0"/>
            </w:tcBorders>
            <w:vAlign w:val="center"/>
          </w:tcPr>
          <w:p w14:paraId="392BE6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228,900</w:t>
            </w:r>
          </w:p>
        </w:tc>
        <w:tc>
          <w:tcPr>
            <w:tcW w:w="591" w:type="pct"/>
            <w:tcBorders>
              <w:top w:val="single" w:color="auto" w:sz="2" w:space="0"/>
              <w:left w:val="single" w:color="auto" w:sz="2" w:space="0"/>
              <w:bottom w:val="single" w:color="auto" w:sz="2" w:space="0"/>
              <w:right w:val="single" w:color="auto" w:sz="2" w:space="0"/>
            </w:tcBorders>
            <w:vAlign w:val="center"/>
          </w:tcPr>
          <w:p w14:paraId="37B877D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581" w:type="pct"/>
            <w:tcBorders>
              <w:top w:val="single" w:color="auto" w:sz="2" w:space="0"/>
              <w:left w:val="single" w:color="auto" w:sz="2" w:space="0"/>
              <w:bottom w:val="single" w:color="auto" w:sz="2" w:space="0"/>
              <w:right w:val="single" w:color="auto" w:sz="2" w:space="0"/>
            </w:tcBorders>
            <w:vAlign w:val="center"/>
          </w:tcPr>
          <w:p w14:paraId="1AF37B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718" w:type="pct"/>
            <w:tcBorders>
              <w:top w:val="single" w:color="auto" w:sz="2" w:space="0"/>
              <w:left w:val="single" w:color="auto" w:sz="2" w:space="0"/>
              <w:bottom w:val="single" w:color="auto" w:sz="2" w:space="0"/>
              <w:right w:val="single" w:color="auto" w:sz="2" w:space="0"/>
            </w:tcBorders>
            <w:vAlign w:val="center"/>
          </w:tcPr>
          <w:p w14:paraId="0389DC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228,900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5EFFBB0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475" w:type="pct"/>
            <w:tcBorders>
              <w:top w:val="single" w:color="auto" w:sz="2" w:space="0"/>
              <w:left w:val="single" w:color="auto" w:sz="2" w:space="0"/>
              <w:bottom w:val="single" w:color="auto" w:sz="2" w:space="0"/>
              <w:right w:val="single" w:color="auto" w:sz="2" w:space="0"/>
            </w:tcBorders>
            <w:vAlign w:val="center"/>
          </w:tcPr>
          <w:p w14:paraId="5C4831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31351B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385477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战略投资者或一般法人因配售新股成为前10名股东的情况（如有）（参见注4）</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464CA4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3C8846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6050AA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上述股东关联关系或一致行动的说明</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403EDE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普通股前</w:t>
            </w:r>
            <w:r>
              <w:rPr>
                <w:rFonts w:hint="eastAsia" w:ascii="Times New Roman" w:hAnsi="Times New Roman" w:cs="Times New Roman" w:eastAsiaTheme="majorEastAsia"/>
                <w:sz w:val="18"/>
                <w:szCs w:val="18"/>
              </w:rPr>
              <w:t>10</w:t>
            </w:r>
            <w:r>
              <w:rPr>
                <w:rFonts w:ascii="Times New Roman" w:hAnsi="Times New Roman" w:cs="Times New Roman" w:eastAsiaTheme="majorEastAsia"/>
                <w:sz w:val="18"/>
                <w:szCs w:val="18"/>
              </w:rPr>
              <w:t>名股东之间，马学沛与林明玲系夫妻关系，马学沛为南京优志投资管理合伙企业（有限合伙）的执行事务合伙人。上述其他股东之间未知是否存在关联关系或属于一致行动人。</w:t>
            </w:r>
          </w:p>
        </w:tc>
      </w:tr>
      <w:tr w14:paraId="1B807A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13FB1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上述股东涉及委托/受托表决权、放弃表决权情况的说明</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68E38E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6BFE74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043223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前10名股东中存在回购专户的特别说明（如有）（参见注10）</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4A2EA8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05647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0"/>
            <w:tcBorders>
              <w:top w:val="single" w:color="auto" w:sz="2" w:space="0"/>
              <w:left w:val="single" w:color="auto" w:sz="2" w:space="0"/>
              <w:bottom w:val="single" w:color="auto" w:sz="2" w:space="0"/>
              <w:right w:val="single" w:color="auto" w:sz="2" w:space="0"/>
            </w:tcBorders>
            <w:shd w:val="clear" w:color="auto" w:fill="D3D3D3"/>
            <w:vAlign w:val="center"/>
          </w:tcPr>
          <w:p w14:paraId="0572B7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前10名无限售条件股东持股情况（不含通过转融通出借股份、高管锁定股）</w:t>
            </w:r>
          </w:p>
        </w:tc>
      </w:tr>
      <w:tr w14:paraId="41D96F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6527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股东名称</w:t>
            </w:r>
          </w:p>
        </w:tc>
        <w:tc>
          <w:tcPr>
            <w:tcW w:w="2956" w:type="pct"/>
            <w:gridSpan w:val="5"/>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E488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报告期末持有无限售条件股份数量</w:t>
            </w:r>
          </w:p>
        </w:tc>
        <w:tc>
          <w:tcPr>
            <w:tcW w:w="1051" w:type="pct"/>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B88A7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股份种类</w:t>
            </w:r>
          </w:p>
        </w:tc>
      </w:tr>
      <w:tr w14:paraId="25B424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DEFD523">
            <w:pPr>
              <w:rPr>
                <w:rFonts w:ascii="Times New Roman" w:hAnsi="Times New Roman" w:cs="Times New Roman" w:eastAsiaTheme="majorEastAsia"/>
              </w:rPr>
            </w:pPr>
          </w:p>
        </w:tc>
        <w:tc>
          <w:tcPr>
            <w:tcW w:w="2956" w:type="pct"/>
            <w:gridSpan w:val="5"/>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EE373C">
            <w:pPr>
              <w:rPr>
                <w:rFonts w:ascii="Times New Roman" w:hAnsi="Times New Roman" w:cs="Times New Roman" w:eastAsiaTheme="majorEastAsia"/>
              </w:rPr>
            </w:pPr>
          </w:p>
        </w:tc>
        <w:tc>
          <w:tcPr>
            <w:tcW w:w="576"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C269A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股份种类</w:t>
            </w:r>
          </w:p>
        </w:tc>
        <w:tc>
          <w:tcPr>
            <w:tcW w:w="475" w:type="pct"/>
            <w:tcBorders>
              <w:top w:val="single" w:color="auto" w:sz="2" w:space="0"/>
              <w:left w:val="single" w:color="auto" w:sz="2" w:space="0"/>
              <w:bottom w:val="single" w:color="auto" w:sz="2" w:space="0"/>
              <w:right w:val="single" w:color="auto" w:sz="2" w:space="0"/>
            </w:tcBorders>
            <w:shd w:val="clear" w:color="auto" w:fill="D3D3D3"/>
            <w:vAlign w:val="center"/>
          </w:tcPr>
          <w:p w14:paraId="4EDF37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r>
      <w:tr w14:paraId="728B02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0246843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南京优志投资管理合伙企业（有限合伙）</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2DCCEE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2,875,000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5F0E3F6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42FE2C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2,875,000</w:t>
            </w:r>
          </w:p>
        </w:tc>
      </w:tr>
      <w:tr w14:paraId="64B124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15E3743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共青城东兴博元投资中心（有限合伙）</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094C5E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2,438,401</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711184A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1BDBC7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2,438,401</w:t>
            </w:r>
          </w:p>
        </w:tc>
      </w:tr>
      <w:tr w14:paraId="1DA3C4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4443D99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南京乐遂信息咨询管理合伙企业（有限合伙）</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7A3587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983,186</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645C5FB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3A4E22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983,186</w:t>
            </w:r>
          </w:p>
        </w:tc>
      </w:tr>
      <w:tr w14:paraId="79DF41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01BEDE5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广东天亿马信息产业股份有限公司－2023年员工持股计划</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3E9724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472,400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7727406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1AFE98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472,400</w:t>
            </w:r>
          </w:p>
        </w:tc>
      </w:tr>
      <w:tr w14:paraId="616BCC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7910F40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唐旭东</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7DB18D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355,860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784FBAF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721403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355,860</w:t>
            </w:r>
          </w:p>
        </w:tc>
      </w:tr>
      <w:tr w14:paraId="3A6105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743D5A6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郑树英</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7B71CF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327,229</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5597433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531ED7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327,229</w:t>
            </w:r>
          </w:p>
        </w:tc>
      </w:tr>
      <w:tr w14:paraId="4087FB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488422E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李建华</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5E8FB7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235,500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3BFC544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5F588A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235,500</w:t>
            </w:r>
          </w:p>
        </w:tc>
      </w:tr>
      <w:tr w14:paraId="4BE13B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699C15B2">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赵林泓</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73EA56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228,900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6B6B725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07D137B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228,900</w:t>
            </w:r>
          </w:p>
        </w:tc>
      </w:tr>
      <w:tr w14:paraId="3B2A3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08B2FC7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陈冈</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469E67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203,200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2225F27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6046F8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203,200</w:t>
            </w:r>
          </w:p>
        </w:tc>
      </w:tr>
      <w:tr w14:paraId="0547A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vAlign w:val="center"/>
          </w:tcPr>
          <w:p w14:paraId="7D48FC4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殷慧琳</w:t>
            </w:r>
          </w:p>
        </w:tc>
        <w:tc>
          <w:tcPr>
            <w:tcW w:w="2956" w:type="pct"/>
            <w:gridSpan w:val="5"/>
            <w:tcBorders>
              <w:top w:val="single" w:color="auto" w:sz="2" w:space="0"/>
              <w:left w:val="single" w:color="auto" w:sz="2" w:space="0"/>
              <w:bottom w:val="single" w:color="auto" w:sz="2" w:space="0"/>
              <w:right w:val="single" w:color="auto" w:sz="2" w:space="0"/>
            </w:tcBorders>
            <w:vAlign w:val="center"/>
          </w:tcPr>
          <w:p w14:paraId="591649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195,100</w:t>
            </w:r>
          </w:p>
        </w:tc>
        <w:tc>
          <w:tcPr>
            <w:tcW w:w="576" w:type="pct"/>
            <w:gridSpan w:val="2"/>
            <w:tcBorders>
              <w:top w:val="single" w:color="auto" w:sz="2" w:space="0"/>
              <w:left w:val="single" w:color="auto" w:sz="2" w:space="0"/>
              <w:bottom w:val="single" w:color="auto" w:sz="2" w:space="0"/>
              <w:right w:val="single" w:color="auto" w:sz="2" w:space="0"/>
            </w:tcBorders>
            <w:vAlign w:val="center"/>
          </w:tcPr>
          <w:p w14:paraId="301C17E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人民币普通股</w:t>
            </w:r>
          </w:p>
        </w:tc>
        <w:tc>
          <w:tcPr>
            <w:tcW w:w="475" w:type="pct"/>
            <w:tcBorders>
              <w:top w:val="single" w:color="auto" w:sz="2" w:space="0"/>
              <w:left w:val="single" w:color="auto" w:sz="2" w:space="0"/>
              <w:bottom w:val="single" w:color="auto" w:sz="2" w:space="0"/>
              <w:right w:val="single" w:color="auto" w:sz="2" w:space="0"/>
            </w:tcBorders>
            <w:vAlign w:val="center"/>
          </w:tcPr>
          <w:p w14:paraId="5A9608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195,100</w:t>
            </w:r>
          </w:p>
        </w:tc>
      </w:tr>
      <w:tr w14:paraId="6CEBB5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A3F384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前10名无限售流通股股东之间，以及前10名无限售流通股股东和前10名股东之间关联关系或一致行动的说明</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55EBE670">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马学沛为南京优志投资管理合伙企业（有限合伙）的执行事务合伙人。此外，</w:t>
            </w:r>
            <w:r>
              <w:rPr>
                <w:rFonts w:ascii="Times New Roman" w:hAnsi="Times New Roman" w:cs="Times New Roman" w:eastAsiaTheme="majorEastAsia"/>
                <w:sz w:val="18"/>
                <w:szCs w:val="18"/>
              </w:rPr>
              <w:t>公司未知前10名无限售流通股股东之间，以及前10名无限售流通股股东和前10名股东之间是否存在关联关系或一致行动关系。</w:t>
            </w:r>
          </w:p>
        </w:tc>
      </w:tr>
      <w:tr w14:paraId="0FCDDB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93"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158B95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参与融资融券业务股东情况说明（如有）（参见注5）</w:t>
            </w:r>
          </w:p>
        </w:tc>
        <w:tc>
          <w:tcPr>
            <w:tcW w:w="4007" w:type="pct"/>
            <w:gridSpan w:val="8"/>
            <w:tcBorders>
              <w:top w:val="single" w:color="auto" w:sz="2" w:space="0"/>
              <w:left w:val="single" w:color="auto" w:sz="2" w:space="0"/>
              <w:bottom w:val="single" w:color="auto" w:sz="2" w:space="0"/>
              <w:right w:val="single" w:color="auto" w:sz="2" w:space="0"/>
            </w:tcBorders>
            <w:vAlign w:val="center"/>
          </w:tcPr>
          <w:p w14:paraId="76AEBF86">
            <w:pPr>
              <w:spacing w:before="156" w:beforeLines="50" w:after="156" w:afterLines="50" w:line="240" w:lineRule="exact"/>
              <w:rPr>
                <w:rFonts w:ascii="Times New Roman" w:hAnsi="Times New Roman" w:cs="Times New Roman" w:eastAsiaTheme="majorEastAsia"/>
                <w:sz w:val="18"/>
                <w:szCs w:val="18"/>
              </w:rPr>
            </w:pPr>
            <w:r>
              <w:rPr>
                <w:rFonts w:hint="eastAsia" w:ascii="宋体" w:hAnsi="宋体" w:eastAsia="宋体" w:cs="宋体"/>
                <w:sz w:val="18"/>
                <w:szCs w:val="18"/>
              </w:rPr>
              <w:t>①</w:t>
            </w:r>
            <w:r>
              <w:rPr>
                <w:rFonts w:ascii="Times New Roman" w:hAnsi="Times New Roman" w:cs="Times New Roman" w:eastAsiaTheme="majorEastAsia"/>
                <w:sz w:val="18"/>
                <w:szCs w:val="18"/>
              </w:rPr>
              <w:t>股东唐旭东通过普通证券账户持有公司股份0股，通过投资者信用证券账户持有公司股份355,860股，合计持有公司股份355,860股；</w:t>
            </w:r>
          </w:p>
          <w:p w14:paraId="3245E3BF">
            <w:pPr>
              <w:spacing w:before="156" w:beforeLines="50" w:after="156" w:afterLines="50" w:line="240" w:lineRule="exact"/>
              <w:rPr>
                <w:rFonts w:ascii="Times New Roman" w:hAnsi="Times New Roman" w:cs="Times New Roman" w:eastAsiaTheme="majorEastAsia"/>
                <w:sz w:val="18"/>
                <w:szCs w:val="18"/>
              </w:rPr>
            </w:pPr>
            <w:r>
              <w:rPr>
                <w:rFonts w:hint="eastAsia" w:ascii="宋体" w:hAnsi="宋体" w:eastAsia="宋体" w:cs="宋体"/>
                <w:sz w:val="18"/>
                <w:szCs w:val="18"/>
              </w:rPr>
              <w:t>②</w:t>
            </w:r>
            <w:r>
              <w:rPr>
                <w:rFonts w:ascii="Times New Roman" w:hAnsi="Times New Roman" w:cs="Times New Roman" w:eastAsiaTheme="majorEastAsia"/>
                <w:sz w:val="18"/>
                <w:szCs w:val="18"/>
              </w:rPr>
              <w:t>股东郑树英通过普通证券账户持有公司股份144,000股，通过投资者信用证券账户持有公司股份183,229股，合计持有公司股份327,229股；</w:t>
            </w:r>
          </w:p>
          <w:p w14:paraId="6BC36B71">
            <w:pPr>
              <w:spacing w:before="156" w:beforeLines="50" w:after="156" w:afterLines="50" w:line="240" w:lineRule="exact"/>
              <w:rPr>
                <w:rFonts w:ascii="Times New Roman" w:hAnsi="Times New Roman" w:cs="Times New Roman" w:eastAsiaTheme="majorEastAsia"/>
                <w:sz w:val="18"/>
                <w:szCs w:val="18"/>
              </w:rPr>
            </w:pPr>
            <w:r>
              <w:rPr>
                <w:rFonts w:hint="eastAsia" w:ascii="宋体" w:hAnsi="宋体" w:eastAsia="宋体" w:cs="宋体"/>
                <w:sz w:val="18"/>
                <w:szCs w:val="18"/>
              </w:rPr>
              <w:t>③</w:t>
            </w:r>
            <w:r>
              <w:rPr>
                <w:rFonts w:ascii="Times New Roman" w:hAnsi="Times New Roman" w:cs="Times New Roman" w:eastAsiaTheme="majorEastAsia"/>
                <w:sz w:val="18"/>
                <w:szCs w:val="18"/>
              </w:rPr>
              <w:t>股东赵林泓通过普通证券账户持有公司股份98,800股，通过投资者信用证券账户持有公司股份130,100股，合计持有公司股份228,900股。</w:t>
            </w:r>
          </w:p>
        </w:tc>
      </w:tr>
    </w:tbl>
    <w:p w14:paraId="675BBA7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持股5%以上股东、前10名股东及前10名无限售流通股股东参与转融通业务出借股份情况</w:t>
      </w:r>
    </w:p>
    <w:p w14:paraId="31D48199">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33EB07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前10名股东及前10名无限售流通股股东因转融通出借/归还原因导致较上期发生变化</w:t>
      </w:r>
    </w:p>
    <w:p w14:paraId="6A2A1ADF">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C8B8C7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公司是否具有表决权差异安排</w:t>
      </w:r>
    </w:p>
    <w:p w14:paraId="551C7F3D">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01730B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公司前10名普通股股东、前10名无限售条件普通股股东在报告期内是否进行约定购回交易</w:t>
      </w:r>
    </w:p>
    <w:p w14:paraId="48612F4C">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1154EDA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公司前10名普通股股东、前10名无限售条件普通股股东在报告期内未进行约定购回交易。</w:t>
      </w:r>
    </w:p>
    <w:p w14:paraId="24B3149A">
      <w:pPr>
        <w:pStyle w:val="3"/>
        <w:spacing w:line="280" w:lineRule="exact"/>
        <w:jc w:val="left"/>
        <w:rPr>
          <w:rFonts w:ascii="Times New Roman" w:hAnsi="Times New Roman" w:cs="Times New Roman" w:eastAsiaTheme="majorEastAsia"/>
          <w:b/>
          <w:bCs/>
        </w:rPr>
      </w:pPr>
      <w:bookmarkStart w:id="143" w:name="_Toc989032"/>
      <w:r>
        <w:rPr>
          <w:rFonts w:ascii="Times New Roman" w:hAnsi="Times New Roman" w:cs="Times New Roman" w:eastAsiaTheme="majorEastAsia"/>
          <w:b/>
          <w:bCs/>
        </w:rPr>
        <w:t>2、公司控股股东情况</w:t>
      </w:r>
      <w:bookmarkEnd w:id="143"/>
    </w:p>
    <w:p w14:paraId="34B011A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控股股东性质：自然人控股</w:t>
      </w:r>
    </w:p>
    <w:p w14:paraId="41F3720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控股股东类型：自然人</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A6C7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032B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控股股东姓名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B048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国籍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BD74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是否取得其他国家或地区居留权</w:t>
            </w:r>
          </w:p>
        </w:tc>
      </w:tr>
      <w:tr w14:paraId="06B558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949FA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3213" w:type="dxa"/>
            <w:tcBorders>
              <w:top w:val="single" w:color="auto" w:sz="2" w:space="0"/>
              <w:left w:val="single" w:color="auto" w:sz="2" w:space="0"/>
              <w:bottom w:val="single" w:color="auto" w:sz="2" w:space="0"/>
              <w:right w:val="single" w:color="auto" w:sz="2" w:space="0"/>
            </w:tcBorders>
            <w:vAlign w:val="center"/>
          </w:tcPr>
          <w:p w14:paraId="524389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w:t>
            </w:r>
          </w:p>
        </w:tc>
        <w:tc>
          <w:tcPr>
            <w:tcW w:w="3213" w:type="dxa"/>
            <w:tcBorders>
              <w:top w:val="single" w:color="auto" w:sz="2" w:space="0"/>
              <w:left w:val="single" w:color="auto" w:sz="2" w:space="0"/>
              <w:bottom w:val="single" w:color="auto" w:sz="2" w:space="0"/>
              <w:right w:val="single" w:color="auto" w:sz="2" w:space="0"/>
            </w:tcBorders>
            <w:vAlign w:val="center"/>
          </w:tcPr>
          <w:p w14:paraId="6A340DF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A0C99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0B48B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主要职业及职务</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066F8E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详见本报告第四节 公司治理 七、董事、监事和高级管理人员情况 2、任职情况</w:t>
            </w:r>
          </w:p>
        </w:tc>
      </w:tr>
      <w:tr w14:paraId="06E2C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83C99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报告期内控股和参股的其他境内外上市公司的股权情况</w:t>
            </w: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3971B6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bl>
    <w:p w14:paraId="072CD18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控股股东报告期内变更</w:t>
      </w:r>
    </w:p>
    <w:p w14:paraId="48930C1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228493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公司报告期控股股东未发生变更。</w:t>
      </w:r>
    </w:p>
    <w:p w14:paraId="0D3E2C71">
      <w:pPr>
        <w:pStyle w:val="3"/>
        <w:spacing w:line="280" w:lineRule="exact"/>
        <w:jc w:val="left"/>
        <w:rPr>
          <w:rFonts w:ascii="Times New Roman" w:hAnsi="Times New Roman" w:cs="Times New Roman" w:eastAsiaTheme="majorEastAsia"/>
          <w:b/>
          <w:bCs/>
        </w:rPr>
      </w:pPr>
      <w:bookmarkStart w:id="144" w:name="_Toc989033"/>
      <w:r>
        <w:rPr>
          <w:rFonts w:ascii="Times New Roman" w:hAnsi="Times New Roman" w:cs="Times New Roman" w:eastAsiaTheme="majorEastAsia"/>
          <w:b/>
          <w:bCs/>
        </w:rPr>
        <w:t>3、公司实际控制人及其一致行动人</w:t>
      </w:r>
      <w:bookmarkEnd w:id="144"/>
    </w:p>
    <w:p w14:paraId="0493981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实际控制人性质：境内自然人</w:t>
      </w:r>
    </w:p>
    <w:p w14:paraId="1F492B0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实际控制人类型：自然人</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5F7D6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25FB0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实际控制人姓名</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CCF6E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与实际控制人关系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64E2C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国籍</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7194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是否取得其他国家或地区居留权</w:t>
            </w:r>
          </w:p>
        </w:tc>
      </w:tr>
      <w:tr w14:paraId="06A2EB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C600D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2410" w:type="dxa"/>
            <w:tcBorders>
              <w:top w:val="single" w:color="auto" w:sz="2" w:space="0"/>
              <w:left w:val="single" w:color="auto" w:sz="2" w:space="0"/>
              <w:bottom w:val="single" w:color="auto" w:sz="2" w:space="0"/>
              <w:right w:val="single" w:color="auto" w:sz="2" w:space="0"/>
            </w:tcBorders>
            <w:vAlign w:val="center"/>
          </w:tcPr>
          <w:p w14:paraId="58EA03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w:t>
            </w:r>
          </w:p>
        </w:tc>
        <w:tc>
          <w:tcPr>
            <w:tcW w:w="2410" w:type="dxa"/>
            <w:tcBorders>
              <w:top w:val="single" w:color="auto" w:sz="2" w:space="0"/>
              <w:left w:val="single" w:color="auto" w:sz="2" w:space="0"/>
              <w:bottom w:val="single" w:color="auto" w:sz="2" w:space="0"/>
              <w:right w:val="single" w:color="auto" w:sz="2" w:space="0"/>
            </w:tcBorders>
            <w:vAlign w:val="center"/>
          </w:tcPr>
          <w:p w14:paraId="0515FB5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w:t>
            </w:r>
          </w:p>
        </w:tc>
        <w:tc>
          <w:tcPr>
            <w:tcW w:w="2410" w:type="dxa"/>
            <w:tcBorders>
              <w:top w:val="single" w:color="auto" w:sz="2" w:space="0"/>
              <w:left w:val="single" w:color="auto" w:sz="2" w:space="0"/>
              <w:bottom w:val="single" w:color="auto" w:sz="2" w:space="0"/>
              <w:right w:val="single" w:color="auto" w:sz="2" w:space="0"/>
            </w:tcBorders>
            <w:vAlign w:val="center"/>
          </w:tcPr>
          <w:p w14:paraId="7AF7C6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12ECE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40131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2410" w:type="dxa"/>
            <w:tcBorders>
              <w:top w:val="single" w:color="auto" w:sz="2" w:space="0"/>
              <w:left w:val="single" w:color="auto" w:sz="2" w:space="0"/>
              <w:bottom w:val="single" w:color="auto" w:sz="2" w:space="0"/>
              <w:right w:val="single" w:color="auto" w:sz="2" w:space="0"/>
            </w:tcBorders>
            <w:vAlign w:val="center"/>
          </w:tcPr>
          <w:p w14:paraId="044AF8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本人</w:t>
            </w:r>
          </w:p>
        </w:tc>
        <w:tc>
          <w:tcPr>
            <w:tcW w:w="2410" w:type="dxa"/>
            <w:tcBorders>
              <w:top w:val="single" w:color="auto" w:sz="2" w:space="0"/>
              <w:left w:val="single" w:color="auto" w:sz="2" w:space="0"/>
              <w:bottom w:val="single" w:color="auto" w:sz="2" w:space="0"/>
              <w:right w:val="single" w:color="auto" w:sz="2" w:space="0"/>
            </w:tcBorders>
            <w:vAlign w:val="center"/>
          </w:tcPr>
          <w:p w14:paraId="5B9FD29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w:t>
            </w:r>
          </w:p>
        </w:tc>
        <w:tc>
          <w:tcPr>
            <w:tcW w:w="2410" w:type="dxa"/>
            <w:tcBorders>
              <w:top w:val="single" w:color="auto" w:sz="2" w:space="0"/>
              <w:left w:val="single" w:color="auto" w:sz="2" w:space="0"/>
              <w:bottom w:val="single" w:color="auto" w:sz="2" w:space="0"/>
              <w:right w:val="single" w:color="auto" w:sz="2" w:space="0"/>
            </w:tcBorders>
            <w:vAlign w:val="center"/>
          </w:tcPr>
          <w:p w14:paraId="629358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053B83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064D3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主要职业及职务</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5BFE5F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详见本报告第四节 公司治理 七、董事、监事和高级管理人员情况 2、任职情况</w:t>
            </w:r>
          </w:p>
        </w:tc>
      </w:tr>
      <w:tr w14:paraId="048EBA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D63CB8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过去10年曾控股的境内外上市公司情况</w:t>
            </w:r>
          </w:p>
        </w:tc>
        <w:tc>
          <w:tcPr>
            <w:tcW w:w="7229" w:type="dxa"/>
            <w:gridSpan w:val="3"/>
            <w:tcBorders>
              <w:top w:val="single" w:color="auto" w:sz="2" w:space="0"/>
              <w:left w:val="single" w:color="auto" w:sz="2" w:space="0"/>
              <w:bottom w:val="single" w:color="auto" w:sz="2" w:space="0"/>
              <w:right w:val="single" w:color="auto" w:sz="2" w:space="0"/>
            </w:tcBorders>
            <w:vAlign w:val="center"/>
          </w:tcPr>
          <w:p w14:paraId="0BF994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bl>
    <w:p w14:paraId="11B3A39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实际控制人报告期内变更</w:t>
      </w:r>
    </w:p>
    <w:p w14:paraId="6A2FB0E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03DF13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公司报告期实际控制人未发生变更。</w:t>
      </w:r>
    </w:p>
    <w:p w14:paraId="0AB4DD3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公司与实际控制人之间的产权及控制关系的方框图</w:t>
      </w:r>
    </w:p>
    <w:p w14:paraId="653A1D34">
      <w:pPr>
        <w:spacing w:before="40" w:after="40" w:line="0" w:lineRule="atLeast"/>
        <w:jc w:val="center"/>
        <w:rPr>
          <w:rFonts w:ascii="Times New Roman" w:hAnsi="Times New Roman" w:cs="Times New Roman" w:eastAsiaTheme="majorEastAsia"/>
        </w:rPr>
      </w:pPr>
      <w:r>
        <w:rPr>
          <w:rFonts w:ascii="Times New Roman" w:hAnsi="Times New Roman" w:cs="Times New Roman" w:eastAsiaTheme="majorEastAsia"/>
        </w:rPr>
        <w:drawing>
          <wp:inline distT="0" distB="0" distL="0" distR="0">
            <wp:extent cx="5445760" cy="3225800"/>
            <wp:effectExtent l="0" t="0" r="254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7" cstate="print"/>
                    <a:stretch>
                      <a:fillRect/>
                    </a:stretch>
                  </pic:blipFill>
                  <pic:spPr>
                    <a:xfrm>
                      <a:off x="0" y="0"/>
                      <a:ext cx="5445942" cy="3226010"/>
                    </a:xfrm>
                    <a:prstGeom prst="rect">
                      <a:avLst/>
                    </a:prstGeom>
                  </pic:spPr>
                </pic:pic>
              </a:graphicData>
            </a:graphic>
          </wp:inline>
        </w:drawing>
      </w:r>
    </w:p>
    <w:p w14:paraId="5195FC7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实际控制人通过信托或其他资产管理方式控制公司</w:t>
      </w:r>
    </w:p>
    <w:p w14:paraId="0137EE60">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29B4936">
      <w:pPr>
        <w:pStyle w:val="3"/>
        <w:spacing w:line="280" w:lineRule="exact"/>
        <w:jc w:val="left"/>
        <w:rPr>
          <w:rFonts w:ascii="Times New Roman" w:hAnsi="Times New Roman" w:cs="Times New Roman" w:eastAsiaTheme="majorEastAsia"/>
          <w:b/>
          <w:bCs/>
        </w:rPr>
      </w:pPr>
      <w:bookmarkStart w:id="145" w:name="_Toc989034"/>
      <w:r>
        <w:rPr>
          <w:rFonts w:ascii="Times New Roman" w:hAnsi="Times New Roman" w:cs="Times New Roman" w:eastAsiaTheme="majorEastAsia"/>
          <w:b/>
          <w:bCs/>
        </w:rPr>
        <w:t>4、公司控股股东或第一大股东及其一致行动人累计质押股份数量占其所持公司股份数量比例达到80%</w:t>
      </w:r>
      <w:bookmarkEnd w:id="145"/>
    </w:p>
    <w:p w14:paraId="7366606E">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08DF36F">
      <w:pPr>
        <w:pStyle w:val="3"/>
        <w:spacing w:line="280" w:lineRule="exact"/>
        <w:jc w:val="left"/>
        <w:rPr>
          <w:rFonts w:ascii="Times New Roman" w:hAnsi="Times New Roman" w:cs="Times New Roman" w:eastAsiaTheme="majorEastAsia"/>
          <w:b/>
          <w:bCs/>
        </w:rPr>
      </w:pPr>
      <w:bookmarkStart w:id="146" w:name="_Toc989035"/>
      <w:r>
        <w:rPr>
          <w:rFonts w:ascii="Times New Roman" w:hAnsi="Times New Roman" w:cs="Times New Roman" w:eastAsiaTheme="majorEastAsia"/>
          <w:b/>
          <w:bCs/>
        </w:rPr>
        <w:t>5、其他持股在10%以上的法人股东</w:t>
      </w:r>
      <w:bookmarkEnd w:id="146"/>
    </w:p>
    <w:p w14:paraId="42B57EAF">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9B01F23">
      <w:pPr>
        <w:pStyle w:val="3"/>
        <w:spacing w:line="280" w:lineRule="exact"/>
        <w:jc w:val="left"/>
        <w:rPr>
          <w:rFonts w:ascii="Times New Roman" w:hAnsi="Times New Roman" w:cs="Times New Roman" w:eastAsiaTheme="majorEastAsia"/>
          <w:b/>
          <w:bCs/>
        </w:rPr>
      </w:pPr>
      <w:bookmarkStart w:id="147" w:name="_Toc989036"/>
      <w:r>
        <w:rPr>
          <w:rFonts w:ascii="Times New Roman" w:hAnsi="Times New Roman" w:cs="Times New Roman" w:eastAsiaTheme="majorEastAsia"/>
          <w:b/>
          <w:bCs/>
        </w:rPr>
        <w:t>6、控股股东、实际控制人、重组方及其他承诺主体股份限制减持情况</w:t>
      </w:r>
      <w:bookmarkEnd w:id="147"/>
    </w:p>
    <w:p w14:paraId="51F690F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0EB29166">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详情见本报</w:t>
      </w:r>
      <w:r>
        <w:rPr>
          <w:rFonts w:cs="Times New Roman" w:asciiTheme="majorEastAsia" w:hAnsiTheme="majorEastAsia" w:eastAsiaTheme="majorEastAsia"/>
          <w:sz w:val="21"/>
          <w:szCs w:val="21"/>
        </w:rPr>
        <w:t>告“第六节 重要事项 一、承诺事项履行情况”</w:t>
      </w:r>
      <w:r>
        <w:rPr>
          <w:rFonts w:ascii="Times New Roman" w:hAnsi="Times New Roman" w:cs="Times New Roman" w:eastAsiaTheme="majorEastAsia"/>
          <w:sz w:val="21"/>
          <w:szCs w:val="21"/>
        </w:rPr>
        <w:t>。</w:t>
      </w:r>
    </w:p>
    <w:p w14:paraId="15042FC8">
      <w:pPr>
        <w:pStyle w:val="2"/>
        <w:spacing w:before="300" w:after="300" w:line="320" w:lineRule="exact"/>
        <w:rPr>
          <w:rFonts w:ascii="Times New Roman" w:hAnsi="Times New Roman" w:cs="Times New Roman" w:eastAsiaTheme="majorEastAsia"/>
          <w:b/>
          <w:bCs/>
          <w:sz w:val="24"/>
          <w:szCs w:val="24"/>
        </w:rPr>
      </w:pPr>
      <w:bookmarkStart w:id="148" w:name="_Toc989037"/>
      <w:r>
        <w:rPr>
          <w:rFonts w:ascii="Times New Roman" w:hAnsi="Times New Roman" w:cs="Times New Roman" w:eastAsiaTheme="majorEastAsia"/>
          <w:b/>
          <w:bCs/>
          <w:sz w:val="24"/>
          <w:szCs w:val="24"/>
        </w:rPr>
        <w:t>四、股份回购在报告期的具体实施情况</w:t>
      </w:r>
      <w:bookmarkEnd w:id="148"/>
    </w:p>
    <w:p w14:paraId="368D2BD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股份回购的实施进展情况</w:t>
      </w:r>
    </w:p>
    <w:p w14:paraId="4E5DDB9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04"/>
        <w:gridCol w:w="1205"/>
        <w:gridCol w:w="1205"/>
        <w:gridCol w:w="1205"/>
        <w:gridCol w:w="1205"/>
        <w:gridCol w:w="1205"/>
        <w:gridCol w:w="1205"/>
        <w:gridCol w:w="1205"/>
      </w:tblGrid>
      <w:tr w14:paraId="67701D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55BC6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方案披露时间</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19BCB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拟回购股份数量（股）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D1175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占总股本的比例</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500D0E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拟回购金额（万元）</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2503C9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拟回购期间</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EA62B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回购用途</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051AF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已回购数量（股）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1B8D97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已回购数量占股权激励计划所涉及的标的股票的比例（如有）</w:t>
            </w:r>
          </w:p>
        </w:tc>
      </w:tr>
      <w:tr w14:paraId="63B145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D7D5C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2023年02月02日</w:t>
            </w:r>
          </w:p>
        </w:tc>
        <w:tc>
          <w:tcPr>
            <w:tcW w:w="1205" w:type="dxa"/>
            <w:tcBorders>
              <w:top w:val="single" w:color="auto" w:sz="2" w:space="0"/>
              <w:left w:val="single" w:color="auto" w:sz="2" w:space="0"/>
              <w:bottom w:val="single" w:color="auto" w:sz="2" w:space="0"/>
              <w:right w:val="single" w:color="auto" w:sz="2" w:space="0"/>
            </w:tcBorders>
            <w:vAlign w:val="center"/>
          </w:tcPr>
          <w:p w14:paraId="7610E90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205" w:type="dxa"/>
            <w:tcBorders>
              <w:top w:val="single" w:color="auto" w:sz="2" w:space="0"/>
              <w:left w:val="single" w:color="auto" w:sz="2" w:space="0"/>
              <w:bottom w:val="single" w:color="auto" w:sz="2" w:space="0"/>
              <w:right w:val="single" w:color="auto" w:sz="2" w:space="0"/>
            </w:tcBorders>
            <w:vAlign w:val="center"/>
          </w:tcPr>
          <w:p w14:paraId="102F7B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205" w:type="dxa"/>
            <w:tcBorders>
              <w:top w:val="single" w:color="auto" w:sz="2" w:space="0"/>
              <w:left w:val="single" w:color="auto" w:sz="2" w:space="0"/>
              <w:bottom w:val="single" w:color="auto" w:sz="2" w:space="0"/>
              <w:right w:val="single" w:color="auto" w:sz="2" w:space="0"/>
            </w:tcBorders>
            <w:vAlign w:val="center"/>
          </w:tcPr>
          <w:p w14:paraId="674639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2,500-5,000 </w:t>
            </w:r>
          </w:p>
        </w:tc>
        <w:tc>
          <w:tcPr>
            <w:tcW w:w="1205" w:type="dxa"/>
            <w:tcBorders>
              <w:top w:val="single" w:color="auto" w:sz="2" w:space="0"/>
              <w:left w:val="single" w:color="auto" w:sz="2" w:space="0"/>
              <w:bottom w:val="single" w:color="auto" w:sz="2" w:space="0"/>
              <w:right w:val="single" w:color="auto" w:sz="2" w:space="0"/>
            </w:tcBorders>
            <w:vAlign w:val="center"/>
          </w:tcPr>
          <w:p w14:paraId="4BB862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2023年2月2日至2024年2月1日</w:t>
            </w:r>
          </w:p>
        </w:tc>
        <w:tc>
          <w:tcPr>
            <w:tcW w:w="1205" w:type="dxa"/>
            <w:tcBorders>
              <w:top w:val="single" w:color="auto" w:sz="2" w:space="0"/>
              <w:left w:val="single" w:color="auto" w:sz="2" w:space="0"/>
              <w:bottom w:val="single" w:color="auto" w:sz="2" w:space="0"/>
              <w:right w:val="single" w:color="auto" w:sz="2" w:space="0"/>
            </w:tcBorders>
            <w:vAlign w:val="center"/>
          </w:tcPr>
          <w:p w14:paraId="3AEBE76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用于实施员工持股计划或股权激励。</w:t>
            </w:r>
          </w:p>
        </w:tc>
        <w:tc>
          <w:tcPr>
            <w:tcW w:w="1205" w:type="dxa"/>
            <w:tcBorders>
              <w:top w:val="single" w:color="auto" w:sz="2" w:space="0"/>
              <w:left w:val="single" w:color="auto" w:sz="2" w:space="0"/>
              <w:bottom w:val="single" w:color="auto" w:sz="2" w:space="0"/>
              <w:right w:val="single" w:color="auto" w:sz="2" w:space="0"/>
            </w:tcBorders>
            <w:vAlign w:val="center"/>
          </w:tcPr>
          <w:p w14:paraId="463584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940,700</w:t>
            </w:r>
          </w:p>
        </w:tc>
        <w:tc>
          <w:tcPr>
            <w:tcW w:w="1205" w:type="dxa"/>
            <w:tcBorders>
              <w:top w:val="single" w:color="auto" w:sz="2" w:space="0"/>
              <w:left w:val="single" w:color="auto" w:sz="2" w:space="0"/>
              <w:bottom w:val="single" w:color="auto" w:sz="2" w:space="0"/>
              <w:right w:val="single" w:color="auto" w:sz="2" w:space="0"/>
            </w:tcBorders>
            <w:vAlign w:val="center"/>
          </w:tcPr>
          <w:p w14:paraId="034B58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r w14:paraId="2B4C1A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205" w:type="dxa"/>
            <w:tcBorders>
              <w:top w:val="single" w:color="auto" w:sz="2" w:space="0"/>
              <w:left w:val="single" w:color="auto" w:sz="2" w:space="0"/>
              <w:bottom w:val="single" w:color="auto" w:sz="2" w:space="0"/>
              <w:right w:val="single" w:color="auto" w:sz="2" w:space="0"/>
            </w:tcBorders>
            <w:vAlign w:val="center"/>
          </w:tcPr>
          <w:p w14:paraId="68125F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2024年02月05日</w:t>
            </w:r>
          </w:p>
        </w:tc>
        <w:tc>
          <w:tcPr>
            <w:tcW w:w="1205" w:type="dxa"/>
            <w:tcBorders>
              <w:top w:val="single" w:color="auto" w:sz="2" w:space="0"/>
              <w:left w:val="single" w:color="auto" w:sz="2" w:space="0"/>
              <w:bottom w:val="single" w:color="auto" w:sz="2" w:space="0"/>
              <w:right w:val="single" w:color="auto" w:sz="2" w:space="0"/>
            </w:tcBorders>
            <w:vAlign w:val="center"/>
          </w:tcPr>
          <w:p w14:paraId="1B1C42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205" w:type="dxa"/>
            <w:tcBorders>
              <w:top w:val="single" w:color="auto" w:sz="2" w:space="0"/>
              <w:left w:val="single" w:color="auto" w:sz="2" w:space="0"/>
              <w:bottom w:val="single" w:color="auto" w:sz="2" w:space="0"/>
              <w:right w:val="single" w:color="auto" w:sz="2" w:space="0"/>
            </w:tcBorders>
            <w:vAlign w:val="center"/>
          </w:tcPr>
          <w:p w14:paraId="4DA1D2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c>
          <w:tcPr>
            <w:tcW w:w="1205" w:type="dxa"/>
            <w:tcBorders>
              <w:top w:val="single" w:color="auto" w:sz="2" w:space="0"/>
              <w:left w:val="single" w:color="auto" w:sz="2" w:space="0"/>
              <w:bottom w:val="single" w:color="auto" w:sz="2" w:space="0"/>
              <w:right w:val="single" w:color="auto" w:sz="2" w:space="0"/>
            </w:tcBorders>
            <w:vAlign w:val="center"/>
          </w:tcPr>
          <w:p w14:paraId="76342B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1,500-3,000 </w:t>
            </w:r>
          </w:p>
        </w:tc>
        <w:tc>
          <w:tcPr>
            <w:tcW w:w="1205" w:type="dxa"/>
            <w:tcBorders>
              <w:top w:val="single" w:color="auto" w:sz="2" w:space="0"/>
              <w:left w:val="single" w:color="auto" w:sz="2" w:space="0"/>
              <w:bottom w:val="single" w:color="auto" w:sz="2" w:space="0"/>
              <w:right w:val="single" w:color="auto" w:sz="2" w:space="0"/>
            </w:tcBorders>
            <w:vAlign w:val="center"/>
          </w:tcPr>
          <w:p w14:paraId="7452C2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2024年2月6日至2025年2月5日</w:t>
            </w:r>
          </w:p>
        </w:tc>
        <w:tc>
          <w:tcPr>
            <w:tcW w:w="1205" w:type="dxa"/>
            <w:tcBorders>
              <w:top w:val="single" w:color="auto" w:sz="2" w:space="0"/>
              <w:left w:val="single" w:color="auto" w:sz="2" w:space="0"/>
              <w:bottom w:val="single" w:color="auto" w:sz="2" w:space="0"/>
              <w:right w:val="single" w:color="auto" w:sz="2" w:space="0"/>
            </w:tcBorders>
            <w:vAlign w:val="center"/>
          </w:tcPr>
          <w:p w14:paraId="24F1DB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用于实施员工持股计划或股权激励。</w:t>
            </w:r>
          </w:p>
        </w:tc>
        <w:tc>
          <w:tcPr>
            <w:tcW w:w="1205" w:type="dxa"/>
            <w:tcBorders>
              <w:top w:val="single" w:color="auto" w:sz="2" w:space="0"/>
              <w:left w:val="single" w:color="auto" w:sz="2" w:space="0"/>
              <w:bottom w:val="single" w:color="auto" w:sz="2" w:space="0"/>
              <w:right w:val="single" w:color="auto" w:sz="2" w:space="0"/>
            </w:tcBorders>
            <w:vAlign w:val="center"/>
          </w:tcPr>
          <w:p w14:paraId="6D4D32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755,840</w:t>
            </w:r>
          </w:p>
        </w:tc>
        <w:tc>
          <w:tcPr>
            <w:tcW w:w="1205" w:type="dxa"/>
            <w:tcBorders>
              <w:top w:val="single" w:color="auto" w:sz="2" w:space="0"/>
              <w:left w:val="single" w:color="auto" w:sz="2" w:space="0"/>
              <w:bottom w:val="single" w:color="auto" w:sz="2" w:space="0"/>
              <w:right w:val="single" w:color="auto" w:sz="2" w:space="0"/>
            </w:tcBorders>
            <w:vAlign w:val="center"/>
          </w:tcPr>
          <w:p w14:paraId="3734A3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42643DB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采用集中竞价交易方式减持回购股份的实施进展情况</w:t>
      </w:r>
    </w:p>
    <w:p w14:paraId="72242DFE">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C93AC14">
      <w:pPr>
        <w:rPr>
          <w:rFonts w:ascii="Times New Roman" w:hAnsi="Times New Roman" w:cs="Times New Roman" w:eastAsiaTheme="majorEastAsia"/>
        </w:rPr>
      </w:pPr>
      <w:r>
        <w:rPr>
          <w:rFonts w:ascii="Times New Roman" w:hAnsi="Times New Roman" w:cs="Times New Roman" w:eastAsiaTheme="majorEastAsia"/>
        </w:rPr>
        <w:br w:type="page"/>
      </w:r>
    </w:p>
    <w:p w14:paraId="4FAC5A82">
      <w:pPr>
        <w:pStyle w:val="18"/>
        <w:spacing w:before="340" w:after="330" w:line="773" w:lineRule="exact"/>
        <w:jc w:val="center"/>
        <w:rPr>
          <w:rFonts w:ascii="Times New Roman" w:hAnsi="Times New Roman" w:cs="Times New Roman" w:eastAsiaTheme="majorEastAsia"/>
          <w:b/>
          <w:bCs/>
          <w:sz w:val="32"/>
          <w:szCs w:val="32"/>
        </w:rPr>
      </w:pPr>
      <w:bookmarkStart w:id="149" w:name="_Toc989038"/>
      <w:r>
        <w:rPr>
          <w:rFonts w:ascii="Times New Roman" w:hAnsi="Times New Roman" w:cs="Times New Roman" w:eastAsiaTheme="majorEastAsia"/>
          <w:b/>
          <w:bCs/>
          <w:sz w:val="32"/>
          <w:szCs w:val="32"/>
        </w:rPr>
        <w:t>第八节 优先股相关情况</w:t>
      </w:r>
      <w:bookmarkEnd w:id="149"/>
    </w:p>
    <w:p w14:paraId="7FA678C0">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5C43CB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报告期公司不存在优先股。</w:t>
      </w:r>
    </w:p>
    <w:p w14:paraId="493D87D0">
      <w:pPr>
        <w:rPr>
          <w:rFonts w:ascii="Times New Roman" w:hAnsi="Times New Roman" w:cs="Times New Roman" w:eastAsiaTheme="majorEastAsia"/>
        </w:rPr>
      </w:pPr>
      <w:r>
        <w:rPr>
          <w:rFonts w:ascii="Times New Roman" w:hAnsi="Times New Roman" w:cs="Times New Roman" w:eastAsiaTheme="majorEastAsia"/>
        </w:rPr>
        <w:br w:type="page"/>
      </w:r>
    </w:p>
    <w:p w14:paraId="3AF657D7">
      <w:pPr>
        <w:pStyle w:val="18"/>
        <w:spacing w:before="340" w:after="330" w:line="773" w:lineRule="exact"/>
        <w:jc w:val="center"/>
        <w:rPr>
          <w:rFonts w:ascii="Times New Roman" w:hAnsi="Times New Roman" w:cs="Times New Roman" w:eastAsiaTheme="majorEastAsia"/>
          <w:b/>
          <w:bCs/>
          <w:sz w:val="32"/>
          <w:szCs w:val="32"/>
        </w:rPr>
      </w:pPr>
      <w:bookmarkStart w:id="150" w:name="_Toc989039"/>
      <w:r>
        <w:rPr>
          <w:rFonts w:ascii="Times New Roman" w:hAnsi="Times New Roman" w:cs="Times New Roman" w:eastAsiaTheme="majorEastAsia"/>
          <w:b/>
          <w:bCs/>
          <w:sz w:val="32"/>
          <w:szCs w:val="32"/>
        </w:rPr>
        <w:t>第九节 债券相关情况</w:t>
      </w:r>
      <w:bookmarkEnd w:id="150"/>
    </w:p>
    <w:p w14:paraId="7F6F9657">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6D00BE4">
      <w:pPr>
        <w:rPr>
          <w:rFonts w:ascii="Times New Roman" w:hAnsi="Times New Roman" w:cs="Times New Roman" w:eastAsiaTheme="majorEastAsia"/>
        </w:rPr>
      </w:pPr>
      <w:r>
        <w:rPr>
          <w:rFonts w:ascii="Times New Roman" w:hAnsi="Times New Roman" w:cs="Times New Roman" w:eastAsiaTheme="majorEastAsia"/>
        </w:rPr>
        <w:br w:type="page"/>
      </w:r>
    </w:p>
    <w:p w14:paraId="7FCBA3C6">
      <w:pPr>
        <w:pStyle w:val="18"/>
        <w:spacing w:before="340" w:after="330" w:line="773" w:lineRule="exact"/>
        <w:jc w:val="center"/>
        <w:rPr>
          <w:rFonts w:ascii="Times New Roman" w:hAnsi="Times New Roman" w:cs="Times New Roman" w:eastAsiaTheme="majorEastAsia"/>
          <w:b/>
          <w:bCs/>
          <w:sz w:val="32"/>
          <w:szCs w:val="32"/>
        </w:rPr>
      </w:pPr>
      <w:bookmarkStart w:id="151" w:name="_Toc989040"/>
      <w:r>
        <w:rPr>
          <w:rFonts w:ascii="Times New Roman" w:hAnsi="Times New Roman" w:cs="Times New Roman" w:eastAsiaTheme="majorEastAsia"/>
          <w:b/>
          <w:bCs/>
          <w:sz w:val="32"/>
          <w:szCs w:val="32"/>
        </w:rPr>
        <w:t>第十节 财务报告</w:t>
      </w:r>
      <w:bookmarkEnd w:id="151"/>
    </w:p>
    <w:p w14:paraId="4A1FB105">
      <w:pPr>
        <w:pStyle w:val="2"/>
        <w:spacing w:before="300" w:after="300" w:line="320" w:lineRule="exact"/>
        <w:rPr>
          <w:rFonts w:ascii="Times New Roman" w:hAnsi="Times New Roman" w:cs="Times New Roman" w:eastAsiaTheme="majorEastAsia"/>
          <w:b/>
          <w:bCs/>
          <w:sz w:val="24"/>
          <w:szCs w:val="24"/>
        </w:rPr>
      </w:pPr>
      <w:bookmarkStart w:id="152" w:name="_Toc989041"/>
      <w:r>
        <w:rPr>
          <w:rFonts w:ascii="Times New Roman" w:hAnsi="Times New Roman" w:cs="Times New Roman" w:eastAsiaTheme="majorEastAsia"/>
          <w:b/>
          <w:bCs/>
          <w:sz w:val="24"/>
          <w:szCs w:val="24"/>
        </w:rPr>
        <w:t>一、审计报告</w:t>
      </w:r>
      <w:bookmarkEnd w:id="152"/>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532B6E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BC3CE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审计意见类型</w:t>
            </w:r>
          </w:p>
        </w:tc>
        <w:tc>
          <w:tcPr>
            <w:tcW w:w="4820" w:type="dxa"/>
            <w:tcBorders>
              <w:top w:val="single" w:color="auto" w:sz="2" w:space="0"/>
              <w:left w:val="single" w:color="auto" w:sz="2" w:space="0"/>
              <w:bottom w:val="single" w:color="auto" w:sz="2" w:space="0"/>
              <w:right w:val="single" w:color="auto" w:sz="2" w:space="0"/>
            </w:tcBorders>
            <w:vAlign w:val="center"/>
          </w:tcPr>
          <w:p w14:paraId="6897E5C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标准的无保留意见</w:t>
            </w:r>
          </w:p>
        </w:tc>
      </w:tr>
      <w:tr w14:paraId="638469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6B9D43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审计报告签署日期</w:t>
            </w:r>
          </w:p>
        </w:tc>
        <w:tc>
          <w:tcPr>
            <w:tcW w:w="4820" w:type="dxa"/>
            <w:tcBorders>
              <w:top w:val="single" w:color="auto" w:sz="2" w:space="0"/>
              <w:left w:val="single" w:color="auto" w:sz="2" w:space="0"/>
              <w:bottom w:val="single" w:color="auto" w:sz="2" w:space="0"/>
              <w:right w:val="single" w:color="auto" w:sz="2" w:space="0"/>
            </w:tcBorders>
            <w:vAlign w:val="center"/>
          </w:tcPr>
          <w:p w14:paraId="4F8651D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2025年04月18日</w:t>
            </w:r>
          </w:p>
        </w:tc>
      </w:tr>
      <w:tr w14:paraId="334700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B9F4E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审计机构名称</w:t>
            </w:r>
          </w:p>
        </w:tc>
        <w:tc>
          <w:tcPr>
            <w:tcW w:w="4820" w:type="dxa"/>
            <w:tcBorders>
              <w:top w:val="single" w:color="auto" w:sz="2" w:space="0"/>
              <w:left w:val="single" w:color="auto" w:sz="2" w:space="0"/>
              <w:bottom w:val="single" w:color="auto" w:sz="2" w:space="0"/>
              <w:right w:val="single" w:color="auto" w:sz="2" w:space="0"/>
            </w:tcBorders>
            <w:vAlign w:val="center"/>
          </w:tcPr>
          <w:p w14:paraId="7F4F2F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中审亚太会计师事务所（特殊普通合伙）</w:t>
            </w:r>
          </w:p>
        </w:tc>
      </w:tr>
      <w:tr w14:paraId="6D9626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27B546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审计报告文号</w:t>
            </w:r>
          </w:p>
        </w:tc>
        <w:tc>
          <w:tcPr>
            <w:tcW w:w="4820" w:type="dxa"/>
            <w:tcBorders>
              <w:top w:val="single" w:color="auto" w:sz="2" w:space="0"/>
              <w:left w:val="single" w:color="auto" w:sz="2" w:space="0"/>
              <w:bottom w:val="single" w:color="auto" w:sz="2" w:space="0"/>
              <w:right w:val="single" w:color="auto" w:sz="2" w:space="0"/>
            </w:tcBorders>
            <w:vAlign w:val="center"/>
          </w:tcPr>
          <w:p w14:paraId="30F48F3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中审亚太审字（2025）004102号</w:t>
            </w:r>
          </w:p>
        </w:tc>
      </w:tr>
      <w:tr w14:paraId="294651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5B8E0F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注册会计师姓名</w:t>
            </w:r>
          </w:p>
        </w:tc>
        <w:tc>
          <w:tcPr>
            <w:tcW w:w="4820" w:type="dxa"/>
            <w:tcBorders>
              <w:top w:val="single" w:color="auto" w:sz="2" w:space="0"/>
              <w:left w:val="single" w:color="auto" w:sz="2" w:space="0"/>
              <w:bottom w:val="single" w:color="auto" w:sz="2" w:space="0"/>
              <w:right w:val="single" w:color="auto" w:sz="2" w:space="0"/>
            </w:tcBorders>
            <w:vAlign w:val="center"/>
          </w:tcPr>
          <w:p w14:paraId="6609DE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肖建鑫、王骏</w:t>
            </w:r>
          </w:p>
        </w:tc>
      </w:tr>
    </w:tbl>
    <w:p w14:paraId="5E6B3041">
      <w:pPr>
        <w:spacing w:before="100" w:after="10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审计报告正文</w:t>
      </w:r>
    </w:p>
    <w:p w14:paraId="7CEF2970">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一、审计意见</w:t>
      </w:r>
    </w:p>
    <w:p w14:paraId="7F17BDAF">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我们审计了广东天亿马信息产业股份有限公司（以下简</w:t>
      </w:r>
      <w:r>
        <w:rPr>
          <w:rFonts w:cs="Times New Roman" w:asciiTheme="minorEastAsia" w:hAnsiTheme="minorEastAsia" w:eastAsiaTheme="minorEastAsia"/>
          <w:sz w:val="21"/>
          <w:szCs w:val="21"/>
        </w:rPr>
        <w:t>称“天亿马公司”</w:t>
      </w:r>
      <w:r>
        <w:rPr>
          <w:rFonts w:ascii="Times New Roman" w:hAnsi="Times New Roman" w:cs="Times New Roman" w:eastAsiaTheme="majorEastAsia"/>
          <w:sz w:val="21"/>
          <w:szCs w:val="21"/>
        </w:rPr>
        <w:t>）财务报表，包括2024年12月31日的合并及公司资产负债表，2024年度的合并及公司利润表、合并及公司现金流量表、合并及公司股东权益变动表以及相关财务报表附注。</w:t>
      </w:r>
    </w:p>
    <w:p w14:paraId="2DBD107E">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我们认为，后附的财务报表在所有重大方面按照企业会计准则的规定编制，公允反映了天亿马公司2024年12月31日合并及公司的财务状况以及2024年度合并及公司的经营成果和现金流量。</w:t>
      </w:r>
    </w:p>
    <w:p w14:paraId="320C78BA">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二、形成审计意见的基础</w:t>
      </w:r>
    </w:p>
    <w:p w14:paraId="080939D5">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我们按照中国注册会计师审计准则的规定执行了审计工作。审计报告</w:t>
      </w:r>
      <w:r>
        <w:rPr>
          <w:rFonts w:cs="Times New Roman" w:asciiTheme="minorEastAsia" w:hAnsiTheme="minorEastAsia" w:eastAsiaTheme="minorEastAsia"/>
          <w:sz w:val="21"/>
          <w:szCs w:val="21"/>
        </w:rPr>
        <w:t>的“注册会计师对财务报表审计的责任”部分进一步阐述了我们在这些准则下的责任。按照中国注册会</w:t>
      </w:r>
      <w:r>
        <w:rPr>
          <w:rFonts w:ascii="Times New Roman" w:hAnsi="Times New Roman" w:cs="Times New Roman" w:eastAsiaTheme="majorEastAsia"/>
          <w:sz w:val="21"/>
          <w:szCs w:val="21"/>
        </w:rPr>
        <w:t>计师职业道德守则，我们独立于天亿马公司，并履行了职业道德方面的其他责任。我们相信，我们获取的审计证据是充分、适当的，为发表审计意见提供了基础。</w:t>
      </w:r>
    </w:p>
    <w:p w14:paraId="34C57A53">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三、关键审计事项</w:t>
      </w:r>
    </w:p>
    <w:p w14:paraId="6B671036">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关键审计事项是我们根据职业判断，认为对本期财务报表审计最为重要的事项。这些事项的应对以对财务报表整体进行审计并形成审计意见为背景，我们不对这些事项单独发表意见。我们确定下列事项是需要在审计报告中沟通的关键审计事项。</w:t>
      </w:r>
    </w:p>
    <w:p w14:paraId="3903330E">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收入确认</w:t>
      </w:r>
    </w:p>
    <w:p w14:paraId="38A0184A">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1、事项描述</w:t>
      </w:r>
    </w:p>
    <w:p w14:paraId="0F2F1DC7">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天亿马公司2024年度营业收入22,363.30万元，收入系软件和信息技术服务行业收入。由于收入是天亿马公司的关键业绩指标之一，可能存在管理层为了达到特定目标而操纵收入确认的风险，因此我们将收入确认识别为关键审计事项。</w:t>
      </w:r>
    </w:p>
    <w:p w14:paraId="05F671D7">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2、审计应对</w:t>
      </w:r>
    </w:p>
    <w:p w14:paraId="563BBD13">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在审计过程中，我们针对收入确认这一关键审计事项实施了以下重点审计程序，以应对管理层可能通过不当收入确认实现特定目标的风险：</w:t>
      </w:r>
    </w:p>
    <w:p w14:paraId="37EB1599">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（1）内部控制评估与测试</w:t>
      </w:r>
    </w:p>
    <w:p w14:paraId="47723FD0">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全面复核公司收入确认相关内部控制制度的设计有效性，重点关注合同审批、履约进度确认、客户验收及对账等关键控制节点。</w:t>
      </w:r>
    </w:p>
    <w:p w14:paraId="0578FCEC">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（2）重大合同实质性核查</w:t>
      </w:r>
    </w:p>
    <w:p w14:paraId="1D2FF312">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检查金额占比重大合同，核对合同条款与收入确认政策的一致性，重点关注多元素履约义务的分拆、可变对价计量等条款；验证服务完成证明文件的真实性和完整性，包括客户签收单、系统验收报告及第三方监理文件；执行截止性测试，检查资产负债表日前后的收入确认跨期情况。</w:t>
      </w:r>
    </w:p>
    <w:p w14:paraId="205821F4">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（3）财务数据分析与复核</w:t>
      </w:r>
    </w:p>
    <w:p w14:paraId="0E6F23E9">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收入和成本执行分析程序，包括按照项目、客户和服务类别对报告期收入、成本、毛利率波动分析，就报告期的销售收入，选取样本，检查其销售合同、入账记录及客户验收记录，以评价收入确认是否与天亿马公司的收入确认政策相符。</w:t>
      </w:r>
    </w:p>
    <w:p w14:paraId="53A08004">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就资产负债表日前后确认的收入，选取样本，检查其销售合同、入账记录及客户验收记录，以评价相关收入是否记录在正确的会计期间。</w:t>
      </w:r>
    </w:p>
    <w:p w14:paraId="54499D31">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检查在财务报表中有关收入确认的披露是否符合企业会计准则的要求。</w:t>
      </w:r>
    </w:p>
    <w:p w14:paraId="51BCEC6F">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（4）管理层声明与第三方证据</w:t>
      </w:r>
    </w:p>
    <w:p w14:paraId="7627EC62">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就重大以及新增客户发送询证函，函证内容涵盖合同金额、履约进度、开票及付款情况。</w:t>
      </w:r>
    </w:p>
    <w:p w14:paraId="0E1DFA04">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选取本期重大客户实施现场访谈和网络背景调查程序，核查与客户交易的真实性和准确性。</w:t>
      </w:r>
    </w:p>
    <w:p w14:paraId="0EB2102D">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与销售总监、财务总监进行专项访谈，记录其对收入波动的解释并验证支持性证据。</w:t>
      </w:r>
    </w:p>
    <w:p w14:paraId="554824D2">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四、其他信息</w:t>
      </w:r>
    </w:p>
    <w:p w14:paraId="112DC413">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天亿马公司管理层对其他信息负责。其他信息包括2024年度报告中涵盖的信息，但不包括财务报表和我们的审计报告。</w:t>
      </w:r>
    </w:p>
    <w:p w14:paraId="033CDBEF">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我们对财务报表发表的审计意见不涵盖其他信息，我们也不对其他信息发表任何形式的鉴证结论。</w:t>
      </w:r>
    </w:p>
    <w:p w14:paraId="5647E084">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结合我们对财务报表的审计，我们的责任是阅读其他信息，在此过程中，考虑其他信息是否与财务报表或我们在审计过程中了解到的情况存在重大不一致或者似乎存在重大错报。</w:t>
      </w:r>
    </w:p>
    <w:p w14:paraId="7BAB3A2A">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基于我们已执行的工作，如果我们确定其他信息存在重大错报，我们应当报告该事实。在这方面，我们无任何事项需要报告。</w:t>
      </w:r>
    </w:p>
    <w:p w14:paraId="2F6868CB">
      <w:pPr>
        <w:pStyle w:val="10"/>
        <w:spacing w:before="120" w:beforeAutospacing="0" w:after="120" w:afterAutospacing="0" w:line="360" w:lineRule="auto"/>
        <w:ind w:firstLine="482"/>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五、管理层和治理层对财务报表的责任</w:t>
      </w:r>
    </w:p>
    <w:p w14:paraId="3B4AC4B7">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天亿马公司管理层（以下简称</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管理层</w:t>
      </w:r>
      <w:r>
        <w:rPr>
          <w:rFonts w:hint="eastAsia" w:ascii="Times New Roman" w:hAnsi="Times New Roman" w:cs="Times New Roman" w:eastAsiaTheme="majorEastAsia"/>
          <w:sz w:val="21"/>
          <w:szCs w:val="21"/>
        </w:rPr>
        <w:t>”</w:t>
      </w:r>
      <w:r>
        <w:rPr>
          <w:rFonts w:ascii="Times New Roman" w:hAnsi="Times New Roman" w:cs="Times New Roman" w:eastAsiaTheme="majorEastAsia"/>
          <w:sz w:val="21"/>
          <w:szCs w:val="21"/>
        </w:rPr>
        <w:t>）负责按照企业会计准则的规定编制财务报表，使其实现公允反映，并设计、执行和维护必要的内部控制，以使财务报表不存在由于舞弊或错误导致的重大错报。</w:t>
      </w:r>
    </w:p>
    <w:p w14:paraId="78792C79">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在编制财务报表时，管理层负责评估天亿马公司的持续经营能力，披露与持续经营相关的事项（如适用），并运用持续经营假设，除非管理层计划清算天亿马公司、终止运营或别无其他现实的选择。</w:t>
      </w:r>
    </w:p>
    <w:p w14:paraId="73290452">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治理层负责监督天亿马公司的财务报告过程。</w:t>
      </w:r>
    </w:p>
    <w:p w14:paraId="314280B7">
      <w:pPr>
        <w:pStyle w:val="10"/>
        <w:spacing w:before="120" w:beforeAutospacing="0" w:after="120" w:afterAutospacing="0" w:line="360" w:lineRule="auto"/>
        <w:ind w:firstLine="482"/>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六、注册会计师对财务报表审计的责任</w:t>
      </w:r>
    </w:p>
    <w:p w14:paraId="570BB7A1">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的目标是对财务报表整体是否不存在由于舞弊或错误导致的重大错报获取合理保证，并出具包含审计意见的审计报告。合理保证是高水平的保证，但并不能保证按照审计准则执行的审计在某一重大错报存在时总能发现。错报可能由于舞弊或错误所导致，如果合理预期错报单独或汇总起来可能影响财务报表使用者依据财务报表作出的经济决策，则通常认为错报是重大的。</w:t>
      </w:r>
    </w:p>
    <w:p w14:paraId="461099B7">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在按照审计准则执行审计的过程中，我们运用职业判断，并保持职业怀疑。同时，我们也执行以下工作：</w:t>
      </w:r>
    </w:p>
    <w:p w14:paraId="230F7E34">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识别和评估由于舞弊或错误导致的财务报表重大错报风险，设计和实施审计程序以应对这些风险，并获取充分、适当的审计证据，作为发表审计意见的基础。由于舞弊可能涉及串通、伪造、故意遗漏、虚假陈述或凌驾于内部控制之上，未能发现由于舞弊导致的重大错报的风险高于未能发现由于错误导致的重大错报的风险。</w:t>
      </w:r>
    </w:p>
    <w:p w14:paraId="79442595">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（二）了解与审计相关的内部控制，以设计恰当的审计程序。</w:t>
      </w:r>
    </w:p>
    <w:p w14:paraId="0B8E987E">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（三）评价管理层选用会计政策的恰当性和作出会计估计及相关披露的合理性。</w:t>
      </w:r>
    </w:p>
    <w:p w14:paraId="46F76FCC">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四）对管理层使用持续经营假设的恰当性得出结论。同时，根据获取的审计证据，就可能导致对天亿马公司持续经营能力产生重大疑虑的事项或情况是否存在重大不确定性得出结论。如果我们得出结论认为存在重大不确定性，审计准则要求我们在审计报告中提请报表使用者注意财务报表中的相关披露；如果披露不充分，我们应当发表非无保留意见。我们的结论基于截至审计报告日可获得的信息。然而，未来的事项或情况可能导致天亿马公司不能持续经营。</w:t>
      </w:r>
    </w:p>
    <w:p w14:paraId="2203619D">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（五）评价财务报表的总体列报、结构和内容，并评价财务报表是否公允反映相关交易和事项。</w:t>
      </w:r>
    </w:p>
    <w:p w14:paraId="4AC8DBFE">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（六）就天亿马公司中实体或业务活动的财务信息获取充分、适当的审计证据，以对合并财务报表发表审计意见。我们负责指导、监督和执行集团审计，并对审计意见承担全部责任。</w:t>
      </w:r>
    </w:p>
    <w:p w14:paraId="3CCE46AA">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我们与治理层就计划的审计范围、时间安排和重大审计发现等事项进行沟通，包括沟通我们在审计中识别出的值得关注的内部控制缺陷。</w:t>
      </w:r>
    </w:p>
    <w:p w14:paraId="654182E9">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我们还就已遵守与独立性相关的职业道德要求向治理层提供声明，并与治理层沟通可能被合理认为影响我们独立性的所有关系和其他事项，以及相关的防范措施。</w:t>
      </w:r>
    </w:p>
    <w:p w14:paraId="6956B9F4">
      <w:pPr>
        <w:pStyle w:val="10"/>
        <w:spacing w:before="0" w:beforeAutospacing="0" w:after="0" w:afterAutospacing="0" w:line="360" w:lineRule="auto"/>
        <w:ind w:firstLine="48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从与治理层沟通过的事项中，我们确定哪些事项对本期财务报表审计最为重要，因而构成关键审计事项。我们在审计报告中描述这些事项，除非法律法规禁止公开披露这些事项，或在极少数情形下，如果合理预期在审计报告中沟通某事项造成的负面后果超过在公众利益方面产生的益处，我们确定不应在审计报告中沟通该事项。</w:t>
      </w:r>
    </w:p>
    <w:p w14:paraId="2A110AF3">
      <w:pPr>
        <w:pStyle w:val="2"/>
        <w:spacing w:before="300" w:after="300" w:line="320" w:lineRule="exact"/>
        <w:rPr>
          <w:rFonts w:ascii="Times New Roman" w:hAnsi="Times New Roman" w:cs="Times New Roman" w:eastAsiaTheme="majorEastAsia"/>
          <w:b/>
          <w:bCs/>
          <w:sz w:val="24"/>
          <w:szCs w:val="24"/>
        </w:rPr>
      </w:pPr>
      <w:bookmarkStart w:id="153" w:name="_Toc989042"/>
      <w:r>
        <w:rPr>
          <w:rFonts w:ascii="Times New Roman" w:hAnsi="Times New Roman" w:cs="Times New Roman" w:eastAsiaTheme="majorEastAsia"/>
          <w:b/>
          <w:bCs/>
          <w:sz w:val="24"/>
          <w:szCs w:val="24"/>
        </w:rPr>
        <w:t>二、财务报表</w:t>
      </w:r>
      <w:bookmarkEnd w:id="153"/>
    </w:p>
    <w:p w14:paraId="5014F76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财务附注中报表的单位为：元</w:t>
      </w:r>
    </w:p>
    <w:p w14:paraId="55496DE5">
      <w:pPr>
        <w:pStyle w:val="3"/>
        <w:spacing w:line="280" w:lineRule="exact"/>
        <w:jc w:val="left"/>
        <w:rPr>
          <w:rFonts w:ascii="Times New Roman" w:hAnsi="Times New Roman" w:cs="Times New Roman" w:eastAsiaTheme="majorEastAsia"/>
          <w:b/>
          <w:bCs/>
        </w:rPr>
      </w:pPr>
      <w:bookmarkStart w:id="154" w:name="_Toc989043"/>
      <w:r>
        <w:rPr>
          <w:rFonts w:ascii="Times New Roman" w:hAnsi="Times New Roman" w:cs="Times New Roman" w:eastAsiaTheme="majorEastAsia"/>
          <w:b/>
          <w:bCs/>
        </w:rPr>
        <w:t>1、合并资产负债表</w:t>
      </w:r>
      <w:bookmarkEnd w:id="154"/>
    </w:p>
    <w:p w14:paraId="7B705EC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编制单位：广东天亿马信息产业股份有限公司</w:t>
      </w:r>
    </w:p>
    <w:p w14:paraId="4112333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2024年12月31日</w:t>
      </w:r>
    </w:p>
    <w:p w14:paraId="1C38F1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92B92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2D5B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D6922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1C7D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C13A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EA37B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B33AE7">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1DAAE2">
            <w:pPr>
              <w:rPr>
                <w:rFonts w:ascii="Times New Roman" w:hAnsi="Times New Roman" w:cs="Times New Roman" w:eastAsiaTheme="majorEastAsia"/>
              </w:rPr>
            </w:pPr>
          </w:p>
        </w:tc>
      </w:tr>
      <w:tr w14:paraId="04A995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E7F21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5EF7F6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334,623,835.24</w:t>
            </w:r>
          </w:p>
        </w:tc>
        <w:tc>
          <w:tcPr>
            <w:tcW w:w="3213" w:type="dxa"/>
            <w:tcBorders>
              <w:top w:val="single" w:color="auto" w:sz="2" w:space="0"/>
              <w:left w:val="single" w:color="auto" w:sz="2" w:space="0"/>
              <w:bottom w:val="single" w:color="auto" w:sz="2" w:space="0"/>
              <w:right w:val="single" w:color="auto" w:sz="2" w:space="0"/>
            </w:tcBorders>
            <w:vAlign w:val="center"/>
          </w:tcPr>
          <w:p w14:paraId="1EDB2D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506,717,107.76</w:t>
            </w:r>
          </w:p>
        </w:tc>
      </w:tr>
      <w:tr w14:paraId="5F7EE3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4746E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结算备付金</w:t>
            </w:r>
          </w:p>
        </w:tc>
        <w:tc>
          <w:tcPr>
            <w:tcW w:w="3213" w:type="dxa"/>
            <w:tcBorders>
              <w:top w:val="single" w:color="auto" w:sz="2" w:space="0"/>
              <w:left w:val="single" w:color="auto" w:sz="2" w:space="0"/>
              <w:bottom w:val="single" w:color="auto" w:sz="2" w:space="0"/>
              <w:right w:val="single" w:color="auto" w:sz="2" w:space="0"/>
            </w:tcBorders>
            <w:vAlign w:val="center"/>
          </w:tcPr>
          <w:p w14:paraId="1EEE5C3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09436A">
            <w:pPr>
              <w:spacing w:line="240" w:lineRule="exact"/>
              <w:jc w:val="right"/>
              <w:rPr>
                <w:rFonts w:ascii="Times New Roman" w:hAnsi="Times New Roman" w:cs="Times New Roman" w:eastAsiaTheme="majorEastAsia"/>
                <w:sz w:val="18"/>
                <w:szCs w:val="18"/>
              </w:rPr>
            </w:pPr>
          </w:p>
        </w:tc>
      </w:tr>
      <w:tr w14:paraId="6B0BA9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C428A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拆出资金</w:t>
            </w:r>
          </w:p>
        </w:tc>
        <w:tc>
          <w:tcPr>
            <w:tcW w:w="3213" w:type="dxa"/>
            <w:tcBorders>
              <w:top w:val="single" w:color="auto" w:sz="2" w:space="0"/>
              <w:left w:val="single" w:color="auto" w:sz="2" w:space="0"/>
              <w:bottom w:val="single" w:color="auto" w:sz="2" w:space="0"/>
              <w:right w:val="single" w:color="auto" w:sz="2" w:space="0"/>
            </w:tcBorders>
            <w:vAlign w:val="center"/>
          </w:tcPr>
          <w:p w14:paraId="7C2DFEF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9C0A5F">
            <w:pPr>
              <w:spacing w:line="240" w:lineRule="exact"/>
              <w:jc w:val="right"/>
              <w:rPr>
                <w:rFonts w:ascii="Times New Roman" w:hAnsi="Times New Roman" w:cs="Times New Roman" w:eastAsiaTheme="majorEastAsia"/>
                <w:sz w:val="18"/>
                <w:szCs w:val="18"/>
              </w:rPr>
            </w:pPr>
          </w:p>
        </w:tc>
      </w:tr>
      <w:tr w14:paraId="6BA97A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9DFFB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FE6E04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C5D8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r>
      <w:tr w14:paraId="2C0A3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ADD44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C068A8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33526D">
            <w:pPr>
              <w:spacing w:line="240" w:lineRule="exact"/>
              <w:jc w:val="right"/>
              <w:rPr>
                <w:rFonts w:ascii="Times New Roman" w:hAnsi="Times New Roman" w:cs="Times New Roman" w:eastAsiaTheme="majorEastAsia"/>
                <w:sz w:val="18"/>
                <w:szCs w:val="18"/>
              </w:rPr>
            </w:pPr>
          </w:p>
        </w:tc>
      </w:tr>
      <w:tr w14:paraId="1977FD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EE062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635686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3213" w:type="dxa"/>
            <w:tcBorders>
              <w:top w:val="single" w:color="auto" w:sz="2" w:space="0"/>
              <w:left w:val="single" w:color="auto" w:sz="2" w:space="0"/>
              <w:bottom w:val="single" w:color="auto" w:sz="2" w:space="0"/>
              <w:right w:val="single" w:color="auto" w:sz="2" w:space="0"/>
            </w:tcBorders>
            <w:vAlign w:val="center"/>
          </w:tcPr>
          <w:p w14:paraId="260E29EE">
            <w:pPr>
              <w:spacing w:line="240" w:lineRule="exact"/>
              <w:jc w:val="right"/>
              <w:rPr>
                <w:rFonts w:ascii="Times New Roman" w:hAnsi="Times New Roman" w:cs="Times New Roman" w:eastAsiaTheme="majorEastAsia"/>
                <w:sz w:val="18"/>
                <w:szCs w:val="18"/>
              </w:rPr>
            </w:pPr>
          </w:p>
        </w:tc>
      </w:tr>
      <w:tr w14:paraId="7A994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A2CD1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085EBB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274,869,881.73</w:t>
            </w:r>
          </w:p>
        </w:tc>
        <w:tc>
          <w:tcPr>
            <w:tcW w:w="3213" w:type="dxa"/>
            <w:tcBorders>
              <w:top w:val="single" w:color="auto" w:sz="2" w:space="0"/>
              <w:left w:val="single" w:color="auto" w:sz="2" w:space="0"/>
              <w:bottom w:val="single" w:color="auto" w:sz="2" w:space="0"/>
              <w:right w:val="single" w:color="auto" w:sz="2" w:space="0"/>
            </w:tcBorders>
            <w:vAlign w:val="center"/>
          </w:tcPr>
          <w:p w14:paraId="0779C5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299,873,459.94</w:t>
            </w:r>
          </w:p>
        </w:tc>
      </w:tr>
      <w:tr w14:paraId="135B48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9CE56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3EFE3B5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7E17214">
            <w:pPr>
              <w:spacing w:line="240" w:lineRule="exact"/>
              <w:jc w:val="right"/>
              <w:rPr>
                <w:rFonts w:ascii="Times New Roman" w:hAnsi="Times New Roman" w:cs="Times New Roman" w:eastAsiaTheme="majorEastAsia"/>
                <w:sz w:val="18"/>
                <w:szCs w:val="18"/>
              </w:rPr>
            </w:pPr>
          </w:p>
        </w:tc>
      </w:tr>
      <w:tr w14:paraId="58F7A6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B099E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246138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17,067,136.59</w:t>
            </w:r>
          </w:p>
        </w:tc>
        <w:tc>
          <w:tcPr>
            <w:tcW w:w="3213" w:type="dxa"/>
            <w:tcBorders>
              <w:top w:val="single" w:color="auto" w:sz="2" w:space="0"/>
              <w:left w:val="single" w:color="auto" w:sz="2" w:space="0"/>
              <w:bottom w:val="single" w:color="auto" w:sz="2" w:space="0"/>
              <w:right w:val="single" w:color="auto" w:sz="2" w:space="0"/>
            </w:tcBorders>
            <w:vAlign w:val="center"/>
          </w:tcPr>
          <w:p w14:paraId="379819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8,229,672.51</w:t>
            </w:r>
          </w:p>
        </w:tc>
      </w:tr>
      <w:tr w14:paraId="686782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9580D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应收保费</w:t>
            </w:r>
          </w:p>
        </w:tc>
        <w:tc>
          <w:tcPr>
            <w:tcW w:w="3213" w:type="dxa"/>
            <w:tcBorders>
              <w:top w:val="single" w:color="auto" w:sz="2" w:space="0"/>
              <w:left w:val="single" w:color="auto" w:sz="2" w:space="0"/>
              <w:bottom w:val="single" w:color="auto" w:sz="2" w:space="0"/>
              <w:right w:val="single" w:color="auto" w:sz="2" w:space="0"/>
            </w:tcBorders>
            <w:vAlign w:val="center"/>
          </w:tcPr>
          <w:p w14:paraId="11A2029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64EDB4">
            <w:pPr>
              <w:spacing w:line="240" w:lineRule="exact"/>
              <w:jc w:val="right"/>
              <w:rPr>
                <w:rFonts w:ascii="Times New Roman" w:hAnsi="Times New Roman" w:cs="Times New Roman" w:eastAsiaTheme="majorEastAsia"/>
                <w:sz w:val="18"/>
                <w:szCs w:val="18"/>
              </w:rPr>
            </w:pPr>
          </w:p>
        </w:tc>
      </w:tr>
      <w:tr w14:paraId="4D8F52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B2FDD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1201850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621D43">
            <w:pPr>
              <w:spacing w:line="240" w:lineRule="exact"/>
              <w:jc w:val="right"/>
              <w:rPr>
                <w:rFonts w:ascii="Times New Roman" w:hAnsi="Times New Roman" w:cs="Times New Roman" w:eastAsiaTheme="majorEastAsia"/>
                <w:sz w:val="18"/>
                <w:szCs w:val="18"/>
              </w:rPr>
            </w:pPr>
          </w:p>
        </w:tc>
      </w:tr>
      <w:tr w14:paraId="5253DE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EA0F0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应收分保合同准备金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3B250D2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E323C2">
            <w:pPr>
              <w:spacing w:line="240" w:lineRule="exact"/>
              <w:jc w:val="right"/>
              <w:rPr>
                <w:rFonts w:ascii="Times New Roman" w:hAnsi="Times New Roman" w:cs="Times New Roman" w:eastAsiaTheme="majorEastAsia"/>
                <w:sz w:val="18"/>
                <w:szCs w:val="18"/>
              </w:rPr>
            </w:pPr>
          </w:p>
        </w:tc>
      </w:tr>
      <w:tr w14:paraId="3B5100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BE798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2C516F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3,640,083.65</w:t>
            </w:r>
          </w:p>
        </w:tc>
        <w:tc>
          <w:tcPr>
            <w:tcW w:w="3213" w:type="dxa"/>
            <w:tcBorders>
              <w:top w:val="single" w:color="auto" w:sz="2" w:space="0"/>
              <w:left w:val="single" w:color="auto" w:sz="2" w:space="0"/>
              <w:bottom w:val="single" w:color="auto" w:sz="2" w:space="0"/>
              <w:right w:val="single" w:color="auto" w:sz="2" w:space="0"/>
            </w:tcBorders>
            <w:vAlign w:val="center"/>
          </w:tcPr>
          <w:p w14:paraId="040E80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3,791,021.59</w:t>
            </w:r>
          </w:p>
        </w:tc>
      </w:tr>
      <w:tr w14:paraId="6DEAFE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8464B7">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6E1EB4D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23EE80E">
            <w:pPr>
              <w:spacing w:line="240" w:lineRule="exact"/>
              <w:jc w:val="right"/>
              <w:rPr>
                <w:rFonts w:ascii="Times New Roman" w:hAnsi="Times New Roman" w:cs="Times New Roman" w:eastAsiaTheme="majorEastAsia"/>
                <w:sz w:val="18"/>
                <w:szCs w:val="18"/>
              </w:rPr>
            </w:pPr>
          </w:p>
        </w:tc>
      </w:tr>
      <w:tr w14:paraId="74C503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F0B922">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009E1D0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7A7023">
            <w:pPr>
              <w:spacing w:line="240" w:lineRule="exact"/>
              <w:jc w:val="right"/>
              <w:rPr>
                <w:rFonts w:ascii="Times New Roman" w:hAnsi="Times New Roman" w:cs="Times New Roman" w:eastAsiaTheme="majorEastAsia"/>
                <w:sz w:val="18"/>
                <w:szCs w:val="18"/>
              </w:rPr>
            </w:pPr>
          </w:p>
        </w:tc>
      </w:tr>
      <w:tr w14:paraId="10CE88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2E857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买入返售金融资产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6B839EC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537C61">
            <w:pPr>
              <w:spacing w:line="240" w:lineRule="exact"/>
              <w:jc w:val="right"/>
              <w:rPr>
                <w:rFonts w:ascii="Times New Roman" w:hAnsi="Times New Roman" w:cs="Times New Roman" w:eastAsiaTheme="majorEastAsia"/>
                <w:sz w:val="18"/>
                <w:szCs w:val="18"/>
              </w:rPr>
            </w:pPr>
          </w:p>
        </w:tc>
      </w:tr>
      <w:tr w14:paraId="3D0122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452FB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53ED79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81,221,817.39</w:t>
            </w:r>
          </w:p>
        </w:tc>
        <w:tc>
          <w:tcPr>
            <w:tcW w:w="3213" w:type="dxa"/>
            <w:tcBorders>
              <w:top w:val="single" w:color="auto" w:sz="2" w:space="0"/>
              <w:left w:val="single" w:color="auto" w:sz="2" w:space="0"/>
              <w:bottom w:val="single" w:color="auto" w:sz="2" w:space="0"/>
              <w:right w:val="single" w:color="auto" w:sz="2" w:space="0"/>
            </w:tcBorders>
            <w:vAlign w:val="center"/>
          </w:tcPr>
          <w:p w14:paraId="12C519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37,314,249.39</w:t>
            </w:r>
          </w:p>
        </w:tc>
      </w:tr>
      <w:tr w14:paraId="43A801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ED6DC3">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5552436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8C2178">
            <w:pPr>
              <w:spacing w:line="240" w:lineRule="exact"/>
              <w:jc w:val="right"/>
              <w:rPr>
                <w:rFonts w:ascii="Times New Roman" w:hAnsi="Times New Roman" w:cs="Times New Roman" w:eastAsiaTheme="majorEastAsia"/>
                <w:sz w:val="18"/>
                <w:szCs w:val="18"/>
              </w:rPr>
            </w:pPr>
          </w:p>
        </w:tc>
      </w:tr>
      <w:tr w14:paraId="778F69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CB921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71225E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4,631,369.93</w:t>
            </w:r>
          </w:p>
        </w:tc>
        <w:tc>
          <w:tcPr>
            <w:tcW w:w="3213" w:type="dxa"/>
            <w:tcBorders>
              <w:top w:val="single" w:color="auto" w:sz="2" w:space="0"/>
              <w:left w:val="single" w:color="auto" w:sz="2" w:space="0"/>
              <w:bottom w:val="single" w:color="auto" w:sz="2" w:space="0"/>
              <w:right w:val="single" w:color="auto" w:sz="2" w:space="0"/>
            </w:tcBorders>
            <w:vAlign w:val="center"/>
          </w:tcPr>
          <w:p w14:paraId="0AF028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r>
      <w:tr w14:paraId="4A7454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AB71B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6FB5A55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C61754">
            <w:pPr>
              <w:spacing w:line="240" w:lineRule="exact"/>
              <w:jc w:val="right"/>
              <w:rPr>
                <w:rFonts w:ascii="Times New Roman" w:hAnsi="Times New Roman" w:cs="Times New Roman" w:eastAsiaTheme="majorEastAsia"/>
                <w:sz w:val="18"/>
                <w:szCs w:val="18"/>
              </w:rPr>
            </w:pPr>
          </w:p>
        </w:tc>
      </w:tr>
      <w:tr w14:paraId="2B5E61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BD976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DECBD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24,399,620.88</w:t>
            </w:r>
          </w:p>
        </w:tc>
        <w:tc>
          <w:tcPr>
            <w:tcW w:w="3213" w:type="dxa"/>
            <w:tcBorders>
              <w:top w:val="single" w:color="auto" w:sz="2" w:space="0"/>
              <w:left w:val="single" w:color="auto" w:sz="2" w:space="0"/>
              <w:bottom w:val="single" w:color="auto" w:sz="2" w:space="0"/>
              <w:right w:val="single" w:color="auto" w:sz="2" w:space="0"/>
            </w:tcBorders>
            <w:vAlign w:val="center"/>
          </w:tcPr>
          <w:p w14:paraId="0E9E3E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r w14:paraId="0D6939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65B18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45530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54,026,671.97</w:t>
            </w:r>
          </w:p>
        </w:tc>
        <w:tc>
          <w:tcPr>
            <w:tcW w:w="3213" w:type="dxa"/>
            <w:tcBorders>
              <w:top w:val="single" w:color="auto" w:sz="2" w:space="0"/>
              <w:left w:val="single" w:color="auto" w:sz="2" w:space="0"/>
              <w:bottom w:val="single" w:color="auto" w:sz="2" w:space="0"/>
              <w:right w:val="single" w:color="auto" w:sz="2" w:space="0"/>
            </w:tcBorders>
            <w:vAlign w:val="center"/>
          </w:tcPr>
          <w:p w14:paraId="4CDB9C5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10,184,432.05</w:t>
            </w:r>
          </w:p>
        </w:tc>
      </w:tr>
      <w:tr w14:paraId="4C81C5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AB152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68501C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797,050,417.38</w:t>
            </w:r>
          </w:p>
        </w:tc>
        <w:tc>
          <w:tcPr>
            <w:tcW w:w="3213" w:type="dxa"/>
            <w:tcBorders>
              <w:top w:val="single" w:color="auto" w:sz="2" w:space="0"/>
              <w:left w:val="single" w:color="auto" w:sz="2" w:space="0"/>
              <w:bottom w:val="single" w:color="auto" w:sz="2" w:space="0"/>
              <w:right w:val="single" w:color="auto" w:sz="2" w:space="0"/>
            </w:tcBorders>
            <w:vAlign w:val="center"/>
          </w:tcPr>
          <w:p w14:paraId="3F3E4C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921,381,738.30</w:t>
            </w:r>
          </w:p>
        </w:tc>
      </w:tr>
      <w:tr w14:paraId="1B5446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9C4BF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BEFEAE">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B56440">
            <w:pPr>
              <w:rPr>
                <w:rFonts w:ascii="Times New Roman" w:hAnsi="Times New Roman" w:cs="Times New Roman" w:eastAsiaTheme="majorEastAsia"/>
              </w:rPr>
            </w:pPr>
          </w:p>
        </w:tc>
      </w:tr>
      <w:tr w14:paraId="70C6E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FE906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发放贷款和垫款</w:t>
            </w:r>
          </w:p>
        </w:tc>
        <w:tc>
          <w:tcPr>
            <w:tcW w:w="3213" w:type="dxa"/>
            <w:tcBorders>
              <w:top w:val="single" w:color="auto" w:sz="2" w:space="0"/>
              <w:left w:val="single" w:color="auto" w:sz="2" w:space="0"/>
              <w:bottom w:val="single" w:color="auto" w:sz="2" w:space="0"/>
              <w:right w:val="single" w:color="auto" w:sz="2" w:space="0"/>
            </w:tcBorders>
            <w:vAlign w:val="center"/>
          </w:tcPr>
          <w:p w14:paraId="4B7022C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A0A23D">
            <w:pPr>
              <w:spacing w:line="240" w:lineRule="exact"/>
              <w:jc w:val="right"/>
              <w:rPr>
                <w:rFonts w:ascii="Times New Roman" w:hAnsi="Times New Roman" w:cs="Times New Roman" w:eastAsiaTheme="majorEastAsia"/>
                <w:sz w:val="18"/>
                <w:szCs w:val="18"/>
              </w:rPr>
            </w:pPr>
          </w:p>
        </w:tc>
      </w:tr>
      <w:tr w14:paraId="3C131E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5863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18C21EF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F6B50F">
            <w:pPr>
              <w:spacing w:line="240" w:lineRule="exact"/>
              <w:jc w:val="right"/>
              <w:rPr>
                <w:rFonts w:ascii="Times New Roman" w:hAnsi="Times New Roman" w:cs="Times New Roman" w:eastAsiaTheme="majorEastAsia"/>
                <w:sz w:val="18"/>
                <w:szCs w:val="18"/>
              </w:rPr>
            </w:pPr>
          </w:p>
        </w:tc>
      </w:tr>
      <w:tr w14:paraId="2531D9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9E8E1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3898686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C452E5">
            <w:pPr>
              <w:spacing w:line="240" w:lineRule="exact"/>
              <w:jc w:val="right"/>
              <w:rPr>
                <w:rFonts w:ascii="Times New Roman" w:hAnsi="Times New Roman" w:cs="Times New Roman" w:eastAsiaTheme="majorEastAsia"/>
                <w:sz w:val="18"/>
                <w:szCs w:val="18"/>
              </w:rPr>
            </w:pPr>
          </w:p>
        </w:tc>
      </w:tr>
      <w:tr w14:paraId="3137D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98040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0BCA39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10,731,084.36</w:t>
            </w:r>
          </w:p>
        </w:tc>
        <w:tc>
          <w:tcPr>
            <w:tcW w:w="3213" w:type="dxa"/>
            <w:tcBorders>
              <w:top w:val="single" w:color="auto" w:sz="2" w:space="0"/>
              <w:left w:val="single" w:color="auto" w:sz="2" w:space="0"/>
              <w:bottom w:val="single" w:color="auto" w:sz="2" w:space="0"/>
              <w:right w:val="single" w:color="auto" w:sz="2" w:space="0"/>
            </w:tcBorders>
            <w:vAlign w:val="center"/>
          </w:tcPr>
          <w:p w14:paraId="662062A3">
            <w:pPr>
              <w:spacing w:line="240" w:lineRule="exact"/>
              <w:jc w:val="right"/>
              <w:rPr>
                <w:rFonts w:ascii="Times New Roman" w:hAnsi="Times New Roman" w:cs="Times New Roman" w:eastAsiaTheme="majorEastAsia"/>
                <w:sz w:val="18"/>
                <w:szCs w:val="18"/>
              </w:rPr>
            </w:pPr>
          </w:p>
        </w:tc>
      </w:tr>
      <w:tr w14:paraId="462B6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3D2C4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05AA12A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D8E15B3">
            <w:pPr>
              <w:spacing w:line="240" w:lineRule="exact"/>
              <w:jc w:val="right"/>
              <w:rPr>
                <w:rFonts w:ascii="Times New Roman" w:hAnsi="Times New Roman" w:cs="Times New Roman" w:eastAsiaTheme="majorEastAsia"/>
                <w:sz w:val="18"/>
                <w:szCs w:val="18"/>
              </w:rPr>
            </w:pPr>
          </w:p>
        </w:tc>
      </w:tr>
      <w:tr w14:paraId="781D7A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A4044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1019BA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3213" w:type="dxa"/>
            <w:tcBorders>
              <w:top w:val="single" w:color="auto" w:sz="2" w:space="0"/>
              <w:left w:val="single" w:color="auto" w:sz="2" w:space="0"/>
              <w:bottom w:val="single" w:color="auto" w:sz="2" w:space="0"/>
              <w:right w:val="single" w:color="auto" w:sz="2" w:space="0"/>
            </w:tcBorders>
            <w:vAlign w:val="center"/>
          </w:tcPr>
          <w:p w14:paraId="5FAEFB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r>
      <w:tr w14:paraId="3F1736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47078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1B6A589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2404A5">
            <w:pPr>
              <w:spacing w:line="240" w:lineRule="exact"/>
              <w:jc w:val="right"/>
              <w:rPr>
                <w:rFonts w:ascii="Times New Roman" w:hAnsi="Times New Roman" w:cs="Times New Roman" w:eastAsiaTheme="majorEastAsia"/>
                <w:sz w:val="18"/>
                <w:szCs w:val="18"/>
              </w:rPr>
            </w:pPr>
          </w:p>
        </w:tc>
      </w:tr>
      <w:tr w14:paraId="5F19E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B267B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7B19874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30A1D5D">
            <w:pPr>
              <w:spacing w:line="240" w:lineRule="exact"/>
              <w:jc w:val="right"/>
              <w:rPr>
                <w:rFonts w:ascii="Times New Roman" w:hAnsi="Times New Roman" w:cs="Times New Roman" w:eastAsiaTheme="majorEastAsia"/>
                <w:sz w:val="18"/>
                <w:szCs w:val="18"/>
              </w:rPr>
            </w:pPr>
          </w:p>
        </w:tc>
      </w:tr>
      <w:tr w14:paraId="3C765B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733D0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78FAB6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125,026,382.09</w:t>
            </w:r>
          </w:p>
        </w:tc>
        <w:tc>
          <w:tcPr>
            <w:tcW w:w="3213" w:type="dxa"/>
            <w:tcBorders>
              <w:top w:val="single" w:color="auto" w:sz="2" w:space="0"/>
              <w:left w:val="single" w:color="auto" w:sz="2" w:space="0"/>
              <w:bottom w:val="single" w:color="auto" w:sz="2" w:space="0"/>
              <w:right w:val="single" w:color="auto" w:sz="2" w:space="0"/>
            </w:tcBorders>
            <w:vAlign w:val="center"/>
          </w:tcPr>
          <w:p w14:paraId="10952A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71,582,827.64</w:t>
            </w:r>
          </w:p>
        </w:tc>
      </w:tr>
      <w:tr w14:paraId="20D61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09132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0A5F19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3213" w:type="dxa"/>
            <w:tcBorders>
              <w:top w:val="single" w:color="auto" w:sz="2" w:space="0"/>
              <w:left w:val="single" w:color="auto" w:sz="2" w:space="0"/>
              <w:bottom w:val="single" w:color="auto" w:sz="2" w:space="0"/>
              <w:right w:val="single" w:color="auto" w:sz="2" w:space="0"/>
            </w:tcBorders>
            <w:vAlign w:val="center"/>
          </w:tcPr>
          <w:p w14:paraId="5A21E46F">
            <w:pPr>
              <w:spacing w:line="240" w:lineRule="exact"/>
              <w:jc w:val="right"/>
              <w:rPr>
                <w:rFonts w:ascii="Times New Roman" w:hAnsi="Times New Roman" w:cs="Times New Roman" w:eastAsiaTheme="majorEastAsia"/>
                <w:sz w:val="18"/>
                <w:szCs w:val="18"/>
              </w:rPr>
            </w:pPr>
          </w:p>
        </w:tc>
      </w:tr>
      <w:tr w14:paraId="00E1C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C23F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6227320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9E000DC">
            <w:pPr>
              <w:spacing w:line="240" w:lineRule="exact"/>
              <w:jc w:val="right"/>
              <w:rPr>
                <w:rFonts w:ascii="Times New Roman" w:hAnsi="Times New Roman" w:cs="Times New Roman" w:eastAsiaTheme="majorEastAsia"/>
                <w:sz w:val="18"/>
                <w:szCs w:val="18"/>
              </w:rPr>
            </w:pPr>
          </w:p>
        </w:tc>
      </w:tr>
      <w:tr w14:paraId="2C5774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24533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56CE5C6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3F3851">
            <w:pPr>
              <w:spacing w:line="240" w:lineRule="exact"/>
              <w:jc w:val="right"/>
              <w:rPr>
                <w:rFonts w:ascii="Times New Roman" w:hAnsi="Times New Roman" w:cs="Times New Roman" w:eastAsiaTheme="majorEastAsia"/>
                <w:sz w:val="18"/>
                <w:szCs w:val="18"/>
              </w:rPr>
            </w:pPr>
          </w:p>
        </w:tc>
      </w:tr>
      <w:tr w14:paraId="4D77C3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C3036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6DD6A9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8,594,708.86</w:t>
            </w:r>
          </w:p>
        </w:tc>
        <w:tc>
          <w:tcPr>
            <w:tcW w:w="3213" w:type="dxa"/>
            <w:tcBorders>
              <w:top w:val="single" w:color="auto" w:sz="2" w:space="0"/>
              <w:left w:val="single" w:color="auto" w:sz="2" w:space="0"/>
              <w:bottom w:val="single" w:color="auto" w:sz="2" w:space="0"/>
              <w:right w:val="single" w:color="auto" w:sz="2" w:space="0"/>
            </w:tcBorders>
            <w:vAlign w:val="center"/>
          </w:tcPr>
          <w:p w14:paraId="027B14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6,177,907.51</w:t>
            </w:r>
          </w:p>
        </w:tc>
      </w:tr>
      <w:tr w14:paraId="26420A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82369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621AA7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167,598.89</w:t>
            </w:r>
          </w:p>
        </w:tc>
        <w:tc>
          <w:tcPr>
            <w:tcW w:w="3213" w:type="dxa"/>
            <w:tcBorders>
              <w:top w:val="single" w:color="auto" w:sz="2" w:space="0"/>
              <w:left w:val="single" w:color="auto" w:sz="2" w:space="0"/>
              <w:bottom w:val="single" w:color="auto" w:sz="2" w:space="0"/>
              <w:right w:val="single" w:color="auto" w:sz="2" w:space="0"/>
            </w:tcBorders>
            <w:vAlign w:val="center"/>
          </w:tcPr>
          <w:p w14:paraId="3B5040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937,678.80</w:t>
            </w:r>
          </w:p>
        </w:tc>
      </w:tr>
      <w:tr w14:paraId="7BBC4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A8386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24AAA29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70FC7B">
            <w:pPr>
              <w:spacing w:line="240" w:lineRule="exact"/>
              <w:jc w:val="right"/>
              <w:rPr>
                <w:rFonts w:ascii="Times New Roman" w:hAnsi="Times New Roman" w:cs="Times New Roman" w:eastAsiaTheme="majorEastAsia"/>
                <w:sz w:val="18"/>
                <w:szCs w:val="18"/>
              </w:rPr>
            </w:pPr>
          </w:p>
        </w:tc>
      </w:tr>
      <w:tr w14:paraId="509CD6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6D49E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50B0864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BA8809C">
            <w:pPr>
              <w:spacing w:line="240" w:lineRule="exact"/>
              <w:jc w:val="right"/>
              <w:rPr>
                <w:rFonts w:ascii="Times New Roman" w:hAnsi="Times New Roman" w:cs="Times New Roman" w:eastAsiaTheme="majorEastAsia"/>
                <w:sz w:val="18"/>
                <w:szCs w:val="18"/>
              </w:rPr>
            </w:pPr>
          </w:p>
        </w:tc>
      </w:tr>
      <w:tr w14:paraId="4EF7F6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010068">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52672C2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50492C9">
            <w:pPr>
              <w:spacing w:line="240" w:lineRule="exact"/>
              <w:jc w:val="right"/>
              <w:rPr>
                <w:rFonts w:ascii="Times New Roman" w:hAnsi="Times New Roman" w:cs="Times New Roman" w:eastAsiaTheme="majorEastAsia"/>
                <w:sz w:val="18"/>
                <w:szCs w:val="18"/>
              </w:rPr>
            </w:pPr>
          </w:p>
        </w:tc>
      </w:tr>
      <w:tr w14:paraId="2C304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AF967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4ECA42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1,875,454.05</w:t>
            </w:r>
          </w:p>
        </w:tc>
        <w:tc>
          <w:tcPr>
            <w:tcW w:w="3213" w:type="dxa"/>
            <w:tcBorders>
              <w:top w:val="single" w:color="auto" w:sz="2" w:space="0"/>
              <w:left w:val="single" w:color="auto" w:sz="2" w:space="0"/>
              <w:bottom w:val="single" w:color="auto" w:sz="2" w:space="0"/>
              <w:right w:val="single" w:color="auto" w:sz="2" w:space="0"/>
            </w:tcBorders>
            <w:vAlign w:val="center"/>
          </w:tcPr>
          <w:p w14:paraId="29641A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4,492,986.24</w:t>
            </w:r>
          </w:p>
        </w:tc>
      </w:tr>
      <w:tr w14:paraId="7A5624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9068E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2E3BCF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2,894,950.75</w:t>
            </w:r>
          </w:p>
        </w:tc>
        <w:tc>
          <w:tcPr>
            <w:tcW w:w="3213" w:type="dxa"/>
            <w:tcBorders>
              <w:top w:val="single" w:color="auto" w:sz="2" w:space="0"/>
              <w:left w:val="single" w:color="auto" w:sz="2" w:space="0"/>
              <w:bottom w:val="single" w:color="auto" w:sz="2" w:space="0"/>
              <w:right w:val="single" w:color="auto" w:sz="2" w:space="0"/>
            </w:tcBorders>
            <w:vAlign w:val="center"/>
          </w:tcPr>
          <w:p w14:paraId="7F2B255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560,202.29</w:t>
            </w:r>
          </w:p>
        </w:tc>
      </w:tr>
      <w:tr w14:paraId="38DB7C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2B6A7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077C1F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31,824,528.08</w:t>
            </w:r>
          </w:p>
        </w:tc>
        <w:tc>
          <w:tcPr>
            <w:tcW w:w="3213" w:type="dxa"/>
            <w:tcBorders>
              <w:top w:val="single" w:color="auto" w:sz="2" w:space="0"/>
              <w:left w:val="single" w:color="auto" w:sz="2" w:space="0"/>
              <w:bottom w:val="single" w:color="auto" w:sz="2" w:space="0"/>
              <w:right w:val="single" w:color="auto" w:sz="2" w:space="0"/>
            </w:tcBorders>
            <w:vAlign w:val="center"/>
          </w:tcPr>
          <w:p w14:paraId="5C0021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20,206,512.81</w:t>
            </w:r>
          </w:p>
        </w:tc>
      </w:tr>
      <w:tr w14:paraId="7DFDDD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8DD8D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49F119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780,329.90</w:t>
            </w:r>
          </w:p>
        </w:tc>
        <w:tc>
          <w:tcPr>
            <w:tcW w:w="3213" w:type="dxa"/>
            <w:tcBorders>
              <w:top w:val="single" w:color="auto" w:sz="2" w:space="0"/>
              <w:left w:val="single" w:color="auto" w:sz="2" w:space="0"/>
              <w:bottom w:val="single" w:color="auto" w:sz="2" w:space="0"/>
              <w:right w:val="single" w:color="auto" w:sz="2" w:space="0"/>
            </w:tcBorders>
            <w:vAlign w:val="center"/>
          </w:tcPr>
          <w:p w14:paraId="1337E5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14,903,449.42</w:t>
            </w:r>
          </w:p>
        </w:tc>
      </w:tr>
      <w:tr w14:paraId="6E7E0B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AA5D1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3627B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536,716,336.48</w:t>
            </w:r>
          </w:p>
        </w:tc>
        <w:tc>
          <w:tcPr>
            <w:tcW w:w="3213" w:type="dxa"/>
            <w:tcBorders>
              <w:top w:val="single" w:color="auto" w:sz="2" w:space="0"/>
              <w:left w:val="single" w:color="auto" w:sz="2" w:space="0"/>
              <w:bottom w:val="single" w:color="auto" w:sz="2" w:space="0"/>
              <w:right w:val="single" w:color="auto" w:sz="2" w:space="0"/>
            </w:tcBorders>
            <w:vAlign w:val="center"/>
          </w:tcPr>
          <w:p w14:paraId="5ABCA4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122,944,964.71</w:t>
            </w:r>
          </w:p>
        </w:tc>
      </w:tr>
      <w:tr w14:paraId="3846EC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E927F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1A84BD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1,333,766,753.86</w:t>
            </w:r>
          </w:p>
        </w:tc>
        <w:tc>
          <w:tcPr>
            <w:tcW w:w="3213" w:type="dxa"/>
            <w:tcBorders>
              <w:top w:val="single" w:color="auto" w:sz="2" w:space="0"/>
              <w:left w:val="single" w:color="auto" w:sz="2" w:space="0"/>
              <w:bottom w:val="single" w:color="auto" w:sz="2" w:space="0"/>
              <w:right w:val="single" w:color="auto" w:sz="2" w:space="0"/>
            </w:tcBorders>
            <w:vAlign w:val="center"/>
          </w:tcPr>
          <w:p w14:paraId="029847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1,044,326,703.01</w:t>
            </w:r>
          </w:p>
        </w:tc>
      </w:tr>
      <w:tr w14:paraId="022417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39B5F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0C5A46">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B4AF52">
            <w:pPr>
              <w:rPr>
                <w:rFonts w:ascii="Times New Roman" w:hAnsi="Times New Roman" w:cs="Times New Roman" w:eastAsiaTheme="majorEastAsia"/>
              </w:rPr>
            </w:pPr>
          </w:p>
        </w:tc>
      </w:tr>
      <w:tr w14:paraId="33CF8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7FDC4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3E2BDA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46,223,781.13</w:t>
            </w:r>
          </w:p>
        </w:tc>
        <w:tc>
          <w:tcPr>
            <w:tcW w:w="3213" w:type="dxa"/>
            <w:tcBorders>
              <w:top w:val="single" w:color="auto" w:sz="2" w:space="0"/>
              <w:left w:val="single" w:color="auto" w:sz="2" w:space="0"/>
              <w:bottom w:val="single" w:color="auto" w:sz="2" w:space="0"/>
              <w:right w:val="single" w:color="auto" w:sz="2" w:space="0"/>
            </w:tcBorders>
            <w:vAlign w:val="center"/>
          </w:tcPr>
          <w:p w14:paraId="6F109C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10,922,480.70</w:t>
            </w:r>
          </w:p>
        </w:tc>
      </w:tr>
      <w:tr w14:paraId="05521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1E646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向中央银行借款</w:t>
            </w:r>
          </w:p>
        </w:tc>
        <w:tc>
          <w:tcPr>
            <w:tcW w:w="3213" w:type="dxa"/>
            <w:tcBorders>
              <w:top w:val="single" w:color="auto" w:sz="2" w:space="0"/>
              <w:left w:val="single" w:color="auto" w:sz="2" w:space="0"/>
              <w:bottom w:val="single" w:color="auto" w:sz="2" w:space="0"/>
              <w:right w:val="single" w:color="auto" w:sz="2" w:space="0"/>
            </w:tcBorders>
            <w:vAlign w:val="center"/>
          </w:tcPr>
          <w:p w14:paraId="75B2900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832185">
            <w:pPr>
              <w:spacing w:line="240" w:lineRule="exact"/>
              <w:jc w:val="right"/>
              <w:rPr>
                <w:rFonts w:ascii="Times New Roman" w:hAnsi="Times New Roman" w:cs="Times New Roman" w:eastAsiaTheme="majorEastAsia"/>
                <w:sz w:val="18"/>
                <w:szCs w:val="18"/>
              </w:rPr>
            </w:pPr>
          </w:p>
        </w:tc>
      </w:tr>
      <w:tr w14:paraId="32E227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C7A15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拆入资金</w:t>
            </w:r>
          </w:p>
        </w:tc>
        <w:tc>
          <w:tcPr>
            <w:tcW w:w="3213" w:type="dxa"/>
            <w:tcBorders>
              <w:top w:val="single" w:color="auto" w:sz="2" w:space="0"/>
              <w:left w:val="single" w:color="auto" w:sz="2" w:space="0"/>
              <w:bottom w:val="single" w:color="auto" w:sz="2" w:space="0"/>
              <w:right w:val="single" w:color="auto" w:sz="2" w:space="0"/>
            </w:tcBorders>
            <w:vAlign w:val="center"/>
          </w:tcPr>
          <w:p w14:paraId="7FC8B3D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4784F8C">
            <w:pPr>
              <w:spacing w:line="240" w:lineRule="exact"/>
              <w:jc w:val="right"/>
              <w:rPr>
                <w:rFonts w:ascii="Times New Roman" w:hAnsi="Times New Roman" w:cs="Times New Roman" w:eastAsiaTheme="majorEastAsia"/>
                <w:sz w:val="18"/>
                <w:szCs w:val="18"/>
              </w:rPr>
            </w:pPr>
          </w:p>
        </w:tc>
      </w:tr>
      <w:tr w14:paraId="5A5A70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B0504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2CF4CC5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2DA0D5">
            <w:pPr>
              <w:spacing w:line="240" w:lineRule="exact"/>
              <w:jc w:val="right"/>
              <w:rPr>
                <w:rFonts w:ascii="Times New Roman" w:hAnsi="Times New Roman" w:cs="Times New Roman" w:eastAsiaTheme="majorEastAsia"/>
                <w:sz w:val="18"/>
                <w:szCs w:val="18"/>
              </w:rPr>
            </w:pPr>
          </w:p>
        </w:tc>
      </w:tr>
      <w:tr w14:paraId="04A6DE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C7A09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5AC105E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CDC2194">
            <w:pPr>
              <w:spacing w:line="240" w:lineRule="exact"/>
              <w:jc w:val="right"/>
              <w:rPr>
                <w:rFonts w:ascii="Times New Roman" w:hAnsi="Times New Roman" w:cs="Times New Roman" w:eastAsiaTheme="majorEastAsia"/>
                <w:sz w:val="18"/>
                <w:szCs w:val="18"/>
              </w:rPr>
            </w:pPr>
          </w:p>
        </w:tc>
      </w:tr>
      <w:tr w14:paraId="625D39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258BB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67E7096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2D77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11,078,266.00</w:t>
            </w:r>
          </w:p>
        </w:tc>
      </w:tr>
      <w:tr w14:paraId="2E799C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E1580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1AF97B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310,695,296.44</w:t>
            </w:r>
          </w:p>
        </w:tc>
        <w:tc>
          <w:tcPr>
            <w:tcW w:w="3213" w:type="dxa"/>
            <w:tcBorders>
              <w:top w:val="single" w:color="auto" w:sz="2" w:space="0"/>
              <w:left w:val="single" w:color="auto" w:sz="2" w:space="0"/>
              <w:bottom w:val="single" w:color="auto" w:sz="2" w:space="0"/>
              <w:right w:val="single" w:color="auto" w:sz="2" w:space="0"/>
            </w:tcBorders>
            <w:vAlign w:val="center"/>
          </w:tcPr>
          <w:p w14:paraId="31567F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79,843,067.85</w:t>
            </w:r>
          </w:p>
        </w:tc>
      </w:tr>
      <w:tr w14:paraId="0DB72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9FA0F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5E23C5B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3D25F19">
            <w:pPr>
              <w:spacing w:line="240" w:lineRule="exact"/>
              <w:jc w:val="right"/>
              <w:rPr>
                <w:rFonts w:ascii="Times New Roman" w:hAnsi="Times New Roman" w:cs="Times New Roman" w:eastAsiaTheme="majorEastAsia"/>
                <w:sz w:val="18"/>
                <w:szCs w:val="18"/>
              </w:rPr>
            </w:pPr>
          </w:p>
        </w:tc>
      </w:tr>
      <w:tr w14:paraId="0BB4FC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6E9E4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13B542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48,564,228.45</w:t>
            </w:r>
          </w:p>
        </w:tc>
        <w:tc>
          <w:tcPr>
            <w:tcW w:w="3213" w:type="dxa"/>
            <w:tcBorders>
              <w:top w:val="single" w:color="auto" w:sz="2" w:space="0"/>
              <w:left w:val="single" w:color="auto" w:sz="2" w:space="0"/>
              <w:bottom w:val="single" w:color="auto" w:sz="2" w:space="0"/>
              <w:right w:val="single" w:color="auto" w:sz="2" w:space="0"/>
            </w:tcBorders>
            <w:vAlign w:val="center"/>
          </w:tcPr>
          <w:p w14:paraId="3380F5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9,777,778.67</w:t>
            </w:r>
          </w:p>
        </w:tc>
      </w:tr>
      <w:tr w14:paraId="30AAAA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9FF66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卖出回购金融资产款</w:t>
            </w:r>
          </w:p>
        </w:tc>
        <w:tc>
          <w:tcPr>
            <w:tcW w:w="3213" w:type="dxa"/>
            <w:tcBorders>
              <w:top w:val="single" w:color="auto" w:sz="2" w:space="0"/>
              <w:left w:val="single" w:color="auto" w:sz="2" w:space="0"/>
              <w:bottom w:val="single" w:color="auto" w:sz="2" w:space="0"/>
              <w:right w:val="single" w:color="auto" w:sz="2" w:space="0"/>
            </w:tcBorders>
            <w:vAlign w:val="center"/>
          </w:tcPr>
          <w:p w14:paraId="37CD983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EED495D">
            <w:pPr>
              <w:spacing w:line="240" w:lineRule="exact"/>
              <w:jc w:val="right"/>
              <w:rPr>
                <w:rFonts w:ascii="Times New Roman" w:hAnsi="Times New Roman" w:cs="Times New Roman" w:eastAsiaTheme="majorEastAsia"/>
                <w:sz w:val="18"/>
                <w:szCs w:val="18"/>
              </w:rPr>
            </w:pPr>
          </w:p>
        </w:tc>
      </w:tr>
      <w:tr w14:paraId="07E04B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95186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吸收存款及同业存放</w:t>
            </w:r>
          </w:p>
        </w:tc>
        <w:tc>
          <w:tcPr>
            <w:tcW w:w="3213" w:type="dxa"/>
            <w:tcBorders>
              <w:top w:val="single" w:color="auto" w:sz="2" w:space="0"/>
              <w:left w:val="single" w:color="auto" w:sz="2" w:space="0"/>
              <w:bottom w:val="single" w:color="auto" w:sz="2" w:space="0"/>
              <w:right w:val="single" w:color="auto" w:sz="2" w:space="0"/>
            </w:tcBorders>
            <w:vAlign w:val="center"/>
          </w:tcPr>
          <w:p w14:paraId="7E53C23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63272A">
            <w:pPr>
              <w:spacing w:line="240" w:lineRule="exact"/>
              <w:jc w:val="right"/>
              <w:rPr>
                <w:rFonts w:ascii="Times New Roman" w:hAnsi="Times New Roman" w:cs="Times New Roman" w:eastAsiaTheme="majorEastAsia"/>
                <w:sz w:val="18"/>
                <w:szCs w:val="18"/>
              </w:rPr>
            </w:pPr>
          </w:p>
        </w:tc>
      </w:tr>
      <w:tr w14:paraId="093C23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7086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代理买卖证券款</w:t>
            </w:r>
          </w:p>
        </w:tc>
        <w:tc>
          <w:tcPr>
            <w:tcW w:w="3213" w:type="dxa"/>
            <w:tcBorders>
              <w:top w:val="single" w:color="auto" w:sz="2" w:space="0"/>
              <w:left w:val="single" w:color="auto" w:sz="2" w:space="0"/>
              <w:bottom w:val="single" w:color="auto" w:sz="2" w:space="0"/>
              <w:right w:val="single" w:color="auto" w:sz="2" w:space="0"/>
            </w:tcBorders>
            <w:vAlign w:val="center"/>
          </w:tcPr>
          <w:p w14:paraId="2EDC600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5B42364">
            <w:pPr>
              <w:spacing w:line="240" w:lineRule="exact"/>
              <w:jc w:val="right"/>
              <w:rPr>
                <w:rFonts w:ascii="Times New Roman" w:hAnsi="Times New Roman" w:cs="Times New Roman" w:eastAsiaTheme="majorEastAsia"/>
                <w:sz w:val="18"/>
                <w:szCs w:val="18"/>
              </w:rPr>
            </w:pPr>
          </w:p>
        </w:tc>
      </w:tr>
      <w:tr w14:paraId="419C43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E9877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代理承销证券款</w:t>
            </w:r>
          </w:p>
        </w:tc>
        <w:tc>
          <w:tcPr>
            <w:tcW w:w="3213" w:type="dxa"/>
            <w:tcBorders>
              <w:top w:val="single" w:color="auto" w:sz="2" w:space="0"/>
              <w:left w:val="single" w:color="auto" w:sz="2" w:space="0"/>
              <w:bottom w:val="single" w:color="auto" w:sz="2" w:space="0"/>
              <w:right w:val="single" w:color="auto" w:sz="2" w:space="0"/>
            </w:tcBorders>
            <w:vAlign w:val="center"/>
          </w:tcPr>
          <w:p w14:paraId="017596E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D43E7E">
            <w:pPr>
              <w:spacing w:line="240" w:lineRule="exact"/>
              <w:jc w:val="right"/>
              <w:rPr>
                <w:rFonts w:ascii="Times New Roman" w:hAnsi="Times New Roman" w:cs="Times New Roman" w:eastAsiaTheme="majorEastAsia"/>
                <w:sz w:val="18"/>
                <w:szCs w:val="18"/>
              </w:rPr>
            </w:pPr>
          </w:p>
        </w:tc>
      </w:tr>
      <w:tr w14:paraId="30ED41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290DB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595640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11,352,528.93</w:t>
            </w:r>
          </w:p>
        </w:tc>
        <w:tc>
          <w:tcPr>
            <w:tcW w:w="3213" w:type="dxa"/>
            <w:tcBorders>
              <w:top w:val="single" w:color="auto" w:sz="2" w:space="0"/>
              <w:left w:val="single" w:color="auto" w:sz="2" w:space="0"/>
              <w:bottom w:val="single" w:color="auto" w:sz="2" w:space="0"/>
              <w:right w:val="single" w:color="auto" w:sz="2" w:space="0"/>
            </w:tcBorders>
            <w:vAlign w:val="center"/>
          </w:tcPr>
          <w:p w14:paraId="67A426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8,877,827.01</w:t>
            </w:r>
          </w:p>
        </w:tc>
      </w:tr>
      <w:tr w14:paraId="68BAC3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DD667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7E701B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49,472,293.38</w:t>
            </w:r>
          </w:p>
        </w:tc>
        <w:tc>
          <w:tcPr>
            <w:tcW w:w="3213" w:type="dxa"/>
            <w:tcBorders>
              <w:top w:val="single" w:color="auto" w:sz="2" w:space="0"/>
              <w:left w:val="single" w:color="auto" w:sz="2" w:space="0"/>
              <w:bottom w:val="single" w:color="auto" w:sz="2" w:space="0"/>
              <w:right w:val="single" w:color="auto" w:sz="2" w:space="0"/>
            </w:tcBorders>
            <w:vAlign w:val="center"/>
          </w:tcPr>
          <w:p w14:paraId="712D61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43,523,982.26</w:t>
            </w:r>
          </w:p>
        </w:tc>
      </w:tr>
      <w:tr w14:paraId="29A454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20CCB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45D53F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29,616,531.12</w:t>
            </w:r>
          </w:p>
        </w:tc>
        <w:tc>
          <w:tcPr>
            <w:tcW w:w="3213" w:type="dxa"/>
            <w:tcBorders>
              <w:top w:val="single" w:color="auto" w:sz="2" w:space="0"/>
              <w:left w:val="single" w:color="auto" w:sz="2" w:space="0"/>
              <w:bottom w:val="single" w:color="auto" w:sz="2" w:space="0"/>
              <w:right w:val="single" w:color="auto" w:sz="2" w:space="0"/>
            </w:tcBorders>
            <w:vAlign w:val="center"/>
          </w:tcPr>
          <w:p w14:paraId="21B1BC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30,695,021.03</w:t>
            </w:r>
          </w:p>
        </w:tc>
      </w:tr>
      <w:tr w14:paraId="0818CC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D4EFB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4F65B87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6A159B">
            <w:pPr>
              <w:spacing w:line="240" w:lineRule="exact"/>
              <w:jc w:val="right"/>
              <w:rPr>
                <w:rFonts w:ascii="Times New Roman" w:hAnsi="Times New Roman" w:cs="Times New Roman" w:eastAsiaTheme="majorEastAsia"/>
                <w:sz w:val="18"/>
                <w:szCs w:val="18"/>
              </w:rPr>
            </w:pPr>
          </w:p>
        </w:tc>
      </w:tr>
      <w:tr w14:paraId="05FDE6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1AFB06">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3B2175E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257728">
            <w:pPr>
              <w:spacing w:line="240" w:lineRule="exact"/>
              <w:jc w:val="right"/>
              <w:rPr>
                <w:rFonts w:ascii="Times New Roman" w:hAnsi="Times New Roman" w:cs="Times New Roman" w:eastAsiaTheme="majorEastAsia"/>
                <w:sz w:val="18"/>
                <w:szCs w:val="18"/>
              </w:rPr>
            </w:pPr>
          </w:p>
        </w:tc>
      </w:tr>
      <w:tr w14:paraId="1272F1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B9470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应付手续费及佣金</w:t>
            </w:r>
          </w:p>
        </w:tc>
        <w:tc>
          <w:tcPr>
            <w:tcW w:w="3213" w:type="dxa"/>
            <w:tcBorders>
              <w:top w:val="single" w:color="auto" w:sz="2" w:space="0"/>
              <w:left w:val="single" w:color="auto" w:sz="2" w:space="0"/>
              <w:bottom w:val="single" w:color="auto" w:sz="2" w:space="0"/>
              <w:right w:val="single" w:color="auto" w:sz="2" w:space="0"/>
            </w:tcBorders>
            <w:vAlign w:val="center"/>
          </w:tcPr>
          <w:p w14:paraId="41643E4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CC8049">
            <w:pPr>
              <w:spacing w:line="240" w:lineRule="exact"/>
              <w:jc w:val="right"/>
              <w:rPr>
                <w:rFonts w:ascii="Times New Roman" w:hAnsi="Times New Roman" w:cs="Times New Roman" w:eastAsiaTheme="majorEastAsia"/>
                <w:sz w:val="18"/>
                <w:szCs w:val="18"/>
              </w:rPr>
            </w:pPr>
          </w:p>
        </w:tc>
      </w:tr>
      <w:tr w14:paraId="758F87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CE022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应付分保账款</w:t>
            </w:r>
          </w:p>
        </w:tc>
        <w:tc>
          <w:tcPr>
            <w:tcW w:w="3213" w:type="dxa"/>
            <w:tcBorders>
              <w:top w:val="single" w:color="auto" w:sz="2" w:space="0"/>
              <w:left w:val="single" w:color="auto" w:sz="2" w:space="0"/>
              <w:bottom w:val="single" w:color="auto" w:sz="2" w:space="0"/>
              <w:right w:val="single" w:color="auto" w:sz="2" w:space="0"/>
            </w:tcBorders>
            <w:vAlign w:val="center"/>
          </w:tcPr>
          <w:p w14:paraId="5969325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7182033">
            <w:pPr>
              <w:spacing w:line="240" w:lineRule="exact"/>
              <w:jc w:val="right"/>
              <w:rPr>
                <w:rFonts w:ascii="Times New Roman" w:hAnsi="Times New Roman" w:cs="Times New Roman" w:eastAsiaTheme="majorEastAsia"/>
                <w:sz w:val="18"/>
                <w:szCs w:val="18"/>
              </w:rPr>
            </w:pPr>
          </w:p>
        </w:tc>
      </w:tr>
      <w:tr w14:paraId="2F86EA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54AAA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34DA231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F48F188">
            <w:pPr>
              <w:spacing w:line="240" w:lineRule="exact"/>
              <w:jc w:val="right"/>
              <w:rPr>
                <w:rFonts w:ascii="Times New Roman" w:hAnsi="Times New Roman" w:cs="Times New Roman" w:eastAsiaTheme="majorEastAsia"/>
                <w:sz w:val="18"/>
                <w:szCs w:val="18"/>
              </w:rPr>
            </w:pPr>
          </w:p>
        </w:tc>
      </w:tr>
      <w:tr w14:paraId="570288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844AA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696AC5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7,213,508.14</w:t>
            </w:r>
          </w:p>
        </w:tc>
        <w:tc>
          <w:tcPr>
            <w:tcW w:w="3213" w:type="dxa"/>
            <w:tcBorders>
              <w:top w:val="single" w:color="auto" w:sz="2" w:space="0"/>
              <w:left w:val="single" w:color="auto" w:sz="2" w:space="0"/>
              <w:bottom w:val="single" w:color="auto" w:sz="2" w:space="0"/>
              <w:right w:val="single" w:color="auto" w:sz="2" w:space="0"/>
            </w:tcBorders>
            <w:vAlign w:val="center"/>
          </w:tcPr>
          <w:p w14:paraId="33AE97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3,428,662.84</w:t>
            </w:r>
          </w:p>
        </w:tc>
      </w:tr>
      <w:tr w14:paraId="550A8A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14D12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6D0456E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FDE8C6">
            <w:pPr>
              <w:spacing w:line="240" w:lineRule="exact"/>
              <w:jc w:val="right"/>
              <w:rPr>
                <w:rFonts w:ascii="Times New Roman" w:hAnsi="Times New Roman" w:cs="Times New Roman" w:eastAsiaTheme="majorEastAsia"/>
                <w:sz w:val="18"/>
                <w:szCs w:val="18"/>
              </w:rPr>
            </w:pPr>
          </w:p>
        </w:tc>
      </w:tr>
      <w:tr w14:paraId="173F79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79795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6C4136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503,138,167.59</w:t>
            </w:r>
          </w:p>
        </w:tc>
        <w:tc>
          <w:tcPr>
            <w:tcW w:w="3213" w:type="dxa"/>
            <w:tcBorders>
              <w:top w:val="single" w:color="auto" w:sz="2" w:space="0"/>
              <w:left w:val="single" w:color="auto" w:sz="2" w:space="0"/>
              <w:bottom w:val="single" w:color="auto" w:sz="2" w:space="0"/>
              <w:right w:val="single" w:color="auto" w:sz="2" w:space="0"/>
            </w:tcBorders>
            <w:vAlign w:val="center"/>
          </w:tcPr>
          <w:p w14:paraId="304F08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198,147,086.36</w:t>
            </w:r>
          </w:p>
        </w:tc>
      </w:tr>
      <w:tr w14:paraId="619BAC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9BBA8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80645E">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0B01A">
            <w:pPr>
              <w:rPr>
                <w:rFonts w:ascii="Times New Roman" w:hAnsi="Times New Roman" w:cs="Times New Roman" w:eastAsiaTheme="majorEastAsia"/>
              </w:rPr>
            </w:pPr>
          </w:p>
        </w:tc>
      </w:tr>
      <w:tr w14:paraId="439BC3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70DFB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保险合同准备金</w:t>
            </w:r>
          </w:p>
        </w:tc>
        <w:tc>
          <w:tcPr>
            <w:tcW w:w="3213" w:type="dxa"/>
            <w:tcBorders>
              <w:top w:val="single" w:color="auto" w:sz="2" w:space="0"/>
              <w:left w:val="single" w:color="auto" w:sz="2" w:space="0"/>
              <w:bottom w:val="single" w:color="auto" w:sz="2" w:space="0"/>
              <w:right w:val="single" w:color="auto" w:sz="2" w:space="0"/>
            </w:tcBorders>
            <w:vAlign w:val="center"/>
          </w:tcPr>
          <w:p w14:paraId="6239570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EEF6FD">
            <w:pPr>
              <w:spacing w:line="240" w:lineRule="exact"/>
              <w:jc w:val="right"/>
              <w:rPr>
                <w:rFonts w:ascii="Times New Roman" w:hAnsi="Times New Roman" w:cs="Times New Roman" w:eastAsiaTheme="majorEastAsia"/>
                <w:sz w:val="18"/>
                <w:szCs w:val="18"/>
              </w:rPr>
            </w:pPr>
          </w:p>
        </w:tc>
      </w:tr>
      <w:tr w14:paraId="2BB428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33F9B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4A5BA6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31,937,786.17</w:t>
            </w:r>
          </w:p>
        </w:tc>
        <w:tc>
          <w:tcPr>
            <w:tcW w:w="3213" w:type="dxa"/>
            <w:tcBorders>
              <w:top w:val="single" w:color="auto" w:sz="2" w:space="0"/>
              <w:left w:val="single" w:color="auto" w:sz="2" w:space="0"/>
              <w:bottom w:val="single" w:color="auto" w:sz="2" w:space="0"/>
              <w:right w:val="single" w:color="auto" w:sz="2" w:space="0"/>
            </w:tcBorders>
            <w:vAlign w:val="center"/>
          </w:tcPr>
          <w:p w14:paraId="14E75F10">
            <w:pPr>
              <w:spacing w:line="240" w:lineRule="exact"/>
              <w:jc w:val="right"/>
              <w:rPr>
                <w:rFonts w:ascii="Times New Roman" w:hAnsi="Times New Roman" w:cs="Times New Roman" w:eastAsiaTheme="majorEastAsia"/>
                <w:sz w:val="18"/>
                <w:szCs w:val="18"/>
              </w:rPr>
            </w:pPr>
          </w:p>
        </w:tc>
      </w:tr>
      <w:tr w14:paraId="79F8E6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A039E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6E93647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AD22DE">
            <w:pPr>
              <w:spacing w:line="240" w:lineRule="exact"/>
              <w:jc w:val="right"/>
              <w:rPr>
                <w:rFonts w:ascii="Times New Roman" w:hAnsi="Times New Roman" w:cs="Times New Roman" w:eastAsiaTheme="majorEastAsia"/>
                <w:sz w:val="18"/>
                <w:szCs w:val="18"/>
              </w:rPr>
            </w:pPr>
          </w:p>
        </w:tc>
      </w:tr>
      <w:tr w14:paraId="5CCC94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EF1849">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446AAE8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7222F7">
            <w:pPr>
              <w:spacing w:line="240" w:lineRule="exact"/>
              <w:jc w:val="right"/>
              <w:rPr>
                <w:rFonts w:ascii="Times New Roman" w:hAnsi="Times New Roman" w:cs="Times New Roman" w:eastAsiaTheme="majorEastAsia"/>
                <w:sz w:val="18"/>
                <w:szCs w:val="18"/>
              </w:rPr>
            </w:pPr>
          </w:p>
        </w:tc>
      </w:tr>
      <w:tr w14:paraId="155425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9F3B32">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521C7E3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BCAC2E">
            <w:pPr>
              <w:spacing w:line="240" w:lineRule="exact"/>
              <w:jc w:val="right"/>
              <w:rPr>
                <w:rFonts w:ascii="Times New Roman" w:hAnsi="Times New Roman" w:cs="Times New Roman" w:eastAsiaTheme="majorEastAsia"/>
                <w:sz w:val="18"/>
                <w:szCs w:val="18"/>
              </w:rPr>
            </w:pPr>
          </w:p>
        </w:tc>
      </w:tr>
      <w:tr w14:paraId="7DDFF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6B61C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4EBC13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5,786,073.08</w:t>
            </w:r>
          </w:p>
        </w:tc>
        <w:tc>
          <w:tcPr>
            <w:tcW w:w="3213" w:type="dxa"/>
            <w:tcBorders>
              <w:top w:val="single" w:color="auto" w:sz="2" w:space="0"/>
              <w:left w:val="single" w:color="auto" w:sz="2" w:space="0"/>
              <w:bottom w:val="single" w:color="auto" w:sz="2" w:space="0"/>
              <w:right w:val="single" w:color="auto" w:sz="2" w:space="0"/>
            </w:tcBorders>
            <w:vAlign w:val="center"/>
          </w:tcPr>
          <w:p w14:paraId="0BC6DA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3,013,794.26</w:t>
            </w:r>
          </w:p>
        </w:tc>
      </w:tr>
      <w:tr w14:paraId="1C457C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EE265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284310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19,306,145.83</w:t>
            </w:r>
          </w:p>
        </w:tc>
        <w:tc>
          <w:tcPr>
            <w:tcW w:w="3213" w:type="dxa"/>
            <w:tcBorders>
              <w:top w:val="single" w:color="auto" w:sz="2" w:space="0"/>
              <w:left w:val="single" w:color="auto" w:sz="2" w:space="0"/>
              <w:bottom w:val="single" w:color="auto" w:sz="2" w:space="0"/>
              <w:right w:val="single" w:color="auto" w:sz="2" w:space="0"/>
            </w:tcBorders>
            <w:vAlign w:val="center"/>
          </w:tcPr>
          <w:p w14:paraId="09E67D35">
            <w:pPr>
              <w:spacing w:line="240" w:lineRule="exact"/>
              <w:jc w:val="right"/>
              <w:rPr>
                <w:rFonts w:ascii="Times New Roman" w:hAnsi="Times New Roman" w:cs="Times New Roman" w:eastAsiaTheme="majorEastAsia"/>
                <w:sz w:val="18"/>
                <w:szCs w:val="18"/>
              </w:rPr>
            </w:pPr>
          </w:p>
        </w:tc>
      </w:tr>
      <w:tr w14:paraId="4F1AFE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1AEE5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5BBC24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3A74B3">
            <w:pPr>
              <w:spacing w:line="240" w:lineRule="exact"/>
              <w:jc w:val="right"/>
              <w:rPr>
                <w:rFonts w:ascii="Times New Roman" w:hAnsi="Times New Roman" w:cs="Times New Roman" w:eastAsiaTheme="majorEastAsia"/>
                <w:sz w:val="18"/>
                <w:szCs w:val="18"/>
              </w:rPr>
            </w:pPr>
          </w:p>
        </w:tc>
      </w:tr>
      <w:tr w14:paraId="4C845E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DA55E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79E7A68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A035EA">
            <w:pPr>
              <w:spacing w:line="240" w:lineRule="exact"/>
              <w:jc w:val="right"/>
              <w:rPr>
                <w:rFonts w:ascii="Times New Roman" w:hAnsi="Times New Roman" w:cs="Times New Roman" w:eastAsiaTheme="majorEastAsia"/>
                <w:sz w:val="18"/>
                <w:szCs w:val="18"/>
              </w:rPr>
            </w:pPr>
          </w:p>
        </w:tc>
      </w:tr>
      <w:tr w14:paraId="6B868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CF980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37C6970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DFC45A">
            <w:pPr>
              <w:spacing w:line="240" w:lineRule="exact"/>
              <w:jc w:val="right"/>
              <w:rPr>
                <w:rFonts w:ascii="Times New Roman" w:hAnsi="Times New Roman" w:cs="Times New Roman" w:eastAsiaTheme="majorEastAsia"/>
                <w:sz w:val="18"/>
                <w:szCs w:val="18"/>
              </w:rPr>
            </w:pPr>
          </w:p>
        </w:tc>
      </w:tr>
      <w:tr w14:paraId="1EE6A5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51C99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07C8A5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7,181,760.61</w:t>
            </w:r>
          </w:p>
        </w:tc>
        <w:tc>
          <w:tcPr>
            <w:tcW w:w="3213" w:type="dxa"/>
            <w:tcBorders>
              <w:top w:val="single" w:color="auto" w:sz="2" w:space="0"/>
              <w:left w:val="single" w:color="auto" w:sz="2" w:space="0"/>
              <w:bottom w:val="single" w:color="auto" w:sz="2" w:space="0"/>
              <w:right w:val="single" w:color="auto" w:sz="2" w:space="0"/>
            </w:tcBorders>
            <w:vAlign w:val="center"/>
          </w:tcPr>
          <w:p w14:paraId="34A2D6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6,886,088.19</w:t>
            </w:r>
          </w:p>
        </w:tc>
      </w:tr>
      <w:tr w14:paraId="58BD7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776E2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02837C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0A1DBE3">
            <w:pPr>
              <w:spacing w:line="240" w:lineRule="exact"/>
              <w:jc w:val="right"/>
              <w:rPr>
                <w:rFonts w:ascii="Times New Roman" w:hAnsi="Times New Roman" w:cs="Times New Roman" w:eastAsiaTheme="majorEastAsia"/>
                <w:sz w:val="18"/>
                <w:szCs w:val="18"/>
              </w:rPr>
            </w:pPr>
          </w:p>
        </w:tc>
      </w:tr>
      <w:tr w14:paraId="1BB34D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E0031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01B35B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64,211,765.69</w:t>
            </w:r>
          </w:p>
        </w:tc>
        <w:tc>
          <w:tcPr>
            <w:tcW w:w="3213" w:type="dxa"/>
            <w:tcBorders>
              <w:top w:val="single" w:color="auto" w:sz="2" w:space="0"/>
              <w:left w:val="single" w:color="auto" w:sz="2" w:space="0"/>
              <w:bottom w:val="single" w:color="auto" w:sz="2" w:space="0"/>
              <w:right w:val="single" w:color="auto" w:sz="2" w:space="0"/>
            </w:tcBorders>
            <w:vAlign w:val="center"/>
          </w:tcPr>
          <w:p w14:paraId="4105A1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9,899,882.45</w:t>
            </w:r>
          </w:p>
        </w:tc>
      </w:tr>
      <w:tr w14:paraId="3C0723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D323C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7AF57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567,349,933.28</w:t>
            </w:r>
          </w:p>
        </w:tc>
        <w:tc>
          <w:tcPr>
            <w:tcW w:w="3213" w:type="dxa"/>
            <w:tcBorders>
              <w:top w:val="single" w:color="auto" w:sz="2" w:space="0"/>
              <w:left w:val="single" w:color="auto" w:sz="2" w:space="0"/>
              <w:bottom w:val="single" w:color="auto" w:sz="2" w:space="0"/>
              <w:right w:val="single" w:color="auto" w:sz="2" w:space="0"/>
            </w:tcBorders>
            <w:vAlign w:val="center"/>
          </w:tcPr>
          <w:p w14:paraId="212BD0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208,046,968.81</w:t>
            </w:r>
          </w:p>
        </w:tc>
      </w:tr>
      <w:tr w14:paraId="18BE00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DB0F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402320">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5D4C20">
            <w:pPr>
              <w:rPr>
                <w:rFonts w:ascii="Times New Roman" w:hAnsi="Times New Roman" w:cs="Times New Roman" w:eastAsiaTheme="majorEastAsia"/>
              </w:rPr>
            </w:pPr>
          </w:p>
        </w:tc>
      </w:tr>
      <w:tr w14:paraId="198B5C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F9331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49FE16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67,108,800.00</w:t>
            </w:r>
          </w:p>
        </w:tc>
        <w:tc>
          <w:tcPr>
            <w:tcW w:w="3213" w:type="dxa"/>
            <w:tcBorders>
              <w:top w:val="single" w:color="auto" w:sz="2" w:space="0"/>
              <w:left w:val="single" w:color="auto" w:sz="2" w:space="0"/>
              <w:bottom w:val="single" w:color="auto" w:sz="2" w:space="0"/>
              <w:right w:val="single" w:color="auto" w:sz="2" w:space="0"/>
            </w:tcBorders>
            <w:vAlign w:val="center"/>
          </w:tcPr>
          <w:p w14:paraId="2261A3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67,236,800.00</w:t>
            </w:r>
          </w:p>
        </w:tc>
      </w:tr>
      <w:tr w14:paraId="3FE3EC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7ABC6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4C3F0BD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6B684DA">
            <w:pPr>
              <w:spacing w:line="240" w:lineRule="exact"/>
              <w:jc w:val="right"/>
              <w:rPr>
                <w:rFonts w:ascii="Times New Roman" w:hAnsi="Times New Roman" w:cs="Times New Roman" w:eastAsiaTheme="majorEastAsia"/>
                <w:sz w:val="18"/>
                <w:szCs w:val="18"/>
              </w:rPr>
            </w:pPr>
          </w:p>
        </w:tc>
      </w:tr>
      <w:tr w14:paraId="54D7F8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D2EBE0">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15650B5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2968C62">
            <w:pPr>
              <w:spacing w:line="240" w:lineRule="exact"/>
              <w:jc w:val="right"/>
              <w:rPr>
                <w:rFonts w:ascii="Times New Roman" w:hAnsi="Times New Roman" w:cs="Times New Roman" w:eastAsiaTheme="majorEastAsia"/>
                <w:sz w:val="18"/>
                <w:szCs w:val="18"/>
              </w:rPr>
            </w:pPr>
          </w:p>
        </w:tc>
      </w:tr>
      <w:tr w14:paraId="6AD713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ECD85A">
            <w:pPr>
              <w:spacing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322946C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732D8A">
            <w:pPr>
              <w:spacing w:line="240" w:lineRule="exact"/>
              <w:jc w:val="right"/>
              <w:rPr>
                <w:rFonts w:ascii="Times New Roman" w:hAnsi="Times New Roman" w:cs="Times New Roman" w:eastAsiaTheme="majorEastAsia"/>
                <w:sz w:val="18"/>
                <w:szCs w:val="18"/>
              </w:rPr>
            </w:pPr>
          </w:p>
        </w:tc>
      </w:tr>
      <w:tr w14:paraId="44E5A5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4E609">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3667B9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598,297,202.73</w:t>
            </w:r>
          </w:p>
        </w:tc>
        <w:tc>
          <w:tcPr>
            <w:tcW w:w="3213" w:type="dxa"/>
            <w:tcBorders>
              <w:top w:val="single" w:color="auto" w:sz="2" w:space="0"/>
              <w:left w:val="single" w:color="auto" w:sz="2" w:space="0"/>
              <w:bottom w:val="single" w:color="auto" w:sz="2" w:space="0"/>
              <w:right w:val="single" w:color="auto" w:sz="2" w:space="0"/>
            </w:tcBorders>
            <w:vAlign w:val="center"/>
          </w:tcPr>
          <w:p w14:paraId="7BD16F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590,694,089.77</w:t>
            </w:r>
          </w:p>
        </w:tc>
      </w:tr>
      <w:tr w14:paraId="53AE2D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FCAFCF">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2FE11A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52,740,572.07</w:t>
            </w:r>
          </w:p>
        </w:tc>
        <w:tc>
          <w:tcPr>
            <w:tcW w:w="3213" w:type="dxa"/>
            <w:tcBorders>
              <w:top w:val="single" w:color="auto" w:sz="2" w:space="0"/>
              <w:left w:val="single" w:color="auto" w:sz="2" w:space="0"/>
              <w:bottom w:val="single" w:color="auto" w:sz="2" w:space="0"/>
              <w:right w:val="single" w:color="auto" w:sz="2" w:space="0"/>
            </w:tcBorders>
            <w:vAlign w:val="center"/>
          </w:tcPr>
          <w:p w14:paraId="56CBA7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27,880,684.00</w:t>
            </w:r>
          </w:p>
        </w:tc>
      </w:tr>
      <w:tr w14:paraId="38C268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E2498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0F0EAB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-603,041.44</w:t>
            </w:r>
          </w:p>
        </w:tc>
        <w:tc>
          <w:tcPr>
            <w:tcW w:w="3213" w:type="dxa"/>
            <w:tcBorders>
              <w:top w:val="single" w:color="auto" w:sz="2" w:space="0"/>
              <w:left w:val="single" w:color="auto" w:sz="2" w:space="0"/>
              <w:bottom w:val="single" w:color="auto" w:sz="2" w:space="0"/>
              <w:right w:val="single" w:color="auto" w:sz="2" w:space="0"/>
            </w:tcBorders>
            <w:vAlign w:val="center"/>
          </w:tcPr>
          <w:p w14:paraId="50A9FF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-673,076.93</w:t>
            </w:r>
          </w:p>
        </w:tc>
      </w:tr>
      <w:tr w14:paraId="76C860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812B8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17B8C38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C82764">
            <w:pPr>
              <w:spacing w:line="240" w:lineRule="exact"/>
              <w:jc w:val="right"/>
              <w:rPr>
                <w:rFonts w:ascii="Times New Roman" w:hAnsi="Times New Roman" w:cs="Times New Roman" w:eastAsiaTheme="majorEastAsia"/>
                <w:sz w:val="18"/>
                <w:szCs w:val="18"/>
              </w:rPr>
            </w:pPr>
          </w:p>
        </w:tc>
      </w:tr>
      <w:tr w14:paraId="4A7E09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91A01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4CF8EC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c>
          <w:tcPr>
            <w:tcW w:w="3213" w:type="dxa"/>
            <w:tcBorders>
              <w:top w:val="single" w:color="auto" w:sz="2" w:space="0"/>
              <w:left w:val="single" w:color="auto" w:sz="2" w:space="0"/>
              <w:bottom w:val="single" w:color="auto" w:sz="2" w:space="0"/>
              <w:right w:val="single" w:color="auto" w:sz="2" w:space="0"/>
            </w:tcBorders>
            <w:vAlign w:val="center"/>
          </w:tcPr>
          <w:p w14:paraId="424624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r>
      <w:tr w14:paraId="371585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E2499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一般风险准备</w:t>
            </w:r>
          </w:p>
        </w:tc>
        <w:tc>
          <w:tcPr>
            <w:tcW w:w="3213" w:type="dxa"/>
            <w:tcBorders>
              <w:top w:val="single" w:color="auto" w:sz="2" w:space="0"/>
              <w:left w:val="single" w:color="auto" w:sz="2" w:space="0"/>
              <w:bottom w:val="single" w:color="auto" w:sz="2" w:space="0"/>
              <w:right w:val="single" w:color="auto" w:sz="2" w:space="0"/>
            </w:tcBorders>
            <w:vAlign w:val="center"/>
          </w:tcPr>
          <w:p w14:paraId="49E20FA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623935A">
            <w:pPr>
              <w:spacing w:line="240" w:lineRule="exact"/>
              <w:jc w:val="right"/>
              <w:rPr>
                <w:rFonts w:ascii="Times New Roman" w:hAnsi="Times New Roman" w:cs="Times New Roman" w:eastAsiaTheme="majorEastAsia"/>
                <w:sz w:val="18"/>
                <w:szCs w:val="18"/>
              </w:rPr>
            </w:pPr>
          </w:p>
        </w:tc>
      </w:tr>
      <w:tr w14:paraId="23BF75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9A159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6E00C1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120,283,337.88</w:t>
            </w:r>
          </w:p>
        </w:tc>
        <w:tc>
          <w:tcPr>
            <w:tcW w:w="3213" w:type="dxa"/>
            <w:tcBorders>
              <w:top w:val="single" w:color="auto" w:sz="2" w:space="0"/>
              <w:left w:val="single" w:color="auto" w:sz="2" w:space="0"/>
              <w:bottom w:val="single" w:color="auto" w:sz="2" w:space="0"/>
              <w:right w:val="single" w:color="auto" w:sz="2" w:space="0"/>
            </w:tcBorders>
            <w:vAlign w:val="center"/>
          </w:tcPr>
          <w:p w14:paraId="4D19C4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176,446,442.34</w:t>
            </w:r>
          </w:p>
        </w:tc>
      </w:tr>
      <w:tr w14:paraId="1F3B9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B5AE4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归属于母公司所有者权益合计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46E6A7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758,250,167.43</w:t>
            </w:r>
          </w:p>
        </w:tc>
        <w:tc>
          <w:tcPr>
            <w:tcW w:w="3213" w:type="dxa"/>
            <w:tcBorders>
              <w:top w:val="single" w:color="auto" w:sz="2" w:space="0"/>
              <w:left w:val="single" w:color="auto" w:sz="2" w:space="0"/>
              <w:bottom w:val="single" w:color="auto" w:sz="2" w:space="0"/>
              <w:right w:val="single" w:color="auto" w:sz="2" w:space="0"/>
            </w:tcBorders>
            <w:vAlign w:val="center"/>
          </w:tcPr>
          <w:p w14:paraId="6135E7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831,728,011.51</w:t>
            </w:r>
          </w:p>
        </w:tc>
      </w:tr>
      <w:tr w14:paraId="5C83AB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3D822F">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29B9A9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8,166,653.15</w:t>
            </w:r>
          </w:p>
        </w:tc>
        <w:tc>
          <w:tcPr>
            <w:tcW w:w="3213" w:type="dxa"/>
            <w:tcBorders>
              <w:top w:val="single" w:color="auto" w:sz="2" w:space="0"/>
              <w:left w:val="single" w:color="auto" w:sz="2" w:space="0"/>
              <w:bottom w:val="single" w:color="auto" w:sz="2" w:space="0"/>
              <w:right w:val="single" w:color="auto" w:sz="2" w:space="0"/>
            </w:tcBorders>
            <w:vAlign w:val="center"/>
          </w:tcPr>
          <w:p w14:paraId="54B802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4,551,722.69</w:t>
            </w:r>
          </w:p>
        </w:tc>
      </w:tr>
      <w:tr w14:paraId="35F21C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FEEB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32F1C2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766,416,820.58</w:t>
            </w:r>
          </w:p>
        </w:tc>
        <w:tc>
          <w:tcPr>
            <w:tcW w:w="3213" w:type="dxa"/>
            <w:tcBorders>
              <w:top w:val="single" w:color="auto" w:sz="2" w:space="0"/>
              <w:left w:val="single" w:color="auto" w:sz="2" w:space="0"/>
              <w:bottom w:val="single" w:color="auto" w:sz="2" w:space="0"/>
              <w:right w:val="single" w:color="auto" w:sz="2" w:space="0"/>
            </w:tcBorders>
            <w:vAlign w:val="center"/>
          </w:tcPr>
          <w:p w14:paraId="476ED0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836,279,734.20</w:t>
            </w:r>
          </w:p>
        </w:tc>
      </w:tr>
      <w:tr w14:paraId="6070FE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4DBE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05D25A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1,333,766,753.86</w:t>
            </w:r>
          </w:p>
        </w:tc>
        <w:tc>
          <w:tcPr>
            <w:tcW w:w="3213" w:type="dxa"/>
            <w:tcBorders>
              <w:top w:val="single" w:color="auto" w:sz="2" w:space="0"/>
              <w:left w:val="single" w:color="auto" w:sz="2" w:space="0"/>
              <w:bottom w:val="single" w:color="auto" w:sz="2" w:space="0"/>
              <w:right w:val="single" w:color="auto" w:sz="2" w:space="0"/>
            </w:tcBorders>
            <w:vAlign w:val="center"/>
          </w:tcPr>
          <w:p w14:paraId="21F370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1,044,326,703.01</w:t>
            </w:r>
          </w:p>
        </w:tc>
      </w:tr>
    </w:tbl>
    <w:p w14:paraId="7572EF64">
      <w:pPr>
        <w:spacing w:before="312" w:beforeLines="100" w:after="312" w:afterLines="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5CDAF5B1">
      <w:pPr>
        <w:pStyle w:val="3"/>
        <w:spacing w:line="320" w:lineRule="exact"/>
        <w:jc w:val="left"/>
        <w:rPr>
          <w:rFonts w:ascii="Times New Roman" w:hAnsi="Times New Roman" w:cs="Times New Roman" w:eastAsiaTheme="majorEastAsia"/>
          <w:b/>
          <w:bCs/>
          <w:sz w:val="24"/>
          <w:szCs w:val="24"/>
        </w:rPr>
      </w:pPr>
      <w:bookmarkStart w:id="155" w:name="_Toc989044"/>
      <w:r>
        <w:rPr>
          <w:rFonts w:ascii="Times New Roman" w:hAnsi="Times New Roman" w:cs="Times New Roman" w:eastAsiaTheme="majorEastAsia"/>
          <w:b/>
          <w:bCs/>
          <w:sz w:val="24"/>
          <w:szCs w:val="24"/>
        </w:rPr>
        <w:t>2、母公司资产负债表</w:t>
      </w:r>
      <w:bookmarkEnd w:id="155"/>
    </w:p>
    <w:p w14:paraId="37926CF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7B3DF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8D85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6376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A8B4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26AC0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31C7A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AB5668">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024BA9">
            <w:pPr>
              <w:rPr>
                <w:rFonts w:ascii="Times New Roman" w:hAnsi="Times New Roman" w:cs="Times New Roman" w:eastAsiaTheme="majorEastAsia"/>
              </w:rPr>
            </w:pPr>
          </w:p>
        </w:tc>
      </w:tr>
      <w:tr w14:paraId="1A2EA3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13205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53A862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258,290,885.35</w:t>
            </w:r>
          </w:p>
        </w:tc>
        <w:tc>
          <w:tcPr>
            <w:tcW w:w="3213" w:type="dxa"/>
            <w:tcBorders>
              <w:top w:val="single" w:color="auto" w:sz="2" w:space="0"/>
              <w:left w:val="single" w:color="auto" w:sz="2" w:space="0"/>
              <w:bottom w:val="single" w:color="auto" w:sz="2" w:space="0"/>
              <w:right w:val="single" w:color="auto" w:sz="2" w:space="0"/>
            </w:tcBorders>
            <w:vAlign w:val="center"/>
          </w:tcPr>
          <w:p w14:paraId="16016A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383,960,473.16</w:t>
            </w:r>
          </w:p>
        </w:tc>
      </w:tr>
      <w:tr w14:paraId="6479C4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72550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4D5FE2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1846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r>
      <w:tr w14:paraId="5AA7C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F0E03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衍生金融资产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777BF3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18FE0C8">
            <w:pPr>
              <w:spacing w:line="240" w:lineRule="exact"/>
              <w:jc w:val="right"/>
              <w:rPr>
                <w:rFonts w:ascii="Times New Roman" w:hAnsi="Times New Roman" w:cs="Times New Roman" w:eastAsiaTheme="majorEastAsia"/>
                <w:sz w:val="18"/>
                <w:szCs w:val="18"/>
              </w:rPr>
            </w:pPr>
          </w:p>
        </w:tc>
      </w:tr>
      <w:tr w14:paraId="26C5BF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21E8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应收票据</w:t>
            </w:r>
          </w:p>
        </w:tc>
        <w:tc>
          <w:tcPr>
            <w:tcW w:w="3213" w:type="dxa"/>
            <w:tcBorders>
              <w:top w:val="single" w:color="auto" w:sz="2" w:space="0"/>
              <w:left w:val="single" w:color="auto" w:sz="2" w:space="0"/>
              <w:bottom w:val="single" w:color="auto" w:sz="2" w:space="0"/>
              <w:right w:val="single" w:color="auto" w:sz="2" w:space="0"/>
            </w:tcBorders>
            <w:vAlign w:val="center"/>
          </w:tcPr>
          <w:p w14:paraId="2A8879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3213" w:type="dxa"/>
            <w:tcBorders>
              <w:top w:val="single" w:color="auto" w:sz="2" w:space="0"/>
              <w:left w:val="single" w:color="auto" w:sz="2" w:space="0"/>
              <w:bottom w:val="single" w:color="auto" w:sz="2" w:space="0"/>
              <w:right w:val="single" w:color="auto" w:sz="2" w:space="0"/>
            </w:tcBorders>
            <w:vAlign w:val="center"/>
          </w:tcPr>
          <w:p w14:paraId="00720449">
            <w:pPr>
              <w:spacing w:line="240" w:lineRule="exact"/>
              <w:jc w:val="right"/>
              <w:rPr>
                <w:rFonts w:ascii="Times New Roman" w:hAnsi="Times New Roman" w:cs="Times New Roman" w:eastAsiaTheme="majorEastAsia"/>
                <w:sz w:val="18"/>
                <w:szCs w:val="18"/>
              </w:rPr>
            </w:pPr>
          </w:p>
        </w:tc>
      </w:tr>
      <w:tr w14:paraId="151895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4FAFC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w:t>
            </w:r>
          </w:p>
        </w:tc>
        <w:tc>
          <w:tcPr>
            <w:tcW w:w="3213" w:type="dxa"/>
            <w:tcBorders>
              <w:top w:val="single" w:color="auto" w:sz="2" w:space="0"/>
              <w:left w:val="single" w:color="auto" w:sz="2" w:space="0"/>
              <w:bottom w:val="single" w:color="auto" w:sz="2" w:space="0"/>
              <w:right w:val="single" w:color="auto" w:sz="2" w:space="0"/>
            </w:tcBorders>
            <w:vAlign w:val="center"/>
          </w:tcPr>
          <w:p w14:paraId="523B90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205,179,639.83</w:t>
            </w:r>
          </w:p>
        </w:tc>
        <w:tc>
          <w:tcPr>
            <w:tcW w:w="3213" w:type="dxa"/>
            <w:tcBorders>
              <w:top w:val="single" w:color="auto" w:sz="2" w:space="0"/>
              <w:left w:val="single" w:color="auto" w:sz="2" w:space="0"/>
              <w:bottom w:val="single" w:color="auto" w:sz="2" w:space="0"/>
              <w:right w:val="single" w:color="auto" w:sz="2" w:space="0"/>
            </w:tcBorders>
            <w:vAlign w:val="center"/>
          </w:tcPr>
          <w:p w14:paraId="0290F4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239,807,590.91</w:t>
            </w:r>
          </w:p>
        </w:tc>
      </w:tr>
      <w:tr w14:paraId="40CCFF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DE34D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应收款项融资</w:t>
            </w:r>
          </w:p>
        </w:tc>
        <w:tc>
          <w:tcPr>
            <w:tcW w:w="3213" w:type="dxa"/>
            <w:tcBorders>
              <w:top w:val="single" w:color="auto" w:sz="2" w:space="0"/>
              <w:left w:val="single" w:color="auto" w:sz="2" w:space="0"/>
              <w:bottom w:val="single" w:color="auto" w:sz="2" w:space="0"/>
              <w:right w:val="single" w:color="auto" w:sz="2" w:space="0"/>
            </w:tcBorders>
            <w:vAlign w:val="center"/>
          </w:tcPr>
          <w:p w14:paraId="69465A8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2FC778">
            <w:pPr>
              <w:spacing w:line="240" w:lineRule="exact"/>
              <w:jc w:val="right"/>
              <w:rPr>
                <w:rFonts w:ascii="Times New Roman" w:hAnsi="Times New Roman" w:cs="Times New Roman" w:eastAsiaTheme="majorEastAsia"/>
                <w:sz w:val="18"/>
                <w:szCs w:val="18"/>
              </w:rPr>
            </w:pPr>
          </w:p>
        </w:tc>
      </w:tr>
      <w:tr w14:paraId="54597D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031C6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预付款项</w:t>
            </w:r>
          </w:p>
        </w:tc>
        <w:tc>
          <w:tcPr>
            <w:tcW w:w="3213" w:type="dxa"/>
            <w:tcBorders>
              <w:top w:val="single" w:color="auto" w:sz="2" w:space="0"/>
              <w:left w:val="single" w:color="auto" w:sz="2" w:space="0"/>
              <w:bottom w:val="single" w:color="auto" w:sz="2" w:space="0"/>
              <w:right w:val="single" w:color="auto" w:sz="2" w:space="0"/>
            </w:tcBorders>
            <w:vAlign w:val="center"/>
          </w:tcPr>
          <w:p w14:paraId="534F69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6,998,659.56</w:t>
            </w:r>
          </w:p>
        </w:tc>
        <w:tc>
          <w:tcPr>
            <w:tcW w:w="3213" w:type="dxa"/>
            <w:tcBorders>
              <w:top w:val="single" w:color="auto" w:sz="2" w:space="0"/>
              <w:left w:val="single" w:color="auto" w:sz="2" w:space="0"/>
              <w:bottom w:val="single" w:color="auto" w:sz="2" w:space="0"/>
              <w:right w:val="single" w:color="auto" w:sz="2" w:space="0"/>
            </w:tcBorders>
            <w:vAlign w:val="center"/>
          </w:tcPr>
          <w:p w14:paraId="722248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5,139,168.47</w:t>
            </w:r>
          </w:p>
        </w:tc>
      </w:tr>
      <w:tr w14:paraId="789301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2447F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4004E9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88,855,492.30</w:t>
            </w:r>
          </w:p>
        </w:tc>
        <w:tc>
          <w:tcPr>
            <w:tcW w:w="3213" w:type="dxa"/>
            <w:tcBorders>
              <w:top w:val="single" w:color="auto" w:sz="2" w:space="0"/>
              <w:left w:val="single" w:color="auto" w:sz="2" w:space="0"/>
              <w:bottom w:val="single" w:color="auto" w:sz="2" w:space="0"/>
              <w:right w:val="single" w:color="auto" w:sz="2" w:space="0"/>
            </w:tcBorders>
            <w:vAlign w:val="center"/>
          </w:tcPr>
          <w:p w14:paraId="5B91A2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64,975,199.68</w:t>
            </w:r>
          </w:p>
        </w:tc>
      </w:tr>
      <w:tr w14:paraId="78A7A1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E8BFB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其中：应收利息</w:t>
            </w:r>
          </w:p>
        </w:tc>
        <w:tc>
          <w:tcPr>
            <w:tcW w:w="3213" w:type="dxa"/>
            <w:tcBorders>
              <w:top w:val="single" w:color="auto" w:sz="2" w:space="0"/>
              <w:left w:val="single" w:color="auto" w:sz="2" w:space="0"/>
              <w:bottom w:val="single" w:color="auto" w:sz="2" w:space="0"/>
              <w:right w:val="single" w:color="auto" w:sz="2" w:space="0"/>
            </w:tcBorders>
            <w:vAlign w:val="center"/>
          </w:tcPr>
          <w:p w14:paraId="781252A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3DAE7F">
            <w:pPr>
              <w:spacing w:line="240" w:lineRule="exact"/>
              <w:jc w:val="right"/>
              <w:rPr>
                <w:rFonts w:ascii="Times New Roman" w:hAnsi="Times New Roman" w:cs="Times New Roman" w:eastAsiaTheme="majorEastAsia"/>
                <w:sz w:val="18"/>
                <w:szCs w:val="18"/>
              </w:rPr>
            </w:pPr>
          </w:p>
        </w:tc>
      </w:tr>
      <w:tr w14:paraId="6F0664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7F7323">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应收股利</w:t>
            </w:r>
          </w:p>
        </w:tc>
        <w:tc>
          <w:tcPr>
            <w:tcW w:w="3213" w:type="dxa"/>
            <w:tcBorders>
              <w:top w:val="single" w:color="auto" w:sz="2" w:space="0"/>
              <w:left w:val="single" w:color="auto" w:sz="2" w:space="0"/>
              <w:bottom w:val="single" w:color="auto" w:sz="2" w:space="0"/>
              <w:right w:val="single" w:color="auto" w:sz="2" w:space="0"/>
            </w:tcBorders>
            <w:vAlign w:val="center"/>
          </w:tcPr>
          <w:p w14:paraId="0DFA1B5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6B7319">
            <w:pPr>
              <w:spacing w:line="240" w:lineRule="exact"/>
              <w:jc w:val="right"/>
              <w:rPr>
                <w:rFonts w:ascii="Times New Roman" w:hAnsi="Times New Roman" w:cs="Times New Roman" w:eastAsiaTheme="majorEastAsia"/>
                <w:sz w:val="18"/>
                <w:szCs w:val="18"/>
              </w:rPr>
            </w:pPr>
          </w:p>
        </w:tc>
      </w:tr>
      <w:tr w14:paraId="7413C9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6D361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396D8A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58,680,414.54</w:t>
            </w:r>
          </w:p>
        </w:tc>
        <w:tc>
          <w:tcPr>
            <w:tcW w:w="3213" w:type="dxa"/>
            <w:tcBorders>
              <w:top w:val="single" w:color="auto" w:sz="2" w:space="0"/>
              <w:left w:val="single" w:color="auto" w:sz="2" w:space="0"/>
              <w:bottom w:val="single" w:color="auto" w:sz="2" w:space="0"/>
              <w:right w:val="single" w:color="auto" w:sz="2" w:space="0"/>
            </w:tcBorders>
            <w:vAlign w:val="center"/>
          </w:tcPr>
          <w:p w14:paraId="6CEDA1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26,564,477.58</w:t>
            </w:r>
          </w:p>
        </w:tc>
      </w:tr>
      <w:tr w14:paraId="7D8E3E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B4EC69">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7982BA7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31C86D">
            <w:pPr>
              <w:spacing w:line="240" w:lineRule="exact"/>
              <w:jc w:val="right"/>
              <w:rPr>
                <w:rFonts w:ascii="Times New Roman" w:hAnsi="Times New Roman" w:cs="Times New Roman" w:eastAsiaTheme="majorEastAsia"/>
                <w:sz w:val="18"/>
                <w:szCs w:val="18"/>
              </w:rPr>
            </w:pPr>
          </w:p>
        </w:tc>
      </w:tr>
      <w:tr w14:paraId="1C48E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22396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w:t>
            </w:r>
          </w:p>
        </w:tc>
        <w:tc>
          <w:tcPr>
            <w:tcW w:w="3213" w:type="dxa"/>
            <w:tcBorders>
              <w:top w:val="single" w:color="auto" w:sz="2" w:space="0"/>
              <w:left w:val="single" w:color="auto" w:sz="2" w:space="0"/>
              <w:bottom w:val="single" w:color="auto" w:sz="2" w:space="0"/>
              <w:right w:val="single" w:color="auto" w:sz="2" w:space="0"/>
            </w:tcBorders>
            <w:vAlign w:val="center"/>
          </w:tcPr>
          <w:p w14:paraId="0520DE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3,885,178.18</w:t>
            </w:r>
          </w:p>
        </w:tc>
        <w:tc>
          <w:tcPr>
            <w:tcW w:w="3213" w:type="dxa"/>
            <w:tcBorders>
              <w:top w:val="single" w:color="auto" w:sz="2" w:space="0"/>
              <w:left w:val="single" w:color="auto" w:sz="2" w:space="0"/>
              <w:bottom w:val="single" w:color="auto" w:sz="2" w:space="0"/>
              <w:right w:val="single" w:color="auto" w:sz="2" w:space="0"/>
            </w:tcBorders>
            <w:vAlign w:val="center"/>
          </w:tcPr>
          <w:p w14:paraId="21313E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2,595,911.42</w:t>
            </w:r>
          </w:p>
        </w:tc>
      </w:tr>
      <w:tr w14:paraId="259819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B57B1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持有待售资产</w:t>
            </w:r>
          </w:p>
        </w:tc>
        <w:tc>
          <w:tcPr>
            <w:tcW w:w="3213" w:type="dxa"/>
            <w:tcBorders>
              <w:top w:val="single" w:color="auto" w:sz="2" w:space="0"/>
              <w:left w:val="single" w:color="auto" w:sz="2" w:space="0"/>
              <w:bottom w:val="single" w:color="auto" w:sz="2" w:space="0"/>
              <w:right w:val="single" w:color="auto" w:sz="2" w:space="0"/>
            </w:tcBorders>
            <w:vAlign w:val="center"/>
          </w:tcPr>
          <w:p w14:paraId="19C27E0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C6392E">
            <w:pPr>
              <w:spacing w:line="240" w:lineRule="exact"/>
              <w:jc w:val="right"/>
              <w:rPr>
                <w:rFonts w:ascii="Times New Roman" w:hAnsi="Times New Roman" w:cs="Times New Roman" w:eastAsiaTheme="majorEastAsia"/>
                <w:sz w:val="18"/>
                <w:szCs w:val="18"/>
              </w:rPr>
            </w:pPr>
          </w:p>
        </w:tc>
      </w:tr>
      <w:tr w14:paraId="558AF1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1940B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F54D6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18,892,500.04</w:t>
            </w:r>
          </w:p>
        </w:tc>
        <w:tc>
          <w:tcPr>
            <w:tcW w:w="3213" w:type="dxa"/>
            <w:tcBorders>
              <w:top w:val="single" w:color="auto" w:sz="2" w:space="0"/>
              <w:left w:val="single" w:color="auto" w:sz="2" w:space="0"/>
              <w:bottom w:val="single" w:color="auto" w:sz="2" w:space="0"/>
              <w:right w:val="single" w:color="auto" w:sz="2" w:space="0"/>
            </w:tcBorders>
            <w:vAlign w:val="center"/>
          </w:tcPr>
          <w:p w14:paraId="16CEFD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21,910,442.77</w:t>
            </w:r>
          </w:p>
        </w:tc>
      </w:tr>
      <w:tr w14:paraId="24B2E1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90E1A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3AEA2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45,685,625.22</w:t>
            </w:r>
          </w:p>
        </w:tc>
        <w:tc>
          <w:tcPr>
            <w:tcW w:w="3213" w:type="dxa"/>
            <w:tcBorders>
              <w:top w:val="single" w:color="auto" w:sz="2" w:space="0"/>
              <w:left w:val="single" w:color="auto" w:sz="2" w:space="0"/>
              <w:bottom w:val="single" w:color="auto" w:sz="2" w:space="0"/>
              <w:right w:val="single" w:color="auto" w:sz="2" w:space="0"/>
            </w:tcBorders>
            <w:vAlign w:val="center"/>
          </w:tcPr>
          <w:p w14:paraId="7813D1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3,133,374.23</w:t>
            </w:r>
          </w:p>
        </w:tc>
      </w:tr>
      <w:tr w14:paraId="4B7AF5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63285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53D714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689,038,395.02</w:t>
            </w:r>
          </w:p>
        </w:tc>
        <w:tc>
          <w:tcPr>
            <w:tcW w:w="3213" w:type="dxa"/>
            <w:tcBorders>
              <w:top w:val="single" w:color="auto" w:sz="2" w:space="0"/>
              <w:left w:val="single" w:color="auto" w:sz="2" w:space="0"/>
              <w:bottom w:val="single" w:color="auto" w:sz="2" w:space="0"/>
              <w:right w:val="single" w:color="auto" w:sz="2" w:space="0"/>
            </w:tcBorders>
            <w:vAlign w:val="center"/>
          </w:tcPr>
          <w:p w14:paraId="476971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768,103,734.11</w:t>
            </w:r>
          </w:p>
        </w:tc>
      </w:tr>
      <w:tr w14:paraId="1B9DF3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C4579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F6A334">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62C054">
            <w:pPr>
              <w:rPr>
                <w:rFonts w:ascii="Times New Roman" w:hAnsi="Times New Roman" w:cs="Times New Roman" w:eastAsiaTheme="majorEastAsia"/>
              </w:rPr>
            </w:pPr>
          </w:p>
        </w:tc>
      </w:tr>
      <w:tr w14:paraId="34FB2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361B1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60079BE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FE095F3">
            <w:pPr>
              <w:spacing w:line="240" w:lineRule="exact"/>
              <w:jc w:val="right"/>
              <w:rPr>
                <w:rFonts w:ascii="Times New Roman" w:hAnsi="Times New Roman" w:cs="Times New Roman" w:eastAsiaTheme="majorEastAsia"/>
                <w:sz w:val="18"/>
                <w:szCs w:val="18"/>
              </w:rPr>
            </w:pPr>
          </w:p>
        </w:tc>
      </w:tr>
      <w:tr w14:paraId="6E44BA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6B268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其他债权投资</w:t>
            </w:r>
          </w:p>
        </w:tc>
        <w:tc>
          <w:tcPr>
            <w:tcW w:w="3213" w:type="dxa"/>
            <w:tcBorders>
              <w:top w:val="single" w:color="auto" w:sz="2" w:space="0"/>
              <w:left w:val="single" w:color="auto" w:sz="2" w:space="0"/>
              <w:bottom w:val="single" w:color="auto" w:sz="2" w:space="0"/>
              <w:right w:val="single" w:color="auto" w:sz="2" w:space="0"/>
            </w:tcBorders>
            <w:vAlign w:val="center"/>
          </w:tcPr>
          <w:p w14:paraId="4CF81C7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24D6C05">
            <w:pPr>
              <w:spacing w:line="240" w:lineRule="exact"/>
              <w:jc w:val="right"/>
              <w:rPr>
                <w:rFonts w:ascii="Times New Roman" w:hAnsi="Times New Roman" w:cs="Times New Roman" w:eastAsiaTheme="majorEastAsia"/>
                <w:sz w:val="18"/>
                <w:szCs w:val="18"/>
              </w:rPr>
            </w:pPr>
          </w:p>
        </w:tc>
      </w:tr>
      <w:tr w14:paraId="684D98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217BD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161E9F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10,731,084.36</w:t>
            </w:r>
          </w:p>
        </w:tc>
        <w:tc>
          <w:tcPr>
            <w:tcW w:w="3213" w:type="dxa"/>
            <w:tcBorders>
              <w:top w:val="single" w:color="auto" w:sz="2" w:space="0"/>
              <w:left w:val="single" w:color="auto" w:sz="2" w:space="0"/>
              <w:bottom w:val="single" w:color="auto" w:sz="2" w:space="0"/>
              <w:right w:val="single" w:color="auto" w:sz="2" w:space="0"/>
            </w:tcBorders>
            <w:vAlign w:val="center"/>
          </w:tcPr>
          <w:p w14:paraId="1E210E85">
            <w:pPr>
              <w:spacing w:line="240" w:lineRule="exact"/>
              <w:jc w:val="right"/>
              <w:rPr>
                <w:rFonts w:ascii="Times New Roman" w:hAnsi="Times New Roman" w:cs="Times New Roman" w:eastAsiaTheme="majorEastAsia"/>
                <w:sz w:val="18"/>
                <w:szCs w:val="18"/>
              </w:rPr>
            </w:pPr>
          </w:p>
        </w:tc>
      </w:tr>
      <w:tr w14:paraId="1BB136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C5A0B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长期股权投资</w:t>
            </w:r>
          </w:p>
        </w:tc>
        <w:tc>
          <w:tcPr>
            <w:tcW w:w="3213" w:type="dxa"/>
            <w:tcBorders>
              <w:top w:val="single" w:color="auto" w:sz="2" w:space="0"/>
              <w:left w:val="single" w:color="auto" w:sz="2" w:space="0"/>
              <w:bottom w:val="single" w:color="auto" w:sz="2" w:space="0"/>
              <w:right w:val="single" w:color="auto" w:sz="2" w:space="0"/>
            </w:tcBorders>
            <w:vAlign w:val="center"/>
          </w:tcPr>
          <w:p w14:paraId="3D1950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3213" w:type="dxa"/>
            <w:tcBorders>
              <w:top w:val="single" w:color="auto" w:sz="2" w:space="0"/>
              <w:left w:val="single" w:color="auto" w:sz="2" w:space="0"/>
              <w:bottom w:val="single" w:color="auto" w:sz="2" w:space="0"/>
              <w:right w:val="single" w:color="auto" w:sz="2" w:space="0"/>
            </w:tcBorders>
            <w:vAlign w:val="center"/>
          </w:tcPr>
          <w:p w14:paraId="79966B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r>
      <w:tr w14:paraId="2C3A3A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709DE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其他权益工具投资</w:t>
            </w:r>
          </w:p>
        </w:tc>
        <w:tc>
          <w:tcPr>
            <w:tcW w:w="3213" w:type="dxa"/>
            <w:tcBorders>
              <w:top w:val="single" w:color="auto" w:sz="2" w:space="0"/>
              <w:left w:val="single" w:color="auto" w:sz="2" w:space="0"/>
              <w:bottom w:val="single" w:color="auto" w:sz="2" w:space="0"/>
              <w:right w:val="single" w:color="auto" w:sz="2" w:space="0"/>
            </w:tcBorders>
            <w:vAlign w:val="center"/>
          </w:tcPr>
          <w:p w14:paraId="19A5C3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3213" w:type="dxa"/>
            <w:tcBorders>
              <w:top w:val="single" w:color="auto" w:sz="2" w:space="0"/>
              <w:left w:val="single" w:color="auto" w:sz="2" w:space="0"/>
              <w:bottom w:val="single" w:color="auto" w:sz="2" w:space="0"/>
              <w:right w:val="single" w:color="auto" w:sz="2" w:space="0"/>
            </w:tcBorders>
            <w:vAlign w:val="center"/>
          </w:tcPr>
          <w:p w14:paraId="18E75D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r>
      <w:tr w14:paraId="7C1B48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07124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3BE11BE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A915EBF">
            <w:pPr>
              <w:spacing w:line="240" w:lineRule="exact"/>
              <w:jc w:val="right"/>
              <w:rPr>
                <w:rFonts w:ascii="Times New Roman" w:hAnsi="Times New Roman" w:cs="Times New Roman" w:eastAsiaTheme="majorEastAsia"/>
                <w:sz w:val="18"/>
                <w:szCs w:val="18"/>
              </w:rPr>
            </w:pPr>
          </w:p>
        </w:tc>
      </w:tr>
      <w:tr w14:paraId="33FBCF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084AB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投资性房地产</w:t>
            </w:r>
          </w:p>
        </w:tc>
        <w:tc>
          <w:tcPr>
            <w:tcW w:w="3213" w:type="dxa"/>
            <w:tcBorders>
              <w:top w:val="single" w:color="auto" w:sz="2" w:space="0"/>
              <w:left w:val="single" w:color="auto" w:sz="2" w:space="0"/>
              <w:bottom w:val="single" w:color="auto" w:sz="2" w:space="0"/>
              <w:right w:val="single" w:color="auto" w:sz="2" w:space="0"/>
            </w:tcBorders>
            <w:vAlign w:val="center"/>
          </w:tcPr>
          <w:p w14:paraId="36F7AD8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6EBCC5">
            <w:pPr>
              <w:spacing w:line="240" w:lineRule="exact"/>
              <w:jc w:val="right"/>
              <w:rPr>
                <w:rFonts w:ascii="Times New Roman" w:hAnsi="Times New Roman" w:cs="Times New Roman" w:eastAsiaTheme="majorEastAsia"/>
                <w:sz w:val="18"/>
                <w:szCs w:val="18"/>
              </w:rPr>
            </w:pPr>
          </w:p>
        </w:tc>
      </w:tr>
      <w:tr w14:paraId="5FB1FA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B1AFC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10B555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14,779,543.61</w:t>
            </w:r>
          </w:p>
        </w:tc>
        <w:tc>
          <w:tcPr>
            <w:tcW w:w="3213" w:type="dxa"/>
            <w:tcBorders>
              <w:top w:val="single" w:color="auto" w:sz="2" w:space="0"/>
              <w:left w:val="single" w:color="auto" w:sz="2" w:space="0"/>
              <w:bottom w:val="single" w:color="auto" w:sz="2" w:space="0"/>
              <w:right w:val="single" w:color="auto" w:sz="2" w:space="0"/>
            </w:tcBorders>
            <w:vAlign w:val="center"/>
          </w:tcPr>
          <w:p w14:paraId="4FE55F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3,253,616.09</w:t>
            </w:r>
          </w:p>
        </w:tc>
      </w:tr>
      <w:tr w14:paraId="13542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84F6A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1A643E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294,247,787.62</w:t>
            </w:r>
          </w:p>
        </w:tc>
        <w:tc>
          <w:tcPr>
            <w:tcW w:w="3213" w:type="dxa"/>
            <w:tcBorders>
              <w:top w:val="single" w:color="auto" w:sz="2" w:space="0"/>
              <w:left w:val="single" w:color="auto" w:sz="2" w:space="0"/>
              <w:bottom w:val="single" w:color="auto" w:sz="2" w:space="0"/>
              <w:right w:val="single" w:color="auto" w:sz="2" w:space="0"/>
            </w:tcBorders>
            <w:vAlign w:val="center"/>
          </w:tcPr>
          <w:p w14:paraId="3BED6372">
            <w:pPr>
              <w:spacing w:line="240" w:lineRule="exact"/>
              <w:jc w:val="right"/>
              <w:rPr>
                <w:rFonts w:ascii="Times New Roman" w:hAnsi="Times New Roman" w:cs="Times New Roman" w:eastAsiaTheme="majorEastAsia"/>
                <w:sz w:val="18"/>
                <w:szCs w:val="18"/>
              </w:rPr>
            </w:pPr>
          </w:p>
        </w:tc>
      </w:tr>
      <w:tr w14:paraId="09EF8D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F0749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生产性生物资产</w:t>
            </w:r>
          </w:p>
        </w:tc>
        <w:tc>
          <w:tcPr>
            <w:tcW w:w="3213" w:type="dxa"/>
            <w:tcBorders>
              <w:top w:val="single" w:color="auto" w:sz="2" w:space="0"/>
              <w:left w:val="single" w:color="auto" w:sz="2" w:space="0"/>
              <w:bottom w:val="single" w:color="auto" w:sz="2" w:space="0"/>
              <w:right w:val="single" w:color="auto" w:sz="2" w:space="0"/>
            </w:tcBorders>
            <w:vAlign w:val="center"/>
          </w:tcPr>
          <w:p w14:paraId="79FFC46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0D084CE">
            <w:pPr>
              <w:spacing w:line="240" w:lineRule="exact"/>
              <w:jc w:val="right"/>
              <w:rPr>
                <w:rFonts w:ascii="Times New Roman" w:hAnsi="Times New Roman" w:cs="Times New Roman" w:eastAsiaTheme="majorEastAsia"/>
                <w:sz w:val="18"/>
                <w:szCs w:val="18"/>
              </w:rPr>
            </w:pPr>
          </w:p>
        </w:tc>
      </w:tr>
      <w:tr w14:paraId="315647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688BF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油气资产</w:t>
            </w:r>
          </w:p>
        </w:tc>
        <w:tc>
          <w:tcPr>
            <w:tcW w:w="3213" w:type="dxa"/>
            <w:tcBorders>
              <w:top w:val="single" w:color="auto" w:sz="2" w:space="0"/>
              <w:left w:val="single" w:color="auto" w:sz="2" w:space="0"/>
              <w:bottom w:val="single" w:color="auto" w:sz="2" w:space="0"/>
              <w:right w:val="single" w:color="auto" w:sz="2" w:space="0"/>
            </w:tcBorders>
            <w:vAlign w:val="center"/>
          </w:tcPr>
          <w:p w14:paraId="13BDDF0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D1E35E">
            <w:pPr>
              <w:spacing w:line="240" w:lineRule="exact"/>
              <w:jc w:val="right"/>
              <w:rPr>
                <w:rFonts w:ascii="Times New Roman" w:hAnsi="Times New Roman" w:cs="Times New Roman" w:eastAsiaTheme="majorEastAsia"/>
                <w:sz w:val="18"/>
                <w:szCs w:val="18"/>
              </w:rPr>
            </w:pPr>
          </w:p>
        </w:tc>
      </w:tr>
      <w:tr w14:paraId="27FFC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55061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使用权资产</w:t>
            </w:r>
          </w:p>
        </w:tc>
        <w:tc>
          <w:tcPr>
            <w:tcW w:w="3213" w:type="dxa"/>
            <w:tcBorders>
              <w:top w:val="single" w:color="auto" w:sz="2" w:space="0"/>
              <w:left w:val="single" w:color="auto" w:sz="2" w:space="0"/>
              <w:bottom w:val="single" w:color="auto" w:sz="2" w:space="0"/>
              <w:right w:val="single" w:color="auto" w:sz="2" w:space="0"/>
            </w:tcBorders>
            <w:vAlign w:val="center"/>
          </w:tcPr>
          <w:p w14:paraId="324061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49,177.00</w:t>
            </w:r>
          </w:p>
        </w:tc>
        <w:tc>
          <w:tcPr>
            <w:tcW w:w="3213" w:type="dxa"/>
            <w:tcBorders>
              <w:top w:val="single" w:color="auto" w:sz="2" w:space="0"/>
              <w:left w:val="single" w:color="auto" w:sz="2" w:space="0"/>
              <w:bottom w:val="single" w:color="auto" w:sz="2" w:space="0"/>
              <w:right w:val="single" w:color="auto" w:sz="2" w:space="0"/>
            </w:tcBorders>
            <w:vAlign w:val="center"/>
          </w:tcPr>
          <w:p w14:paraId="3B6413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78,577.48</w:t>
            </w:r>
          </w:p>
        </w:tc>
      </w:tr>
      <w:tr w14:paraId="107883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CE51F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60AF76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167,598.89</w:t>
            </w:r>
          </w:p>
        </w:tc>
        <w:tc>
          <w:tcPr>
            <w:tcW w:w="3213" w:type="dxa"/>
            <w:tcBorders>
              <w:top w:val="single" w:color="auto" w:sz="2" w:space="0"/>
              <w:left w:val="single" w:color="auto" w:sz="2" w:space="0"/>
              <w:bottom w:val="single" w:color="auto" w:sz="2" w:space="0"/>
              <w:right w:val="single" w:color="auto" w:sz="2" w:space="0"/>
            </w:tcBorders>
            <w:vAlign w:val="center"/>
          </w:tcPr>
          <w:p w14:paraId="12DBE9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937,678.80</w:t>
            </w:r>
          </w:p>
        </w:tc>
      </w:tr>
      <w:tr w14:paraId="7FD948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498C9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12C3D0A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F379C5">
            <w:pPr>
              <w:spacing w:line="240" w:lineRule="exact"/>
              <w:jc w:val="right"/>
              <w:rPr>
                <w:rFonts w:ascii="Times New Roman" w:hAnsi="Times New Roman" w:cs="Times New Roman" w:eastAsiaTheme="majorEastAsia"/>
                <w:sz w:val="18"/>
                <w:szCs w:val="18"/>
              </w:rPr>
            </w:pPr>
          </w:p>
        </w:tc>
      </w:tr>
      <w:tr w14:paraId="30A870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890BC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开发支出</w:t>
            </w:r>
          </w:p>
        </w:tc>
        <w:tc>
          <w:tcPr>
            <w:tcW w:w="3213" w:type="dxa"/>
            <w:tcBorders>
              <w:top w:val="single" w:color="auto" w:sz="2" w:space="0"/>
              <w:left w:val="single" w:color="auto" w:sz="2" w:space="0"/>
              <w:bottom w:val="single" w:color="auto" w:sz="2" w:space="0"/>
              <w:right w:val="single" w:color="auto" w:sz="2" w:space="0"/>
            </w:tcBorders>
            <w:vAlign w:val="center"/>
          </w:tcPr>
          <w:p w14:paraId="0083180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1D25FD">
            <w:pPr>
              <w:spacing w:line="240" w:lineRule="exact"/>
              <w:jc w:val="right"/>
              <w:rPr>
                <w:rFonts w:ascii="Times New Roman" w:hAnsi="Times New Roman" w:cs="Times New Roman" w:eastAsiaTheme="majorEastAsia"/>
                <w:sz w:val="18"/>
                <w:szCs w:val="18"/>
              </w:rPr>
            </w:pPr>
          </w:p>
        </w:tc>
      </w:tr>
      <w:tr w14:paraId="5913BA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DBF24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其中：数据资源</w:t>
            </w:r>
          </w:p>
        </w:tc>
        <w:tc>
          <w:tcPr>
            <w:tcW w:w="3213" w:type="dxa"/>
            <w:tcBorders>
              <w:top w:val="single" w:color="auto" w:sz="2" w:space="0"/>
              <w:left w:val="single" w:color="auto" w:sz="2" w:space="0"/>
              <w:bottom w:val="single" w:color="auto" w:sz="2" w:space="0"/>
              <w:right w:val="single" w:color="auto" w:sz="2" w:space="0"/>
            </w:tcBorders>
            <w:vAlign w:val="center"/>
          </w:tcPr>
          <w:p w14:paraId="0D4907C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7BF4FCF">
            <w:pPr>
              <w:spacing w:line="240" w:lineRule="exact"/>
              <w:jc w:val="right"/>
              <w:rPr>
                <w:rFonts w:ascii="Times New Roman" w:hAnsi="Times New Roman" w:cs="Times New Roman" w:eastAsiaTheme="majorEastAsia"/>
                <w:sz w:val="18"/>
                <w:szCs w:val="18"/>
              </w:rPr>
            </w:pPr>
          </w:p>
        </w:tc>
      </w:tr>
      <w:tr w14:paraId="225971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CEA6C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商誉</w:t>
            </w:r>
          </w:p>
        </w:tc>
        <w:tc>
          <w:tcPr>
            <w:tcW w:w="3213" w:type="dxa"/>
            <w:tcBorders>
              <w:top w:val="single" w:color="auto" w:sz="2" w:space="0"/>
              <w:left w:val="single" w:color="auto" w:sz="2" w:space="0"/>
              <w:bottom w:val="single" w:color="auto" w:sz="2" w:space="0"/>
              <w:right w:val="single" w:color="auto" w:sz="2" w:space="0"/>
            </w:tcBorders>
            <w:vAlign w:val="center"/>
          </w:tcPr>
          <w:p w14:paraId="47A78A3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F8CD81">
            <w:pPr>
              <w:spacing w:line="240" w:lineRule="exact"/>
              <w:jc w:val="right"/>
              <w:rPr>
                <w:rFonts w:ascii="Times New Roman" w:hAnsi="Times New Roman" w:cs="Times New Roman" w:eastAsiaTheme="majorEastAsia"/>
                <w:sz w:val="18"/>
                <w:szCs w:val="18"/>
              </w:rPr>
            </w:pPr>
          </w:p>
        </w:tc>
      </w:tr>
      <w:tr w14:paraId="3E8AF5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7452A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长期待摊费用</w:t>
            </w:r>
          </w:p>
        </w:tc>
        <w:tc>
          <w:tcPr>
            <w:tcW w:w="3213" w:type="dxa"/>
            <w:tcBorders>
              <w:top w:val="single" w:color="auto" w:sz="2" w:space="0"/>
              <w:left w:val="single" w:color="auto" w:sz="2" w:space="0"/>
              <w:bottom w:val="single" w:color="auto" w:sz="2" w:space="0"/>
              <w:right w:val="single" w:color="auto" w:sz="2" w:space="0"/>
            </w:tcBorders>
            <w:vAlign w:val="center"/>
          </w:tcPr>
          <w:p w14:paraId="4BF784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452,920.39</w:t>
            </w:r>
          </w:p>
        </w:tc>
        <w:tc>
          <w:tcPr>
            <w:tcW w:w="3213" w:type="dxa"/>
            <w:tcBorders>
              <w:top w:val="single" w:color="auto" w:sz="2" w:space="0"/>
              <w:left w:val="single" w:color="auto" w:sz="2" w:space="0"/>
              <w:bottom w:val="single" w:color="auto" w:sz="2" w:space="0"/>
              <w:right w:val="single" w:color="auto" w:sz="2" w:space="0"/>
            </w:tcBorders>
            <w:vAlign w:val="center"/>
          </w:tcPr>
          <w:p w14:paraId="08371E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462,894.43</w:t>
            </w:r>
          </w:p>
        </w:tc>
      </w:tr>
      <w:tr w14:paraId="18D4C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7AC15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w:t>
            </w:r>
          </w:p>
        </w:tc>
        <w:tc>
          <w:tcPr>
            <w:tcW w:w="3213" w:type="dxa"/>
            <w:tcBorders>
              <w:top w:val="single" w:color="auto" w:sz="2" w:space="0"/>
              <w:left w:val="single" w:color="auto" w:sz="2" w:space="0"/>
              <w:bottom w:val="single" w:color="auto" w:sz="2" w:space="0"/>
              <w:right w:val="single" w:color="auto" w:sz="2" w:space="0"/>
            </w:tcBorders>
            <w:vAlign w:val="center"/>
          </w:tcPr>
          <w:p w14:paraId="02DF64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20,076,608.82</w:t>
            </w:r>
          </w:p>
        </w:tc>
        <w:tc>
          <w:tcPr>
            <w:tcW w:w="3213" w:type="dxa"/>
            <w:tcBorders>
              <w:top w:val="single" w:color="auto" w:sz="2" w:space="0"/>
              <w:left w:val="single" w:color="auto" w:sz="2" w:space="0"/>
              <w:bottom w:val="single" w:color="auto" w:sz="2" w:space="0"/>
              <w:right w:val="single" w:color="auto" w:sz="2" w:space="0"/>
            </w:tcBorders>
            <w:vAlign w:val="center"/>
          </w:tcPr>
          <w:p w14:paraId="36777A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12,041,041.50</w:t>
            </w:r>
          </w:p>
        </w:tc>
      </w:tr>
      <w:tr w14:paraId="228A63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BC066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1CD4B5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470,629.90</w:t>
            </w:r>
          </w:p>
        </w:tc>
        <w:tc>
          <w:tcPr>
            <w:tcW w:w="3213" w:type="dxa"/>
            <w:tcBorders>
              <w:top w:val="single" w:color="auto" w:sz="2" w:space="0"/>
              <w:left w:val="single" w:color="auto" w:sz="2" w:space="0"/>
              <w:bottom w:val="single" w:color="auto" w:sz="2" w:space="0"/>
              <w:right w:val="single" w:color="auto" w:sz="2" w:space="0"/>
            </w:tcBorders>
            <w:vAlign w:val="center"/>
          </w:tcPr>
          <w:p w14:paraId="4094FB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14,903,449.42</w:t>
            </w:r>
          </w:p>
        </w:tc>
      </w:tr>
      <w:tr w14:paraId="643578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E2803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非流动资产合计</w:t>
            </w:r>
          </w:p>
        </w:tc>
        <w:tc>
          <w:tcPr>
            <w:tcW w:w="3213" w:type="dxa"/>
            <w:tcBorders>
              <w:top w:val="single" w:color="auto" w:sz="2" w:space="0"/>
              <w:left w:val="single" w:color="auto" w:sz="2" w:space="0"/>
              <w:bottom w:val="single" w:color="auto" w:sz="2" w:space="0"/>
              <w:right w:val="single" w:color="auto" w:sz="2" w:space="0"/>
            </w:tcBorders>
            <w:vAlign w:val="center"/>
          </w:tcPr>
          <w:p w14:paraId="09074E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542,093,037.51</w:t>
            </w:r>
          </w:p>
        </w:tc>
        <w:tc>
          <w:tcPr>
            <w:tcW w:w="3213" w:type="dxa"/>
            <w:tcBorders>
              <w:top w:val="single" w:color="auto" w:sz="2" w:space="0"/>
              <w:left w:val="single" w:color="auto" w:sz="2" w:space="0"/>
              <w:bottom w:val="single" w:color="auto" w:sz="2" w:space="0"/>
              <w:right w:val="single" w:color="auto" w:sz="2" w:space="0"/>
            </w:tcBorders>
            <w:vAlign w:val="center"/>
          </w:tcPr>
          <w:p w14:paraId="34375B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231,288,314.19</w:t>
            </w:r>
          </w:p>
        </w:tc>
      </w:tr>
      <w:tr w14:paraId="2AA329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56BC2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资产总计</w:t>
            </w:r>
          </w:p>
        </w:tc>
        <w:tc>
          <w:tcPr>
            <w:tcW w:w="3213" w:type="dxa"/>
            <w:tcBorders>
              <w:top w:val="single" w:color="auto" w:sz="2" w:space="0"/>
              <w:left w:val="single" w:color="auto" w:sz="2" w:space="0"/>
              <w:bottom w:val="single" w:color="auto" w:sz="2" w:space="0"/>
              <w:right w:val="single" w:color="auto" w:sz="2" w:space="0"/>
            </w:tcBorders>
            <w:vAlign w:val="center"/>
          </w:tcPr>
          <w:p w14:paraId="4B2A1F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1,231,131,432.53</w:t>
            </w:r>
          </w:p>
        </w:tc>
        <w:tc>
          <w:tcPr>
            <w:tcW w:w="3213" w:type="dxa"/>
            <w:tcBorders>
              <w:top w:val="single" w:color="auto" w:sz="2" w:space="0"/>
              <w:left w:val="single" w:color="auto" w:sz="2" w:space="0"/>
              <w:bottom w:val="single" w:color="auto" w:sz="2" w:space="0"/>
              <w:right w:val="single" w:color="auto" w:sz="2" w:space="0"/>
            </w:tcBorders>
            <w:vAlign w:val="center"/>
          </w:tcPr>
          <w:p w14:paraId="47A37A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999,392,048.30</w:t>
            </w:r>
          </w:p>
        </w:tc>
      </w:tr>
      <w:tr w14:paraId="054CCC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C27E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DEB930">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DA7363">
            <w:pPr>
              <w:rPr>
                <w:rFonts w:ascii="Times New Roman" w:hAnsi="Times New Roman" w:cs="Times New Roman" w:eastAsiaTheme="majorEastAsia"/>
              </w:rPr>
            </w:pPr>
          </w:p>
        </w:tc>
      </w:tr>
      <w:tr w14:paraId="26E45A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71DCB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短期借款</w:t>
            </w:r>
          </w:p>
        </w:tc>
        <w:tc>
          <w:tcPr>
            <w:tcW w:w="3213" w:type="dxa"/>
            <w:tcBorders>
              <w:top w:val="single" w:color="auto" w:sz="2" w:space="0"/>
              <w:left w:val="single" w:color="auto" w:sz="2" w:space="0"/>
              <w:bottom w:val="single" w:color="auto" w:sz="2" w:space="0"/>
              <w:right w:val="single" w:color="auto" w:sz="2" w:space="0"/>
            </w:tcBorders>
            <w:vAlign w:val="center"/>
          </w:tcPr>
          <w:p w14:paraId="6F9CA3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33,210,733.92</w:t>
            </w:r>
          </w:p>
        </w:tc>
        <w:tc>
          <w:tcPr>
            <w:tcW w:w="3213" w:type="dxa"/>
            <w:tcBorders>
              <w:top w:val="single" w:color="auto" w:sz="2" w:space="0"/>
              <w:left w:val="single" w:color="auto" w:sz="2" w:space="0"/>
              <w:bottom w:val="single" w:color="auto" w:sz="2" w:space="0"/>
              <w:right w:val="single" w:color="auto" w:sz="2" w:space="0"/>
            </w:tcBorders>
            <w:vAlign w:val="center"/>
          </w:tcPr>
          <w:p w14:paraId="5E5135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9,010,129.17</w:t>
            </w:r>
          </w:p>
        </w:tc>
      </w:tr>
      <w:tr w14:paraId="397898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79A65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266D0AD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064D5C">
            <w:pPr>
              <w:spacing w:line="240" w:lineRule="exact"/>
              <w:jc w:val="right"/>
              <w:rPr>
                <w:rFonts w:ascii="Times New Roman" w:hAnsi="Times New Roman" w:cs="Times New Roman" w:eastAsiaTheme="majorEastAsia"/>
                <w:sz w:val="18"/>
                <w:szCs w:val="18"/>
              </w:rPr>
            </w:pPr>
          </w:p>
        </w:tc>
      </w:tr>
      <w:tr w14:paraId="34618A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0B301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衍生金融负债</w:t>
            </w:r>
          </w:p>
        </w:tc>
        <w:tc>
          <w:tcPr>
            <w:tcW w:w="3213" w:type="dxa"/>
            <w:tcBorders>
              <w:top w:val="single" w:color="auto" w:sz="2" w:space="0"/>
              <w:left w:val="single" w:color="auto" w:sz="2" w:space="0"/>
              <w:bottom w:val="single" w:color="auto" w:sz="2" w:space="0"/>
              <w:right w:val="single" w:color="auto" w:sz="2" w:space="0"/>
            </w:tcBorders>
            <w:vAlign w:val="center"/>
          </w:tcPr>
          <w:p w14:paraId="5A51BB4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36EF912">
            <w:pPr>
              <w:spacing w:line="240" w:lineRule="exact"/>
              <w:jc w:val="right"/>
              <w:rPr>
                <w:rFonts w:ascii="Times New Roman" w:hAnsi="Times New Roman" w:cs="Times New Roman" w:eastAsiaTheme="majorEastAsia"/>
                <w:sz w:val="18"/>
                <w:szCs w:val="18"/>
              </w:rPr>
            </w:pPr>
          </w:p>
        </w:tc>
      </w:tr>
      <w:tr w14:paraId="636904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9DF9D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应付票据</w:t>
            </w:r>
          </w:p>
        </w:tc>
        <w:tc>
          <w:tcPr>
            <w:tcW w:w="3213" w:type="dxa"/>
            <w:tcBorders>
              <w:top w:val="single" w:color="auto" w:sz="2" w:space="0"/>
              <w:left w:val="single" w:color="auto" w:sz="2" w:space="0"/>
              <w:bottom w:val="single" w:color="auto" w:sz="2" w:space="0"/>
              <w:right w:val="single" w:color="auto" w:sz="2" w:space="0"/>
            </w:tcBorders>
            <w:vAlign w:val="center"/>
          </w:tcPr>
          <w:p w14:paraId="5591D15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4C1D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10,580,992.00</w:t>
            </w:r>
          </w:p>
        </w:tc>
      </w:tr>
      <w:tr w14:paraId="44ABF8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4435F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应付账款</w:t>
            </w:r>
          </w:p>
        </w:tc>
        <w:tc>
          <w:tcPr>
            <w:tcW w:w="3213" w:type="dxa"/>
            <w:tcBorders>
              <w:top w:val="single" w:color="auto" w:sz="2" w:space="0"/>
              <w:left w:val="single" w:color="auto" w:sz="2" w:space="0"/>
              <w:bottom w:val="single" w:color="auto" w:sz="2" w:space="0"/>
              <w:right w:val="single" w:color="auto" w:sz="2" w:space="0"/>
            </w:tcBorders>
            <w:vAlign w:val="center"/>
          </w:tcPr>
          <w:p w14:paraId="4B271B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333,640,717.40</w:t>
            </w:r>
          </w:p>
        </w:tc>
        <w:tc>
          <w:tcPr>
            <w:tcW w:w="3213" w:type="dxa"/>
            <w:tcBorders>
              <w:top w:val="single" w:color="auto" w:sz="2" w:space="0"/>
              <w:left w:val="single" w:color="auto" w:sz="2" w:space="0"/>
              <w:bottom w:val="single" w:color="auto" w:sz="2" w:space="0"/>
              <w:right w:val="single" w:color="auto" w:sz="2" w:space="0"/>
            </w:tcBorders>
            <w:vAlign w:val="center"/>
          </w:tcPr>
          <w:p w14:paraId="0CED9A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97,075,130.24</w:t>
            </w:r>
          </w:p>
        </w:tc>
      </w:tr>
      <w:tr w14:paraId="5B2EAE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1AFA4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预收款项</w:t>
            </w:r>
          </w:p>
        </w:tc>
        <w:tc>
          <w:tcPr>
            <w:tcW w:w="3213" w:type="dxa"/>
            <w:tcBorders>
              <w:top w:val="single" w:color="auto" w:sz="2" w:space="0"/>
              <w:left w:val="single" w:color="auto" w:sz="2" w:space="0"/>
              <w:bottom w:val="single" w:color="auto" w:sz="2" w:space="0"/>
              <w:right w:val="single" w:color="auto" w:sz="2" w:space="0"/>
            </w:tcBorders>
            <w:vAlign w:val="center"/>
          </w:tcPr>
          <w:p w14:paraId="5310FF9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1C69AF">
            <w:pPr>
              <w:spacing w:line="240" w:lineRule="exact"/>
              <w:jc w:val="right"/>
              <w:rPr>
                <w:rFonts w:ascii="Times New Roman" w:hAnsi="Times New Roman" w:cs="Times New Roman" w:eastAsiaTheme="majorEastAsia"/>
                <w:sz w:val="18"/>
                <w:szCs w:val="18"/>
              </w:rPr>
            </w:pPr>
          </w:p>
        </w:tc>
      </w:tr>
      <w:tr w14:paraId="747E8F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35AD5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5F720C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41,970,984.31</w:t>
            </w:r>
          </w:p>
        </w:tc>
        <w:tc>
          <w:tcPr>
            <w:tcW w:w="3213" w:type="dxa"/>
            <w:tcBorders>
              <w:top w:val="single" w:color="auto" w:sz="2" w:space="0"/>
              <w:left w:val="single" w:color="auto" w:sz="2" w:space="0"/>
              <w:bottom w:val="single" w:color="auto" w:sz="2" w:space="0"/>
              <w:right w:val="single" w:color="auto" w:sz="2" w:space="0"/>
            </w:tcBorders>
            <w:vAlign w:val="center"/>
          </w:tcPr>
          <w:p w14:paraId="4E0447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7,335,892.49</w:t>
            </w:r>
          </w:p>
        </w:tc>
      </w:tr>
      <w:tr w14:paraId="4047F7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669F19">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DB0F0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5,548,544.54</w:t>
            </w:r>
          </w:p>
        </w:tc>
        <w:tc>
          <w:tcPr>
            <w:tcW w:w="3213" w:type="dxa"/>
            <w:tcBorders>
              <w:top w:val="single" w:color="auto" w:sz="2" w:space="0"/>
              <w:left w:val="single" w:color="auto" w:sz="2" w:space="0"/>
              <w:bottom w:val="single" w:color="auto" w:sz="2" w:space="0"/>
              <w:right w:val="single" w:color="auto" w:sz="2" w:space="0"/>
            </w:tcBorders>
            <w:vAlign w:val="center"/>
          </w:tcPr>
          <w:p w14:paraId="417537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5,692,696.34</w:t>
            </w:r>
          </w:p>
        </w:tc>
      </w:tr>
      <w:tr w14:paraId="3EC978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4C6DD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应交税费</w:t>
            </w:r>
          </w:p>
        </w:tc>
        <w:tc>
          <w:tcPr>
            <w:tcW w:w="3213" w:type="dxa"/>
            <w:tcBorders>
              <w:top w:val="single" w:color="auto" w:sz="2" w:space="0"/>
              <w:left w:val="single" w:color="auto" w:sz="2" w:space="0"/>
              <w:bottom w:val="single" w:color="auto" w:sz="2" w:space="0"/>
              <w:right w:val="single" w:color="auto" w:sz="2" w:space="0"/>
            </w:tcBorders>
            <w:vAlign w:val="center"/>
          </w:tcPr>
          <w:p w14:paraId="6D4F4C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32,352,900.59</w:t>
            </w:r>
          </w:p>
        </w:tc>
        <w:tc>
          <w:tcPr>
            <w:tcW w:w="3213" w:type="dxa"/>
            <w:tcBorders>
              <w:top w:val="single" w:color="auto" w:sz="2" w:space="0"/>
              <w:left w:val="single" w:color="auto" w:sz="2" w:space="0"/>
              <w:bottom w:val="single" w:color="auto" w:sz="2" w:space="0"/>
              <w:right w:val="single" w:color="auto" w:sz="2" w:space="0"/>
            </w:tcBorders>
            <w:vAlign w:val="center"/>
          </w:tcPr>
          <w:p w14:paraId="175F81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30,233,169.01</w:t>
            </w:r>
          </w:p>
        </w:tc>
      </w:tr>
      <w:tr w14:paraId="264083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B8F32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3817AB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39,655,524.65</w:t>
            </w:r>
          </w:p>
        </w:tc>
        <w:tc>
          <w:tcPr>
            <w:tcW w:w="3213" w:type="dxa"/>
            <w:tcBorders>
              <w:top w:val="single" w:color="auto" w:sz="2" w:space="0"/>
              <w:left w:val="single" w:color="auto" w:sz="2" w:space="0"/>
              <w:bottom w:val="single" w:color="auto" w:sz="2" w:space="0"/>
              <w:right w:val="single" w:color="auto" w:sz="2" w:space="0"/>
            </w:tcBorders>
            <w:vAlign w:val="center"/>
          </w:tcPr>
          <w:p w14:paraId="13E5DF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39,261,660.86</w:t>
            </w:r>
          </w:p>
        </w:tc>
      </w:tr>
      <w:tr w14:paraId="7B84A9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B516A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其中：应付利息</w:t>
            </w:r>
          </w:p>
        </w:tc>
        <w:tc>
          <w:tcPr>
            <w:tcW w:w="3213" w:type="dxa"/>
            <w:tcBorders>
              <w:top w:val="single" w:color="auto" w:sz="2" w:space="0"/>
              <w:left w:val="single" w:color="auto" w:sz="2" w:space="0"/>
              <w:bottom w:val="single" w:color="auto" w:sz="2" w:space="0"/>
              <w:right w:val="single" w:color="auto" w:sz="2" w:space="0"/>
            </w:tcBorders>
            <w:vAlign w:val="center"/>
          </w:tcPr>
          <w:p w14:paraId="1AB4AF5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D16694A">
            <w:pPr>
              <w:spacing w:line="240" w:lineRule="exact"/>
              <w:jc w:val="right"/>
              <w:rPr>
                <w:rFonts w:ascii="Times New Roman" w:hAnsi="Times New Roman" w:cs="Times New Roman" w:eastAsiaTheme="majorEastAsia"/>
                <w:sz w:val="18"/>
                <w:szCs w:val="18"/>
              </w:rPr>
            </w:pPr>
          </w:p>
        </w:tc>
      </w:tr>
      <w:tr w14:paraId="587FA9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BE0F30">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应付股利</w:t>
            </w:r>
          </w:p>
        </w:tc>
        <w:tc>
          <w:tcPr>
            <w:tcW w:w="3213" w:type="dxa"/>
            <w:tcBorders>
              <w:top w:val="single" w:color="auto" w:sz="2" w:space="0"/>
              <w:left w:val="single" w:color="auto" w:sz="2" w:space="0"/>
              <w:bottom w:val="single" w:color="auto" w:sz="2" w:space="0"/>
              <w:right w:val="single" w:color="auto" w:sz="2" w:space="0"/>
            </w:tcBorders>
            <w:vAlign w:val="center"/>
          </w:tcPr>
          <w:p w14:paraId="0D4400D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D62FC4">
            <w:pPr>
              <w:spacing w:line="240" w:lineRule="exact"/>
              <w:jc w:val="right"/>
              <w:rPr>
                <w:rFonts w:ascii="Times New Roman" w:hAnsi="Times New Roman" w:cs="Times New Roman" w:eastAsiaTheme="majorEastAsia"/>
                <w:sz w:val="18"/>
                <w:szCs w:val="18"/>
              </w:rPr>
            </w:pPr>
          </w:p>
        </w:tc>
      </w:tr>
      <w:tr w14:paraId="1F3729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D98FE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持有待售负债</w:t>
            </w:r>
          </w:p>
        </w:tc>
        <w:tc>
          <w:tcPr>
            <w:tcW w:w="3213" w:type="dxa"/>
            <w:tcBorders>
              <w:top w:val="single" w:color="auto" w:sz="2" w:space="0"/>
              <w:left w:val="single" w:color="auto" w:sz="2" w:space="0"/>
              <w:bottom w:val="single" w:color="auto" w:sz="2" w:space="0"/>
              <w:right w:val="single" w:color="auto" w:sz="2" w:space="0"/>
            </w:tcBorders>
            <w:vAlign w:val="center"/>
          </w:tcPr>
          <w:p w14:paraId="7D5E1ED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342784A">
            <w:pPr>
              <w:spacing w:line="240" w:lineRule="exact"/>
              <w:jc w:val="right"/>
              <w:rPr>
                <w:rFonts w:ascii="Times New Roman" w:hAnsi="Times New Roman" w:cs="Times New Roman" w:eastAsiaTheme="majorEastAsia"/>
                <w:sz w:val="18"/>
                <w:szCs w:val="18"/>
              </w:rPr>
            </w:pPr>
          </w:p>
        </w:tc>
      </w:tr>
      <w:tr w14:paraId="56253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3185E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02F0AA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73,698.60</w:t>
            </w:r>
          </w:p>
        </w:tc>
        <w:tc>
          <w:tcPr>
            <w:tcW w:w="3213" w:type="dxa"/>
            <w:tcBorders>
              <w:top w:val="single" w:color="auto" w:sz="2" w:space="0"/>
              <w:left w:val="single" w:color="auto" w:sz="2" w:space="0"/>
              <w:bottom w:val="single" w:color="auto" w:sz="2" w:space="0"/>
              <w:right w:val="single" w:color="auto" w:sz="2" w:space="0"/>
            </w:tcBorders>
            <w:vAlign w:val="center"/>
          </w:tcPr>
          <w:p w14:paraId="497A76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92,518.70</w:t>
            </w:r>
          </w:p>
        </w:tc>
      </w:tr>
      <w:tr w14:paraId="407A5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261CA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7140085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4CED5D5">
            <w:pPr>
              <w:spacing w:line="240" w:lineRule="exact"/>
              <w:jc w:val="right"/>
              <w:rPr>
                <w:rFonts w:ascii="Times New Roman" w:hAnsi="Times New Roman" w:cs="Times New Roman" w:eastAsiaTheme="majorEastAsia"/>
                <w:sz w:val="18"/>
                <w:szCs w:val="18"/>
              </w:rPr>
            </w:pPr>
          </w:p>
        </w:tc>
      </w:tr>
      <w:tr w14:paraId="376075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F90E9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7F2A64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486,453,104.01</w:t>
            </w:r>
          </w:p>
        </w:tc>
        <w:tc>
          <w:tcPr>
            <w:tcW w:w="3213" w:type="dxa"/>
            <w:tcBorders>
              <w:top w:val="single" w:color="auto" w:sz="2" w:space="0"/>
              <w:left w:val="single" w:color="auto" w:sz="2" w:space="0"/>
              <w:bottom w:val="single" w:color="auto" w:sz="2" w:space="0"/>
              <w:right w:val="single" w:color="auto" w:sz="2" w:space="0"/>
            </w:tcBorders>
            <w:vAlign w:val="center"/>
          </w:tcPr>
          <w:p w14:paraId="0BF85C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199,282,188.81</w:t>
            </w:r>
          </w:p>
        </w:tc>
      </w:tr>
      <w:tr w14:paraId="4CAB7F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2146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0E1526">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861E7C">
            <w:pPr>
              <w:rPr>
                <w:rFonts w:ascii="Times New Roman" w:hAnsi="Times New Roman" w:cs="Times New Roman" w:eastAsiaTheme="majorEastAsia"/>
              </w:rPr>
            </w:pPr>
          </w:p>
        </w:tc>
      </w:tr>
      <w:tr w14:paraId="35D79B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7F27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659633B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F502A0E">
            <w:pPr>
              <w:spacing w:line="240" w:lineRule="exact"/>
              <w:jc w:val="right"/>
              <w:rPr>
                <w:rFonts w:ascii="Times New Roman" w:hAnsi="Times New Roman" w:cs="Times New Roman" w:eastAsiaTheme="majorEastAsia"/>
                <w:sz w:val="18"/>
                <w:szCs w:val="18"/>
              </w:rPr>
            </w:pPr>
          </w:p>
        </w:tc>
      </w:tr>
      <w:tr w14:paraId="635DAB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22571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应付债券</w:t>
            </w:r>
          </w:p>
        </w:tc>
        <w:tc>
          <w:tcPr>
            <w:tcW w:w="3213" w:type="dxa"/>
            <w:tcBorders>
              <w:top w:val="single" w:color="auto" w:sz="2" w:space="0"/>
              <w:left w:val="single" w:color="auto" w:sz="2" w:space="0"/>
              <w:bottom w:val="single" w:color="auto" w:sz="2" w:space="0"/>
              <w:right w:val="single" w:color="auto" w:sz="2" w:space="0"/>
            </w:tcBorders>
            <w:vAlign w:val="center"/>
          </w:tcPr>
          <w:p w14:paraId="670DFD9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8FDAF0">
            <w:pPr>
              <w:spacing w:line="240" w:lineRule="exact"/>
              <w:jc w:val="right"/>
              <w:rPr>
                <w:rFonts w:ascii="Times New Roman" w:hAnsi="Times New Roman" w:cs="Times New Roman" w:eastAsiaTheme="majorEastAsia"/>
                <w:sz w:val="18"/>
                <w:szCs w:val="18"/>
              </w:rPr>
            </w:pPr>
          </w:p>
        </w:tc>
      </w:tr>
      <w:tr w14:paraId="42B1BB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C1E050">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180A745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21E7E2">
            <w:pPr>
              <w:spacing w:line="240" w:lineRule="exact"/>
              <w:jc w:val="right"/>
              <w:rPr>
                <w:rFonts w:ascii="Times New Roman" w:hAnsi="Times New Roman" w:cs="Times New Roman" w:eastAsiaTheme="majorEastAsia"/>
                <w:sz w:val="18"/>
                <w:szCs w:val="18"/>
              </w:rPr>
            </w:pPr>
          </w:p>
        </w:tc>
      </w:tr>
      <w:tr w14:paraId="59D710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E4BF22">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5C31AF5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47D7D88">
            <w:pPr>
              <w:spacing w:line="240" w:lineRule="exact"/>
              <w:jc w:val="right"/>
              <w:rPr>
                <w:rFonts w:ascii="Times New Roman" w:hAnsi="Times New Roman" w:cs="Times New Roman" w:eastAsiaTheme="majorEastAsia"/>
                <w:sz w:val="18"/>
                <w:szCs w:val="18"/>
              </w:rPr>
            </w:pPr>
          </w:p>
        </w:tc>
      </w:tr>
      <w:tr w14:paraId="3FF85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F3397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999E14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224C6CB">
            <w:pPr>
              <w:spacing w:line="240" w:lineRule="exact"/>
              <w:jc w:val="right"/>
              <w:rPr>
                <w:rFonts w:ascii="Times New Roman" w:hAnsi="Times New Roman" w:cs="Times New Roman" w:eastAsiaTheme="majorEastAsia"/>
                <w:sz w:val="18"/>
                <w:szCs w:val="18"/>
              </w:rPr>
            </w:pPr>
          </w:p>
        </w:tc>
      </w:tr>
      <w:tr w14:paraId="253066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AABDD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3175C8C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FC0893">
            <w:pPr>
              <w:spacing w:line="240" w:lineRule="exact"/>
              <w:jc w:val="right"/>
              <w:rPr>
                <w:rFonts w:ascii="Times New Roman" w:hAnsi="Times New Roman" w:cs="Times New Roman" w:eastAsiaTheme="majorEastAsia"/>
                <w:sz w:val="18"/>
                <w:szCs w:val="18"/>
              </w:rPr>
            </w:pPr>
          </w:p>
        </w:tc>
      </w:tr>
      <w:tr w14:paraId="14E0A5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57DB1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0AF82A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0AB705A">
            <w:pPr>
              <w:spacing w:line="240" w:lineRule="exact"/>
              <w:jc w:val="right"/>
              <w:rPr>
                <w:rFonts w:ascii="Times New Roman" w:hAnsi="Times New Roman" w:cs="Times New Roman" w:eastAsiaTheme="majorEastAsia"/>
                <w:sz w:val="18"/>
                <w:szCs w:val="18"/>
              </w:rPr>
            </w:pPr>
          </w:p>
        </w:tc>
      </w:tr>
      <w:tr w14:paraId="1F38A9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35920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预计负债</w:t>
            </w:r>
          </w:p>
        </w:tc>
        <w:tc>
          <w:tcPr>
            <w:tcW w:w="3213" w:type="dxa"/>
            <w:tcBorders>
              <w:top w:val="single" w:color="auto" w:sz="2" w:space="0"/>
              <w:left w:val="single" w:color="auto" w:sz="2" w:space="0"/>
              <w:bottom w:val="single" w:color="auto" w:sz="2" w:space="0"/>
              <w:right w:val="single" w:color="auto" w:sz="2" w:space="0"/>
            </w:tcBorders>
            <w:vAlign w:val="center"/>
          </w:tcPr>
          <w:p w14:paraId="1712719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5A9971">
            <w:pPr>
              <w:spacing w:line="240" w:lineRule="exact"/>
              <w:jc w:val="right"/>
              <w:rPr>
                <w:rFonts w:ascii="Times New Roman" w:hAnsi="Times New Roman" w:cs="Times New Roman" w:eastAsiaTheme="majorEastAsia"/>
                <w:sz w:val="18"/>
                <w:szCs w:val="18"/>
              </w:rPr>
            </w:pPr>
          </w:p>
        </w:tc>
      </w:tr>
      <w:tr w14:paraId="027CE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0B247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递延收益</w:t>
            </w:r>
          </w:p>
        </w:tc>
        <w:tc>
          <w:tcPr>
            <w:tcW w:w="3213" w:type="dxa"/>
            <w:tcBorders>
              <w:top w:val="single" w:color="auto" w:sz="2" w:space="0"/>
              <w:left w:val="single" w:color="auto" w:sz="2" w:space="0"/>
              <w:bottom w:val="single" w:color="auto" w:sz="2" w:space="0"/>
              <w:right w:val="single" w:color="auto" w:sz="2" w:space="0"/>
            </w:tcBorders>
            <w:vAlign w:val="center"/>
          </w:tcPr>
          <w:p w14:paraId="20C77A1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2EF8A7F">
            <w:pPr>
              <w:spacing w:line="240" w:lineRule="exact"/>
              <w:jc w:val="right"/>
              <w:rPr>
                <w:rFonts w:ascii="Times New Roman" w:hAnsi="Times New Roman" w:cs="Times New Roman" w:eastAsiaTheme="majorEastAsia"/>
                <w:sz w:val="18"/>
                <w:szCs w:val="18"/>
              </w:rPr>
            </w:pPr>
          </w:p>
        </w:tc>
      </w:tr>
      <w:tr w14:paraId="69D40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F0B32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0CB597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4,754,931.35</w:t>
            </w:r>
          </w:p>
        </w:tc>
        <w:tc>
          <w:tcPr>
            <w:tcW w:w="3213" w:type="dxa"/>
            <w:tcBorders>
              <w:top w:val="single" w:color="auto" w:sz="2" w:space="0"/>
              <w:left w:val="single" w:color="auto" w:sz="2" w:space="0"/>
              <w:bottom w:val="single" w:color="auto" w:sz="2" w:space="0"/>
              <w:right w:val="single" w:color="auto" w:sz="2" w:space="0"/>
            </w:tcBorders>
            <w:vAlign w:val="center"/>
          </w:tcPr>
          <w:p w14:paraId="721121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3,300,335.56</w:t>
            </w:r>
          </w:p>
        </w:tc>
      </w:tr>
      <w:tr w14:paraId="5DC92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9A9EC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其他非流动负债</w:t>
            </w:r>
          </w:p>
        </w:tc>
        <w:tc>
          <w:tcPr>
            <w:tcW w:w="3213" w:type="dxa"/>
            <w:tcBorders>
              <w:top w:val="single" w:color="auto" w:sz="2" w:space="0"/>
              <w:left w:val="single" w:color="auto" w:sz="2" w:space="0"/>
              <w:bottom w:val="single" w:color="auto" w:sz="2" w:space="0"/>
              <w:right w:val="single" w:color="auto" w:sz="2" w:space="0"/>
            </w:tcBorders>
            <w:vAlign w:val="center"/>
          </w:tcPr>
          <w:p w14:paraId="22DA032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D281F87">
            <w:pPr>
              <w:spacing w:line="240" w:lineRule="exact"/>
              <w:jc w:val="right"/>
              <w:rPr>
                <w:rFonts w:ascii="Times New Roman" w:hAnsi="Times New Roman" w:cs="Times New Roman" w:eastAsiaTheme="majorEastAsia"/>
                <w:sz w:val="18"/>
                <w:szCs w:val="18"/>
              </w:rPr>
            </w:pPr>
          </w:p>
        </w:tc>
      </w:tr>
      <w:tr w14:paraId="2815D4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3D195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299790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4,754,931.35</w:t>
            </w:r>
          </w:p>
        </w:tc>
        <w:tc>
          <w:tcPr>
            <w:tcW w:w="3213" w:type="dxa"/>
            <w:tcBorders>
              <w:top w:val="single" w:color="auto" w:sz="2" w:space="0"/>
              <w:left w:val="single" w:color="auto" w:sz="2" w:space="0"/>
              <w:bottom w:val="single" w:color="auto" w:sz="2" w:space="0"/>
              <w:right w:val="single" w:color="auto" w:sz="2" w:space="0"/>
            </w:tcBorders>
            <w:vAlign w:val="center"/>
          </w:tcPr>
          <w:p w14:paraId="542FF1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3,300,335.56</w:t>
            </w:r>
          </w:p>
        </w:tc>
      </w:tr>
      <w:tr w14:paraId="25932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C27F9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负债合计</w:t>
            </w:r>
          </w:p>
        </w:tc>
        <w:tc>
          <w:tcPr>
            <w:tcW w:w="3213" w:type="dxa"/>
            <w:tcBorders>
              <w:top w:val="single" w:color="auto" w:sz="2" w:space="0"/>
              <w:left w:val="single" w:color="auto" w:sz="2" w:space="0"/>
              <w:bottom w:val="single" w:color="auto" w:sz="2" w:space="0"/>
              <w:right w:val="single" w:color="auto" w:sz="2" w:space="0"/>
            </w:tcBorders>
            <w:vAlign w:val="center"/>
          </w:tcPr>
          <w:p w14:paraId="1A68F3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491,208,035.36</w:t>
            </w:r>
          </w:p>
        </w:tc>
        <w:tc>
          <w:tcPr>
            <w:tcW w:w="3213" w:type="dxa"/>
            <w:tcBorders>
              <w:top w:val="single" w:color="auto" w:sz="2" w:space="0"/>
              <w:left w:val="single" w:color="auto" w:sz="2" w:space="0"/>
              <w:bottom w:val="single" w:color="auto" w:sz="2" w:space="0"/>
              <w:right w:val="single" w:color="auto" w:sz="2" w:space="0"/>
            </w:tcBorders>
            <w:vAlign w:val="center"/>
          </w:tcPr>
          <w:p w14:paraId="3A616B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202,582,524.37</w:t>
            </w:r>
          </w:p>
        </w:tc>
      </w:tr>
      <w:tr w14:paraId="131E9B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2916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B866F4">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7B6AAB">
            <w:pPr>
              <w:rPr>
                <w:rFonts w:ascii="Times New Roman" w:hAnsi="Times New Roman" w:cs="Times New Roman" w:eastAsiaTheme="majorEastAsia"/>
              </w:rPr>
            </w:pPr>
          </w:p>
        </w:tc>
      </w:tr>
      <w:tr w14:paraId="51370E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DD07B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3213" w:type="dxa"/>
            <w:tcBorders>
              <w:top w:val="single" w:color="auto" w:sz="2" w:space="0"/>
              <w:left w:val="single" w:color="auto" w:sz="2" w:space="0"/>
              <w:bottom w:val="single" w:color="auto" w:sz="2" w:space="0"/>
              <w:right w:val="single" w:color="auto" w:sz="2" w:space="0"/>
            </w:tcBorders>
            <w:vAlign w:val="center"/>
          </w:tcPr>
          <w:p w14:paraId="15A32A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67,108,800.00</w:t>
            </w:r>
          </w:p>
        </w:tc>
        <w:tc>
          <w:tcPr>
            <w:tcW w:w="3213" w:type="dxa"/>
            <w:tcBorders>
              <w:top w:val="single" w:color="auto" w:sz="2" w:space="0"/>
              <w:left w:val="single" w:color="auto" w:sz="2" w:space="0"/>
              <w:bottom w:val="single" w:color="auto" w:sz="2" w:space="0"/>
              <w:right w:val="single" w:color="auto" w:sz="2" w:space="0"/>
            </w:tcBorders>
            <w:vAlign w:val="center"/>
          </w:tcPr>
          <w:p w14:paraId="2A931C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67,236,800.00</w:t>
            </w:r>
          </w:p>
        </w:tc>
      </w:tr>
      <w:tr w14:paraId="4E4534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0DD312">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3213" w:type="dxa"/>
            <w:tcBorders>
              <w:top w:val="single" w:color="auto" w:sz="2" w:space="0"/>
              <w:left w:val="single" w:color="auto" w:sz="2" w:space="0"/>
              <w:bottom w:val="single" w:color="auto" w:sz="2" w:space="0"/>
              <w:right w:val="single" w:color="auto" w:sz="2" w:space="0"/>
            </w:tcBorders>
            <w:vAlign w:val="center"/>
          </w:tcPr>
          <w:p w14:paraId="06BFFFA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8CAD8C8">
            <w:pPr>
              <w:spacing w:line="240" w:lineRule="exact"/>
              <w:jc w:val="right"/>
              <w:rPr>
                <w:rFonts w:ascii="Times New Roman" w:hAnsi="Times New Roman" w:cs="Times New Roman" w:eastAsiaTheme="majorEastAsia"/>
                <w:sz w:val="18"/>
                <w:szCs w:val="18"/>
              </w:rPr>
            </w:pPr>
          </w:p>
        </w:tc>
      </w:tr>
      <w:tr w14:paraId="24E504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37A6B6">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其中：优先股</w:t>
            </w:r>
          </w:p>
        </w:tc>
        <w:tc>
          <w:tcPr>
            <w:tcW w:w="3213" w:type="dxa"/>
            <w:tcBorders>
              <w:top w:val="single" w:color="auto" w:sz="2" w:space="0"/>
              <w:left w:val="single" w:color="auto" w:sz="2" w:space="0"/>
              <w:bottom w:val="single" w:color="auto" w:sz="2" w:space="0"/>
              <w:right w:val="single" w:color="auto" w:sz="2" w:space="0"/>
            </w:tcBorders>
            <w:vAlign w:val="center"/>
          </w:tcPr>
          <w:p w14:paraId="66DBBAC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494C50">
            <w:pPr>
              <w:spacing w:line="240" w:lineRule="exact"/>
              <w:jc w:val="right"/>
              <w:rPr>
                <w:rFonts w:ascii="Times New Roman" w:hAnsi="Times New Roman" w:cs="Times New Roman" w:eastAsiaTheme="majorEastAsia"/>
                <w:sz w:val="18"/>
                <w:szCs w:val="18"/>
              </w:rPr>
            </w:pPr>
          </w:p>
        </w:tc>
      </w:tr>
      <w:tr w14:paraId="4B470A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3BE63E">
            <w:pPr>
              <w:spacing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3213" w:type="dxa"/>
            <w:tcBorders>
              <w:top w:val="single" w:color="auto" w:sz="2" w:space="0"/>
              <w:left w:val="single" w:color="auto" w:sz="2" w:space="0"/>
              <w:bottom w:val="single" w:color="auto" w:sz="2" w:space="0"/>
              <w:right w:val="single" w:color="auto" w:sz="2" w:space="0"/>
            </w:tcBorders>
            <w:vAlign w:val="center"/>
          </w:tcPr>
          <w:p w14:paraId="6C758E7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8A30C0">
            <w:pPr>
              <w:spacing w:line="240" w:lineRule="exact"/>
              <w:jc w:val="right"/>
              <w:rPr>
                <w:rFonts w:ascii="Times New Roman" w:hAnsi="Times New Roman" w:cs="Times New Roman" w:eastAsiaTheme="majorEastAsia"/>
                <w:sz w:val="18"/>
                <w:szCs w:val="18"/>
              </w:rPr>
            </w:pPr>
          </w:p>
        </w:tc>
      </w:tr>
      <w:tr w14:paraId="4149E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FFA52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3213" w:type="dxa"/>
            <w:tcBorders>
              <w:top w:val="single" w:color="auto" w:sz="2" w:space="0"/>
              <w:left w:val="single" w:color="auto" w:sz="2" w:space="0"/>
              <w:bottom w:val="single" w:color="auto" w:sz="2" w:space="0"/>
              <w:right w:val="single" w:color="auto" w:sz="2" w:space="0"/>
            </w:tcBorders>
            <w:vAlign w:val="center"/>
          </w:tcPr>
          <w:p w14:paraId="22AC56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597,836,882.58</w:t>
            </w:r>
          </w:p>
        </w:tc>
        <w:tc>
          <w:tcPr>
            <w:tcW w:w="3213" w:type="dxa"/>
            <w:tcBorders>
              <w:top w:val="single" w:color="auto" w:sz="2" w:space="0"/>
              <w:left w:val="single" w:color="auto" w:sz="2" w:space="0"/>
              <w:bottom w:val="single" w:color="auto" w:sz="2" w:space="0"/>
              <w:right w:val="single" w:color="auto" w:sz="2" w:space="0"/>
            </w:tcBorders>
            <w:vAlign w:val="center"/>
          </w:tcPr>
          <w:p w14:paraId="6E3C9B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590,701,200.39</w:t>
            </w:r>
          </w:p>
        </w:tc>
      </w:tr>
      <w:tr w14:paraId="727E62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B0360F">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3213" w:type="dxa"/>
            <w:tcBorders>
              <w:top w:val="single" w:color="auto" w:sz="2" w:space="0"/>
              <w:left w:val="single" w:color="auto" w:sz="2" w:space="0"/>
              <w:bottom w:val="single" w:color="auto" w:sz="2" w:space="0"/>
              <w:right w:val="single" w:color="auto" w:sz="2" w:space="0"/>
            </w:tcBorders>
            <w:vAlign w:val="center"/>
          </w:tcPr>
          <w:p w14:paraId="21DE41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52,740,572.07</w:t>
            </w:r>
          </w:p>
        </w:tc>
        <w:tc>
          <w:tcPr>
            <w:tcW w:w="3213" w:type="dxa"/>
            <w:tcBorders>
              <w:top w:val="single" w:color="auto" w:sz="2" w:space="0"/>
              <w:left w:val="single" w:color="auto" w:sz="2" w:space="0"/>
              <w:bottom w:val="single" w:color="auto" w:sz="2" w:space="0"/>
              <w:right w:val="single" w:color="auto" w:sz="2" w:space="0"/>
            </w:tcBorders>
            <w:vAlign w:val="center"/>
          </w:tcPr>
          <w:p w14:paraId="45B310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27,880,684.00</w:t>
            </w:r>
          </w:p>
        </w:tc>
      </w:tr>
      <w:tr w14:paraId="3DF31C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C29EEC">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735B2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c>
          <w:tcPr>
            <w:tcW w:w="3213" w:type="dxa"/>
            <w:tcBorders>
              <w:top w:val="single" w:color="auto" w:sz="2" w:space="0"/>
              <w:left w:val="single" w:color="auto" w:sz="2" w:space="0"/>
              <w:bottom w:val="single" w:color="auto" w:sz="2" w:space="0"/>
              <w:right w:val="single" w:color="auto" w:sz="2" w:space="0"/>
            </w:tcBorders>
            <w:vAlign w:val="center"/>
          </w:tcPr>
          <w:p w14:paraId="0D2F25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r>
      <w:tr w14:paraId="46C47B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70F88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3213" w:type="dxa"/>
            <w:tcBorders>
              <w:top w:val="single" w:color="auto" w:sz="2" w:space="0"/>
              <w:left w:val="single" w:color="auto" w:sz="2" w:space="0"/>
              <w:bottom w:val="single" w:color="auto" w:sz="2" w:space="0"/>
              <w:right w:val="single" w:color="auto" w:sz="2" w:space="0"/>
            </w:tcBorders>
            <w:vAlign w:val="center"/>
          </w:tcPr>
          <w:p w14:paraId="6700DE8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9A35F7">
            <w:pPr>
              <w:spacing w:line="240" w:lineRule="exact"/>
              <w:jc w:val="right"/>
              <w:rPr>
                <w:rFonts w:ascii="Times New Roman" w:hAnsi="Times New Roman" w:cs="Times New Roman" w:eastAsiaTheme="majorEastAsia"/>
                <w:sz w:val="18"/>
                <w:szCs w:val="18"/>
              </w:rPr>
            </w:pPr>
          </w:p>
        </w:tc>
      </w:tr>
      <w:tr w14:paraId="4A8DC6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0809C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3213" w:type="dxa"/>
            <w:tcBorders>
              <w:top w:val="single" w:color="auto" w:sz="2" w:space="0"/>
              <w:left w:val="single" w:color="auto" w:sz="2" w:space="0"/>
              <w:bottom w:val="single" w:color="auto" w:sz="2" w:space="0"/>
              <w:right w:val="single" w:color="auto" w:sz="2" w:space="0"/>
            </w:tcBorders>
            <w:vAlign w:val="center"/>
          </w:tcPr>
          <w:p w14:paraId="06BE5B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c>
          <w:tcPr>
            <w:tcW w:w="3213" w:type="dxa"/>
            <w:tcBorders>
              <w:top w:val="single" w:color="auto" w:sz="2" w:space="0"/>
              <w:left w:val="single" w:color="auto" w:sz="2" w:space="0"/>
              <w:bottom w:val="single" w:color="auto" w:sz="2" w:space="0"/>
              <w:right w:val="single" w:color="auto" w:sz="2" w:space="0"/>
            </w:tcBorders>
            <w:vAlign w:val="center"/>
          </w:tcPr>
          <w:p w14:paraId="24E94C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r>
      <w:tr w14:paraId="039C9A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6C2B35">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7D0009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102,082,956.33</w:t>
            </w:r>
          </w:p>
        </w:tc>
        <w:tc>
          <w:tcPr>
            <w:tcW w:w="3213" w:type="dxa"/>
            <w:tcBorders>
              <w:top w:val="single" w:color="auto" w:sz="2" w:space="0"/>
              <w:left w:val="single" w:color="auto" w:sz="2" w:space="0"/>
              <w:bottom w:val="single" w:color="auto" w:sz="2" w:space="0"/>
              <w:right w:val="single" w:color="auto" w:sz="2" w:space="0"/>
            </w:tcBorders>
            <w:vAlign w:val="center"/>
          </w:tcPr>
          <w:p w14:paraId="60D76F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141,116,877.21</w:t>
            </w:r>
          </w:p>
        </w:tc>
      </w:tr>
      <w:tr w14:paraId="66E8D4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C5AC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c>
          <w:tcPr>
            <w:tcW w:w="3213" w:type="dxa"/>
            <w:tcBorders>
              <w:top w:val="single" w:color="auto" w:sz="2" w:space="0"/>
              <w:left w:val="single" w:color="auto" w:sz="2" w:space="0"/>
              <w:bottom w:val="single" w:color="auto" w:sz="2" w:space="0"/>
              <w:right w:val="single" w:color="auto" w:sz="2" w:space="0"/>
            </w:tcBorders>
            <w:vAlign w:val="center"/>
          </w:tcPr>
          <w:p w14:paraId="2F2343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739,923,397.17</w:t>
            </w:r>
          </w:p>
        </w:tc>
        <w:tc>
          <w:tcPr>
            <w:tcW w:w="3213" w:type="dxa"/>
            <w:tcBorders>
              <w:top w:val="single" w:color="auto" w:sz="2" w:space="0"/>
              <w:left w:val="single" w:color="auto" w:sz="2" w:space="0"/>
              <w:bottom w:val="single" w:color="auto" w:sz="2" w:space="0"/>
              <w:right w:val="single" w:color="auto" w:sz="2" w:space="0"/>
            </w:tcBorders>
            <w:vAlign w:val="center"/>
          </w:tcPr>
          <w:p w14:paraId="4FCD9F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796,809,523.93</w:t>
            </w:r>
          </w:p>
        </w:tc>
      </w:tr>
      <w:tr w14:paraId="4C805E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3DDE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负债和所有者权益总计</w:t>
            </w:r>
          </w:p>
        </w:tc>
        <w:tc>
          <w:tcPr>
            <w:tcW w:w="3213" w:type="dxa"/>
            <w:tcBorders>
              <w:top w:val="single" w:color="auto" w:sz="2" w:space="0"/>
              <w:left w:val="single" w:color="auto" w:sz="2" w:space="0"/>
              <w:bottom w:val="single" w:color="auto" w:sz="2" w:space="0"/>
              <w:right w:val="single" w:color="auto" w:sz="2" w:space="0"/>
            </w:tcBorders>
            <w:vAlign w:val="center"/>
          </w:tcPr>
          <w:p w14:paraId="79EBBA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1,231,131,432.53</w:t>
            </w:r>
          </w:p>
        </w:tc>
        <w:tc>
          <w:tcPr>
            <w:tcW w:w="3213" w:type="dxa"/>
            <w:tcBorders>
              <w:top w:val="single" w:color="auto" w:sz="2" w:space="0"/>
              <w:left w:val="single" w:color="auto" w:sz="2" w:space="0"/>
              <w:bottom w:val="single" w:color="auto" w:sz="2" w:space="0"/>
              <w:right w:val="single" w:color="auto" w:sz="2" w:space="0"/>
            </w:tcBorders>
            <w:vAlign w:val="center"/>
          </w:tcPr>
          <w:p w14:paraId="1760FD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999,392,048.30</w:t>
            </w:r>
          </w:p>
        </w:tc>
      </w:tr>
    </w:tbl>
    <w:p w14:paraId="0491247E">
      <w:pPr>
        <w:spacing w:before="312" w:beforeLines="100" w:after="312" w:afterLines="100" w:line="240" w:lineRule="exact"/>
        <w:rPr>
          <w:rFonts w:ascii="Times New Roman" w:hAnsi="Times New Roman" w:cs="Times New Roman" w:eastAsiaTheme="majorEastAsia"/>
          <w:sz w:val="18"/>
          <w:szCs w:val="18"/>
        </w:rPr>
      </w:pPr>
      <w:bookmarkStart w:id="156" w:name="_Toc989045"/>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10204D48">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3、合并利润表</w:t>
      </w:r>
      <w:bookmarkEnd w:id="156"/>
    </w:p>
    <w:p w14:paraId="1F1B985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B384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EEC8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093A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0C9F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362BFF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04DBE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一、营业总收入</w:t>
            </w:r>
          </w:p>
        </w:tc>
        <w:tc>
          <w:tcPr>
            <w:tcW w:w="3213" w:type="dxa"/>
            <w:tcBorders>
              <w:top w:val="single" w:color="auto" w:sz="2" w:space="0"/>
              <w:left w:val="single" w:color="auto" w:sz="2" w:space="0"/>
              <w:bottom w:val="single" w:color="auto" w:sz="2" w:space="0"/>
              <w:right w:val="single" w:color="auto" w:sz="2" w:space="0"/>
            </w:tcBorders>
            <w:vAlign w:val="center"/>
          </w:tcPr>
          <w:p w14:paraId="7C0ECC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3213" w:type="dxa"/>
            <w:tcBorders>
              <w:top w:val="single" w:color="auto" w:sz="2" w:space="0"/>
              <w:left w:val="single" w:color="auto" w:sz="2" w:space="0"/>
              <w:bottom w:val="single" w:color="auto" w:sz="2" w:space="0"/>
              <w:right w:val="single" w:color="auto" w:sz="2" w:space="0"/>
            </w:tcBorders>
            <w:vAlign w:val="center"/>
          </w:tcPr>
          <w:p w14:paraId="449D32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r>
      <w:tr w14:paraId="00428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3D229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7D0227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3213" w:type="dxa"/>
            <w:tcBorders>
              <w:top w:val="single" w:color="auto" w:sz="2" w:space="0"/>
              <w:left w:val="single" w:color="auto" w:sz="2" w:space="0"/>
              <w:bottom w:val="single" w:color="auto" w:sz="2" w:space="0"/>
              <w:right w:val="single" w:color="auto" w:sz="2" w:space="0"/>
            </w:tcBorders>
            <w:vAlign w:val="center"/>
          </w:tcPr>
          <w:p w14:paraId="1EFB6A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r>
      <w:tr w14:paraId="5234E5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92D7BC">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51F295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530E439">
            <w:pPr>
              <w:spacing w:line="240" w:lineRule="exact"/>
              <w:jc w:val="right"/>
              <w:rPr>
                <w:rFonts w:ascii="Times New Roman" w:hAnsi="Times New Roman" w:cs="Times New Roman" w:eastAsiaTheme="majorEastAsia"/>
                <w:sz w:val="18"/>
                <w:szCs w:val="18"/>
              </w:rPr>
            </w:pPr>
          </w:p>
        </w:tc>
      </w:tr>
      <w:tr w14:paraId="0CD036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BBC9EA">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已赚保费</w:t>
            </w:r>
          </w:p>
        </w:tc>
        <w:tc>
          <w:tcPr>
            <w:tcW w:w="3213" w:type="dxa"/>
            <w:tcBorders>
              <w:top w:val="single" w:color="auto" w:sz="2" w:space="0"/>
              <w:left w:val="single" w:color="auto" w:sz="2" w:space="0"/>
              <w:bottom w:val="single" w:color="auto" w:sz="2" w:space="0"/>
              <w:right w:val="single" w:color="auto" w:sz="2" w:space="0"/>
            </w:tcBorders>
            <w:vAlign w:val="center"/>
          </w:tcPr>
          <w:p w14:paraId="4B1D6B7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7B7C43">
            <w:pPr>
              <w:spacing w:line="240" w:lineRule="exact"/>
              <w:jc w:val="right"/>
              <w:rPr>
                <w:rFonts w:ascii="Times New Roman" w:hAnsi="Times New Roman" w:cs="Times New Roman" w:eastAsiaTheme="majorEastAsia"/>
                <w:sz w:val="18"/>
                <w:szCs w:val="18"/>
              </w:rPr>
            </w:pPr>
          </w:p>
        </w:tc>
      </w:tr>
      <w:tr w14:paraId="07052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8211D7">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手续费及佣金收入</w:t>
            </w:r>
          </w:p>
        </w:tc>
        <w:tc>
          <w:tcPr>
            <w:tcW w:w="3213" w:type="dxa"/>
            <w:tcBorders>
              <w:top w:val="single" w:color="auto" w:sz="2" w:space="0"/>
              <w:left w:val="single" w:color="auto" w:sz="2" w:space="0"/>
              <w:bottom w:val="single" w:color="auto" w:sz="2" w:space="0"/>
              <w:right w:val="single" w:color="auto" w:sz="2" w:space="0"/>
            </w:tcBorders>
            <w:vAlign w:val="center"/>
          </w:tcPr>
          <w:p w14:paraId="1CEC395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C7CE7B">
            <w:pPr>
              <w:spacing w:line="240" w:lineRule="exact"/>
              <w:jc w:val="right"/>
              <w:rPr>
                <w:rFonts w:ascii="Times New Roman" w:hAnsi="Times New Roman" w:cs="Times New Roman" w:eastAsiaTheme="majorEastAsia"/>
                <w:sz w:val="18"/>
                <w:szCs w:val="18"/>
              </w:rPr>
            </w:pPr>
          </w:p>
        </w:tc>
      </w:tr>
      <w:tr w14:paraId="00B4B0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0553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二、营业总成本</w:t>
            </w:r>
          </w:p>
        </w:tc>
        <w:tc>
          <w:tcPr>
            <w:tcW w:w="3213" w:type="dxa"/>
            <w:tcBorders>
              <w:top w:val="single" w:color="auto" w:sz="2" w:space="0"/>
              <w:left w:val="single" w:color="auto" w:sz="2" w:space="0"/>
              <w:bottom w:val="single" w:color="auto" w:sz="2" w:space="0"/>
              <w:right w:val="single" w:color="auto" w:sz="2" w:space="0"/>
            </w:tcBorders>
            <w:vAlign w:val="center"/>
          </w:tcPr>
          <w:p w14:paraId="418C6F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262,360,838.43</w:t>
            </w:r>
          </w:p>
        </w:tc>
        <w:tc>
          <w:tcPr>
            <w:tcW w:w="3213" w:type="dxa"/>
            <w:tcBorders>
              <w:top w:val="single" w:color="auto" w:sz="2" w:space="0"/>
              <w:left w:val="single" w:color="auto" w:sz="2" w:space="0"/>
              <w:bottom w:val="single" w:color="auto" w:sz="2" w:space="0"/>
              <w:right w:val="single" w:color="auto" w:sz="2" w:space="0"/>
            </w:tcBorders>
            <w:vAlign w:val="center"/>
          </w:tcPr>
          <w:p w14:paraId="24C151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381,721,206.33</w:t>
            </w:r>
          </w:p>
        </w:tc>
      </w:tr>
      <w:tr w14:paraId="5F2B78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89D74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2EA14C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194,156,829.92</w:t>
            </w:r>
          </w:p>
        </w:tc>
        <w:tc>
          <w:tcPr>
            <w:tcW w:w="3213" w:type="dxa"/>
            <w:tcBorders>
              <w:top w:val="single" w:color="auto" w:sz="2" w:space="0"/>
              <w:left w:val="single" w:color="auto" w:sz="2" w:space="0"/>
              <w:bottom w:val="single" w:color="auto" w:sz="2" w:space="0"/>
              <w:right w:val="single" w:color="auto" w:sz="2" w:space="0"/>
            </w:tcBorders>
            <w:vAlign w:val="center"/>
          </w:tcPr>
          <w:p w14:paraId="0702F3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327,026,981.17</w:t>
            </w:r>
          </w:p>
        </w:tc>
      </w:tr>
      <w:tr w14:paraId="272C7C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66D1EF">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利息支出</w:t>
            </w:r>
          </w:p>
        </w:tc>
        <w:tc>
          <w:tcPr>
            <w:tcW w:w="3213" w:type="dxa"/>
            <w:tcBorders>
              <w:top w:val="single" w:color="auto" w:sz="2" w:space="0"/>
              <w:left w:val="single" w:color="auto" w:sz="2" w:space="0"/>
              <w:bottom w:val="single" w:color="auto" w:sz="2" w:space="0"/>
              <w:right w:val="single" w:color="auto" w:sz="2" w:space="0"/>
            </w:tcBorders>
            <w:vAlign w:val="center"/>
          </w:tcPr>
          <w:p w14:paraId="52C9507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54E383">
            <w:pPr>
              <w:spacing w:line="240" w:lineRule="exact"/>
              <w:jc w:val="right"/>
              <w:rPr>
                <w:rFonts w:ascii="Times New Roman" w:hAnsi="Times New Roman" w:cs="Times New Roman" w:eastAsiaTheme="majorEastAsia"/>
                <w:sz w:val="18"/>
                <w:szCs w:val="18"/>
              </w:rPr>
            </w:pPr>
          </w:p>
        </w:tc>
      </w:tr>
      <w:tr w14:paraId="0AB4FE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AF41B9">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手续费及佣金支出</w:t>
            </w:r>
          </w:p>
        </w:tc>
        <w:tc>
          <w:tcPr>
            <w:tcW w:w="3213" w:type="dxa"/>
            <w:tcBorders>
              <w:top w:val="single" w:color="auto" w:sz="2" w:space="0"/>
              <w:left w:val="single" w:color="auto" w:sz="2" w:space="0"/>
              <w:bottom w:val="single" w:color="auto" w:sz="2" w:space="0"/>
              <w:right w:val="single" w:color="auto" w:sz="2" w:space="0"/>
            </w:tcBorders>
            <w:vAlign w:val="center"/>
          </w:tcPr>
          <w:p w14:paraId="231BE0F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F521983">
            <w:pPr>
              <w:spacing w:line="240" w:lineRule="exact"/>
              <w:jc w:val="right"/>
              <w:rPr>
                <w:rFonts w:ascii="Times New Roman" w:hAnsi="Times New Roman" w:cs="Times New Roman" w:eastAsiaTheme="majorEastAsia"/>
                <w:sz w:val="18"/>
                <w:szCs w:val="18"/>
              </w:rPr>
            </w:pPr>
          </w:p>
        </w:tc>
      </w:tr>
      <w:tr w14:paraId="1AA068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2A19E7">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退保金</w:t>
            </w:r>
          </w:p>
        </w:tc>
        <w:tc>
          <w:tcPr>
            <w:tcW w:w="3213" w:type="dxa"/>
            <w:tcBorders>
              <w:top w:val="single" w:color="auto" w:sz="2" w:space="0"/>
              <w:left w:val="single" w:color="auto" w:sz="2" w:space="0"/>
              <w:bottom w:val="single" w:color="auto" w:sz="2" w:space="0"/>
              <w:right w:val="single" w:color="auto" w:sz="2" w:space="0"/>
            </w:tcBorders>
            <w:vAlign w:val="center"/>
          </w:tcPr>
          <w:p w14:paraId="337C967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E4DB67">
            <w:pPr>
              <w:spacing w:line="240" w:lineRule="exact"/>
              <w:jc w:val="right"/>
              <w:rPr>
                <w:rFonts w:ascii="Times New Roman" w:hAnsi="Times New Roman" w:cs="Times New Roman" w:eastAsiaTheme="majorEastAsia"/>
                <w:sz w:val="18"/>
                <w:szCs w:val="18"/>
              </w:rPr>
            </w:pPr>
          </w:p>
        </w:tc>
      </w:tr>
      <w:tr w14:paraId="5BCBEA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84BB74">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赔付支出净额</w:t>
            </w:r>
          </w:p>
        </w:tc>
        <w:tc>
          <w:tcPr>
            <w:tcW w:w="3213" w:type="dxa"/>
            <w:tcBorders>
              <w:top w:val="single" w:color="auto" w:sz="2" w:space="0"/>
              <w:left w:val="single" w:color="auto" w:sz="2" w:space="0"/>
              <w:bottom w:val="single" w:color="auto" w:sz="2" w:space="0"/>
              <w:right w:val="single" w:color="auto" w:sz="2" w:space="0"/>
            </w:tcBorders>
            <w:vAlign w:val="center"/>
          </w:tcPr>
          <w:p w14:paraId="7126788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9B68DC">
            <w:pPr>
              <w:spacing w:line="240" w:lineRule="exact"/>
              <w:jc w:val="right"/>
              <w:rPr>
                <w:rFonts w:ascii="Times New Roman" w:hAnsi="Times New Roman" w:cs="Times New Roman" w:eastAsiaTheme="majorEastAsia"/>
                <w:sz w:val="18"/>
                <w:szCs w:val="18"/>
              </w:rPr>
            </w:pPr>
          </w:p>
        </w:tc>
      </w:tr>
      <w:tr w14:paraId="65703B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DD2A6A">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提取保险责任合同准备金净额</w:t>
            </w:r>
          </w:p>
        </w:tc>
        <w:tc>
          <w:tcPr>
            <w:tcW w:w="3213" w:type="dxa"/>
            <w:tcBorders>
              <w:top w:val="single" w:color="auto" w:sz="2" w:space="0"/>
              <w:left w:val="single" w:color="auto" w:sz="2" w:space="0"/>
              <w:bottom w:val="single" w:color="auto" w:sz="2" w:space="0"/>
              <w:right w:val="single" w:color="auto" w:sz="2" w:space="0"/>
            </w:tcBorders>
            <w:vAlign w:val="center"/>
          </w:tcPr>
          <w:p w14:paraId="411E5EF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E6013C1">
            <w:pPr>
              <w:spacing w:line="240" w:lineRule="exact"/>
              <w:jc w:val="right"/>
              <w:rPr>
                <w:rFonts w:ascii="Times New Roman" w:hAnsi="Times New Roman" w:cs="Times New Roman" w:eastAsiaTheme="majorEastAsia"/>
                <w:sz w:val="18"/>
                <w:szCs w:val="18"/>
              </w:rPr>
            </w:pPr>
          </w:p>
        </w:tc>
      </w:tr>
      <w:tr w14:paraId="42F41B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10DFED">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保单红利支出</w:t>
            </w:r>
          </w:p>
        </w:tc>
        <w:tc>
          <w:tcPr>
            <w:tcW w:w="3213" w:type="dxa"/>
            <w:tcBorders>
              <w:top w:val="single" w:color="auto" w:sz="2" w:space="0"/>
              <w:left w:val="single" w:color="auto" w:sz="2" w:space="0"/>
              <w:bottom w:val="single" w:color="auto" w:sz="2" w:space="0"/>
              <w:right w:val="single" w:color="auto" w:sz="2" w:space="0"/>
            </w:tcBorders>
            <w:vAlign w:val="center"/>
          </w:tcPr>
          <w:p w14:paraId="36D1CEE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8CA335">
            <w:pPr>
              <w:spacing w:line="240" w:lineRule="exact"/>
              <w:jc w:val="right"/>
              <w:rPr>
                <w:rFonts w:ascii="Times New Roman" w:hAnsi="Times New Roman" w:cs="Times New Roman" w:eastAsiaTheme="majorEastAsia"/>
                <w:sz w:val="18"/>
                <w:szCs w:val="18"/>
              </w:rPr>
            </w:pPr>
          </w:p>
        </w:tc>
      </w:tr>
      <w:tr w14:paraId="461D52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3A82A6">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分保费用</w:t>
            </w:r>
          </w:p>
        </w:tc>
        <w:tc>
          <w:tcPr>
            <w:tcW w:w="3213" w:type="dxa"/>
            <w:tcBorders>
              <w:top w:val="single" w:color="auto" w:sz="2" w:space="0"/>
              <w:left w:val="single" w:color="auto" w:sz="2" w:space="0"/>
              <w:bottom w:val="single" w:color="auto" w:sz="2" w:space="0"/>
              <w:right w:val="single" w:color="auto" w:sz="2" w:space="0"/>
            </w:tcBorders>
            <w:vAlign w:val="center"/>
          </w:tcPr>
          <w:p w14:paraId="4640ED4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7AE90F">
            <w:pPr>
              <w:spacing w:line="240" w:lineRule="exact"/>
              <w:jc w:val="right"/>
              <w:rPr>
                <w:rFonts w:ascii="Times New Roman" w:hAnsi="Times New Roman" w:cs="Times New Roman" w:eastAsiaTheme="majorEastAsia"/>
                <w:sz w:val="18"/>
                <w:szCs w:val="18"/>
              </w:rPr>
            </w:pPr>
          </w:p>
        </w:tc>
      </w:tr>
      <w:tr w14:paraId="1A3332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E8BED9">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2F8986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1,192,977.06</w:t>
            </w:r>
          </w:p>
        </w:tc>
        <w:tc>
          <w:tcPr>
            <w:tcW w:w="3213" w:type="dxa"/>
            <w:tcBorders>
              <w:top w:val="single" w:color="auto" w:sz="2" w:space="0"/>
              <w:left w:val="single" w:color="auto" w:sz="2" w:space="0"/>
              <w:bottom w:val="single" w:color="auto" w:sz="2" w:space="0"/>
              <w:right w:val="single" w:color="auto" w:sz="2" w:space="0"/>
            </w:tcBorders>
            <w:vAlign w:val="center"/>
          </w:tcPr>
          <w:p w14:paraId="0F4A1B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740,783.02</w:t>
            </w:r>
          </w:p>
        </w:tc>
      </w:tr>
      <w:tr w14:paraId="4D7189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25C7A7">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02AE2F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23,606,686.47</w:t>
            </w:r>
          </w:p>
        </w:tc>
        <w:tc>
          <w:tcPr>
            <w:tcW w:w="3213" w:type="dxa"/>
            <w:tcBorders>
              <w:top w:val="single" w:color="auto" w:sz="2" w:space="0"/>
              <w:left w:val="single" w:color="auto" w:sz="2" w:space="0"/>
              <w:bottom w:val="single" w:color="auto" w:sz="2" w:space="0"/>
              <w:right w:val="single" w:color="auto" w:sz="2" w:space="0"/>
            </w:tcBorders>
            <w:vAlign w:val="center"/>
          </w:tcPr>
          <w:p w14:paraId="2844E9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19,532,850.75</w:t>
            </w:r>
          </w:p>
        </w:tc>
      </w:tr>
      <w:tr w14:paraId="5A6504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DD7F8">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11F198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31,237,039.63</w:t>
            </w:r>
          </w:p>
        </w:tc>
        <w:tc>
          <w:tcPr>
            <w:tcW w:w="3213" w:type="dxa"/>
            <w:tcBorders>
              <w:top w:val="single" w:color="auto" w:sz="2" w:space="0"/>
              <w:left w:val="single" w:color="auto" w:sz="2" w:space="0"/>
              <w:bottom w:val="single" w:color="auto" w:sz="2" w:space="0"/>
              <w:right w:val="single" w:color="auto" w:sz="2" w:space="0"/>
            </w:tcBorders>
            <w:vAlign w:val="center"/>
          </w:tcPr>
          <w:p w14:paraId="670817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24,816,344.88</w:t>
            </w:r>
          </w:p>
        </w:tc>
      </w:tr>
      <w:tr w14:paraId="34322E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890426">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12F219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3213" w:type="dxa"/>
            <w:tcBorders>
              <w:top w:val="single" w:color="auto" w:sz="2" w:space="0"/>
              <w:left w:val="single" w:color="auto" w:sz="2" w:space="0"/>
              <w:bottom w:val="single" w:color="auto" w:sz="2" w:space="0"/>
              <w:right w:val="single" w:color="auto" w:sz="2" w:space="0"/>
            </w:tcBorders>
            <w:vAlign w:val="center"/>
          </w:tcPr>
          <w:p w14:paraId="29F65F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r>
      <w:tr w14:paraId="0C96C2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197CE0">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0CE55C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-5,143,957.18</w:t>
            </w:r>
          </w:p>
        </w:tc>
        <w:tc>
          <w:tcPr>
            <w:tcW w:w="3213" w:type="dxa"/>
            <w:tcBorders>
              <w:top w:val="single" w:color="auto" w:sz="2" w:space="0"/>
              <w:left w:val="single" w:color="auto" w:sz="2" w:space="0"/>
              <w:bottom w:val="single" w:color="auto" w:sz="2" w:space="0"/>
              <w:right w:val="single" w:color="auto" w:sz="2" w:space="0"/>
            </w:tcBorders>
            <w:vAlign w:val="center"/>
          </w:tcPr>
          <w:p w14:paraId="02842D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-8,281,893.59</w:t>
            </w:r>
          </w:p>
        </w:tc>
      </w:tr>
      <w:tr w14:paraId="111839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D8D1FB">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781C40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1,321,921.56</w:t>
            </w:r>
          </w:p>
        </w:tc>
        <w:tc>
          <w:tcPr>
            <w:tcW w:w="3213" w:type="dxa"/>
            <w:tcBorders>
              <w:top w:val="single" w:color="auto" w:sz="2" w:space="0"/>
              <w:left w:val="single" w:color="auto" w:sz="2" w:space="0"/>
              <w:bottom w:val="single" w:color="auto" w:sz="2" w:space="0"/>
              <w:right w:val="single" w:color="auto" w:sz="2" w:space="0"/>
            </w:tcBorders>
            <w:vAlign w:val="center"/>
          </w:tcPr>
          <w:p w14:paraId="213F96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2,348,669.91</w:t>
            </w:r>
          </w:p>
        </w:tc>
      </w:tr>
      <w:tr w14:paraId="772AC4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A355B6">
            <w:pPr>
              <w:spacing w:before="40" w:after="40" w:line="240" w:lineRule="exact"/>
              <w:ind w:firstLine="1440" w:firstLineChars="8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1C76CF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6,661,211.63</w:t>
            </w:r>
          </w:p>
        </w:tc>
        <w:tc>
          <w:tcPr>
            <w:tcW w:w="3213" w:type="dxa"/>
            <w:tcBorders>
              <w:top w:val="single" w:color="auto" w:sz="2" w:space="0"/>
              <w:left w:val="single" w:color="auto" w:sz="2" w:space="0"/>
              <w:bottom w:val="single" w:color="auto" w:sz="2" w:space="0"/>
              <w:right w:val="single" w:color="auto" w:sz="2" w:space="0"/>
            </w:tcBorders>
            <w:vAlign w:val="center"/>
          </w:tcPr>
          <w:p w14:paraId="315198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10,392,600.28</w:t>
            </w:r>
          </w:p>
        </w:tc>
      </w:tr>
      <w:tr w14:paraId="5A0E4B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FB58CD">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25389C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92,627.32</w:t>
            </w:r>
          </w:p>
        </w:tc>
        <w:tc>
          <w:tcPr>
            <w:tcW w:w="3213" w:type="dxa"/>
            <w:tcBorders>
              <w:top w:val="single" w:color="auto" w:sz="2" w:space="0"/>
              <w:left w:val="single" w:color="auto" w:sz="2" w:space="0"/>
              <w:bottom w:val="single" w:color="auto" w:sz="2" w:space="0"/>
              <w:right w:val="single" w:color="auto" w:sz="2" w:space="0"/>
            </w:tcBorders>
            <w:vAlign w:val="center"/>
          </w:tcPr>
          <w:p w14:paraId="5DF6B2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157,682.63</w:t>
            </w:r>
          </w:p>
        </w:tc>
      </w:tr>
      <w:tr w14:paraId="2DFB0D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5DE664">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5948F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6D2966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5D1987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2A0480">
            <w:pPr>
              <w:spacing w:before="40" w:after="40" w:line="240" w:lineRule="exact"/>
              <w:ind w:firstLine="900" w:firstLineChars="5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2F775DF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17AB95">
            <w:pPr>
              <w:spacing w:line="240" w:lineRule="exact"/>
              <w:jc w:val="right"/>
              <w:rPr>
                <w:rFonts w:ascii="Times New Roman" w:hAnsi="Times New Roman" w:cs="Times New Roman" w:eastAsiaTheme="majorEastAsia"/>
                <w:sz w:val="18"/>
                <w:szCs w:val="18"/>
              </w:rPr>
            </w:pPr>
          </w:p>
        </w:tc>
      </w:tr>
      <w:tr w14:paraId="2AB97D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B169CF">
            <w:pPr>
              <w:spacing w:before="40" w:after="40" w:line="240" w:lineRule="exact"/>
              <w:ind w:firstLine="1440" w:firstLineChars="8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以摊余成本计量的金融资产终止确认收益</w:t>
            </w:r>
          </w:p>
        </w:tc>
        <w:tc>
          <w:tcPr>
            <w:tcW w:w="3213" w:type="dxa"/>
            <w:tcBorders>
              <w:top w:val="single" w:color="auto" w:sz="2" w:space="0"/>
              <w:left w:val="single" w:color="auto" w:sz="2" w:space="0"/>
              <w:bottom w:val="single" w:color="auto" w:sz="2" w:space="0"/>
              <w:right w:val="single" w:color="auto" w:sz="2" w:space="0"/>
            </w:tcBorders>
            <w:vAlign w:val="center"/>
          </w:tcPr>
          <w:p w14:paraId="1437FFB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7D01060">
            <w:pPr>
              <w:spacing w:line="240" w:lineRule="exact"/>
              <w:jc w:val="right"/>
              <w:rPr>
                <w:rFonts w:ascii="Times New Roman" w:hAnsi="Times New Roman" w:cs="Times New Roman" w:eastAsiaTheme="majorEastAsia"/>
                <w:sz w:val="18"/>
                <w:szCs w:val="18"/>
              </w:rPr>
            </w:pPr>
          </w:p>
        </w:tc>
      </w:tr>
      <w:tr w14:paraId="4D76A0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FC4D52">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汇兑收益（损失以“-”号填列）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0E3955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035231">
            <w:pPr>
              <w:spacing w:line="240" w:lineRule="exact"/>
              <w:jc w:val="right"/>
              <w:rPr>
                <w:rFonts w:ascii="Times New Roman" w:hAnsi="Times New Roman" w:cs="Times New Roman" w:eastAsiaTheme="majorEastAsia"/>
                <w:sz w:val="18"/>
                <w:szCs w:val="18"/>
              </w:rPr>
            </w:pPr>
          </w:p>
        </w:tc>
      </w:tr>
      <w:tr w14:paraId="459E0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2D3778">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677B50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559AB5B">
            <w:pPr>
              <w:spacing w:line="240" w:lineRule="exact"/>
              <w:jc w:val="right"/>
              <w:rPr>
                <w:rFonts w:ascii="Times New Roman" w:hAnsi="Times New Roman" w:cs="Times New Roman" w:eastAsiaTheme="majorEastAsia"/>
                <w:sz w:val="18"/>
                <w:szCs w:val="18"/>
              </w:rPr>
            </w:pPr>
          </w:p>
        </w:tc>
      </w:tr>
      <w:tr w14:paraId="4F2EB2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7B6694">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DA48D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3213" w:type="dxa"/>
            <w:tcBorders>
              <w:top w:val="single" w:color="auto" w:sz="2" w:space="0"/>
              <w:left w:val="single" w:color="auto" w:sz="2" w:space="0"/>
              <w:bottom w:val="single" w:color="auto" w:sz="2" w:space="0"/>
              <w:right w:val="single" w:color="auto" w:sz="2" w:space="0"/>
            </w:tcBorders>
            <w:vAlign w:val="center"/>
          </w:tcPr>
          <w:p w14:paraId="541D1F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r>
      <w:tr w14:paraId="2986C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2B10AC">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E2BDD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-21,461,693.75</w:t>
            </w:r>
          </w:p>
        </w:tc>
        <w:tc>
          <w:tcPr>
            <w:tcW w:w="3213" w:type="dxa"/>
            <w:tcBorders>
              <w:top w:val="single" w:color="auto" w:sz="2" w:space="0"/>
              <w:left w:val="single" w:color="auto" w:sz="2" w:space="0"/>
              <w:bottom w:val="single" w:color="auto" w:sz="2" w:space="0"/>
              <w:right w:val="single" w:color="auto" w:sz="2" w:space="0"/>
            </w:tcBorders>
            <w:vAlign w:val="center"/>
          </w:tcPr>
          <w:p w14:paraId="23A649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-26,850,015.08</w:t>
            </w:r>
          </w:p>
        </w:tc>
      </w:tr>
      <w:tr w14:paraId="15FFF4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4F14CF">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CEE0D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-3,648,261.03</w:t>
            </w:r>
          </w:p>
        </w:tc>
        <w:tc>
          <w:tcPr>
            <w:tcW w:w="3213" w:type="dxa"/>
            <w:tcBorders>
              <w:top w:val="single" w:color="auto" w:sz="2" w:space="0"/>
              <w:left w:val="single" w:color="auto" w:sz="2" w:space="0"/>
              <w:bottom w:val="single" w:color="auto" w:sz="2" w:space="0"/>
              <w:right w:val="single" w:color="auto" w:sz="2" w:space="0"/>
            </w:tcBorders>
            <w:vAlign w:val="center"/>
          </w:tcPr>
          <w:p w14:paraId="045A4B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-671,742.64</w:t>
            </w:r>
          </w:p>
        </w:tc>
      </w:tr>
      <w:tr w14:paraId="5611B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068824">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D4A46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423,066.06</w:t>
            </w:r>
          </w:p>
        </w:tc>
        <w:tc>
          <w:tcPr>
            <w:tcW w:w="3213" w:type="dxa"/>
            <w:tcBorders>
              <w:top w:val="single" w:color="auto" w:sz="2" w:space="0"/>
              <w:left w:val="single" w:color="auto" w:sz="2" w:space="0"/>
              <w:bottom w:val="single" w:color="auto" w:sz="2" w:space="0"/>
              <w:right w:val="single" w:color="auto" w:sz="2" w:space="0"/>
            </w:tcBorders>
            <w:vAlign w:val="center"/>
          </w:tcPr>
          <w:p w14:paraId="76B3CFB0">
            <w:pPr>
              <w:spacing w:line="240" w:lineRule="exact"/>
              <w:jc w:val="right"/>
              <w:rPr>
                <w:rFonts w:ascii="Times New Roman" w:hAnsi="Times New Roman" w:cs="Times New Roman" w:eastAsiaTheme="majorEastAsia"/>
                <w:sz w:val="18"/>
                <w:szCs w:val="18"/>
              </w:rPr>
            </w:pPr>
          </w:p>
        </w:tc>
      </w:tr>
      <w:tr w14:paraId="2D2DE5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71DAF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A61D1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-62,692,720.85</w:t>
            </w:r>
          </w:p>
        </w:tc>
        <w:tc>
          <w:tcPr>
            <w:tcW w:w="3213" w:type="dxa"/>
            <w:tcBorders>
              <w:top w:val="single" w:color="auto" w:sz="2" w:space="0"/>
              <w:left w:val="single" w:color="auto" w:sz="2" w:space="0"/>
              <w:bottom w:val="single" w:color="auto" w:sz="2" w:space="0"/>
              <w:right w:val="single" w:color="auto" w:sz="2" w:space="0"/>
            </w:tcBorders>
            <w:vAlign w:val="center"/>
          </w:tcPr>
          <w:p w14:paraId="030159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2,525,948.05</w:t>
            </w:r>
          </w:p>
        </w:tc>
      </w:tr>
      <w:tr w14:paraId="0176F2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80774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46822F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314,286.27</w:t>
            </w:r>
          </w:p>
        </w:tc>
        <w:tc>
          <w:tcPr>
            <w:tcW w:w="3213" w:type="dxa"/>
            <w:tcBorders>
              <w:top w:val="single" w:color="auto" w:sz="2" w:space="0"/>
              <w:left w:val="single" w:color="auto" w:sz="2" w:space="0"/>
              <w:bottom w:val="single" w:color="auto" w:sz="2" w:space="0"/>
              <w:right w:val="single" w:color="auto" w:sz="2" w:space="0"/>
            </w:tcBorders>
            <w:vAlign w:val="center"/>
          </w:tcPr>
          <w:p w14:paraId="6054F2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157,184.28</w:t>
            </w:r>
          </w:p>
        </w:tc>
      </w:tr>
      <w:tr w14:paraId="54EF9A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05A70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66EB1E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2,222,050.92</w:t>
            </w:r>
          </w:p>
        </w:tc>
        <w:tc>
          <w:tcPr>
            <w:tcW w:w="3213" w:type="dxa"/>
            <w:tcBorders>
              <w:top w:val="single" w:color="auto" w:sz="2" w:space="0"/>
              <w:left w:val="single" w:color="auto" w:sz="2" w:space="0"/>
              <w:bottom w:val="single" w:color="auto" w:sz="2" w:space="0"/>
              <w:right w:val="single" w:color="auto" w:sz="2" w:space="0"/>
            </w:tcBorders>
            <w:vAlign w:val="center"/>
          </w:tcPr>
          <w:p w14:paraId="315721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185,111.86</w:t>
            </w:r>
          </w:p>
        </w:tc>
      </w:tr>
      <w:tr w14:paraId="371568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6FCE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1DBE0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-64,600,485.50</w:t>
            </w:r>
          </w:p>
        </w:tc>
        <w:tc>
          <w:tcPr>
            <w:tcW w:w="3213" w:type="dxa"/>
            <w:tcBorders>
              <w:top w:val="single" w:color="auto" w:sz="2" w:space="0"/>
              <w:left w:val="single" w:color="auto" w:sz="2" w:space="0"/>
              <w:bottom w:val="single" w:color="auto" w:sz="2" w:space="0"/>
              <w:right w:val="single" w:color="auto" w:sz="2" w:space="0"/>
            </w:tcBorders>
            <w:vAlign w:val="center"/>
          </w:tcPr>
          <w:p w14:paraId="0CC67B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2,498,020.47</w:t>
            </w:r>
          </w:p>
        </w:tc>
      </w:tr>
      <w:tr w14:paraId="533F79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44AC0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0467F5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-11,108,691.82</w:t>
            </w:r>
          </w:p>
        </w:tc>
        <w:tc>
          <w:tcPr>
            <w:tcW w:w="3213" w:type="dxa"/>
            <w:tcBorders>
              <w:top w:val="single" w:color="auto" w:sz="2" w:space="0"/>
              <w:left w:val="single" w:color="auto" w:sz="2" w:space="0"/>
              <w:bottom w:val="single" w:color="auto" w:sz="2" w:space="0"/>
              <w:right w:val="single" w:color="auto" w:sz="2" w:space="0"/>
            </w:tcBorders>
            <w:vAlign w:val="center"/>
          </w:tcPr>
          <w:p w14:paraId="587D03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-1,889,775.44</w:t>
            </w:r>
          </w:p>
        </w:tc>
      </w:tr>
      <w:tr w14:paraId="7C682A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AC20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71FEE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-53,491,793.68</w:t>
            </w:r>
          </w:p>
        </w:tc>
        <w:tc>
          <w:tcPr>
            <w:tcW w:w="3213" w:type="dxa"/>
            <w:tcBorders>
              <w:top w:val="single" w:color="auto" w:sz="2" w:space="0"/>
              <w:left w:val="single" w:color="auto" w:sz="2" w:space="0"/>
              <w:bottom w:val="single" w:color="auto" w:sz="2" w:space="0"/>
              <w:right w:val="single" w:color="auto" w:sz="2" w:space="0"/>
            </w:tcBorders>
            <w:vAlign w:val="center"/>
          </w:tcPr>
          <w:p w14:paraId="2C5952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4,387,795.91</w:t>
            </w:r>
          </w:p>
        </w:tc>
      </w:tr>
      <w:tr w14:paraId="526092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B254D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（一）按经营持续性分类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7AE248">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06BF54">
            <w:pPr>
              <w:rPr>
                <w:rFonts w:ascii="Times New Roman" w:hAnsi="Times New Roman" w:cs="Times New Roman" w:eastAsiaTheme="majorEastAsia"/>
              </w:rPr>
            </w:pPr>
          </w:p>
        </w:tc>
      </w:tr>
      <w:tr w14:paraId="644A20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45A34B">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90881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-53,491,793.68</w:t>
            </w:r>
          </w:p>
        </w:tc>
        <w:tc>
          <w:tcPr>
            <w:tcW w:w="3213" w:type="dxa"/>
            <w:tcBorders>
              <w:top w:val="single" w:color="auto" w:sz="2" w:space="0"/>
              <w:left w:val="single" w:color="auto" w:sz="2" w:space="0"/>
              <w:bottom w:val="single" w:color="auto" w:sz="2" w:space="0"/>
              <w:right w:val="single" w:color="auto" w:sz="2" w:space="0"/>
            </w:tcBorders>
            <w:vAlign w:val="center"/>
          </w:tcPr>
          <w:p w14:paraId="7A75DA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4,387,795.91</w:t>
            </w:r>
          </w:p>
        </w:tc>
      </w:tr>
      <w:tr w14:paraId="66C7F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9E4430">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65442A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CC91E6">
            <w:pPr>
              <w:spacing w:line="240" w:lineRule="exact"/>
              <w:jc w:val="right"/>
              <w:rPr>
                <w:rFonts w:ascii="Times New Roman" w:hAnsi="Times New Roman" w:cs="Times New Roman" w:eastAsiaTheme="majorEastAsia"/>
                <w:sz w:val="18"/>
                <w:szCs w:val="18"/>
              </w:rPr>
            </w:pPr>
          </w:p>
        </w:tc>
      </w:tr>
      <w:tr w14:paraId="20135A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2C32B8">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（二）按所有权归属分类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68F2B2">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63583B">
            <w:pPr>
              <w:rPr>
                <w:rFonts w:ascii="Times New Roman" w:hAnsi="Times New Roman" w:cs="Times New Roman" w:eastAsiaTheme="majorEastAsia"/>
              </w:rPr>
            </w:pPr>
          </w:p>
        </w:tc>
      </w:tr>
      <w:tr w14:paraId="490D0D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B53502">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1.归属于母公司股东的净利润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15C078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-49,552,838.46</w:t>
            </w:r>
          </w:p>
        </w:tc>
        <w:tc>
          <w:tcPr>
            <w:tcW w:w="3213" w:type="dxa"/>
            <w:tcBorders>
              <w:top w:val="single" w:color="auto" w:sz="2" w:space="0"/>
              <w:left w:val="single" w:color="auto" w:sz="2" w:space="0"/>
              <w:bottom w:val="single" w:color="auto" w:sz="2" w:space="0"/>
              <w:right w:val="single" w:color="auto" w:sz="2" w:space="0"/>
            </w:tcBorders>
            <w:vAlign w:val="center"/>
          </w:tcPr>
          <w:p w14:paraId="59C511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6,389,000.49</w:t>
            </w:r>
          </w:p>
        </w:tc>
      </w:tr>
      <w:tr w14:paraId="401E51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5A6A2C">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2.少数股东损益</w:t>
            </w:r>
          </w:p>
        </w:tc>
        <w:tc>
          <w:tcPr>
            <w:tcW w:w="3213" w:type="dxa"/>
            <w:tcBorders>
              <w:top w:val="single" w:color="auto" w:sz="2" w:space="0"/>
              <w:left w:val="single" w:color="auto" w:sz="2" w:space="0"/>
              <w:bottom w:val="single" w:color="auto" w:sz="2" w:space="0"/>
              <w:right w:val="single" w:color="auto" w:sz="2" w:space="0"/>
            </w:tcBorders>
            <w:vAlign w:val="center"/>
          </w:tcPr>
          <w:p w14:paraId="469E9D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-3,938,955.22</w:t>
            </w:r>
          </w:p>
        </w:tc>
        <w:tc>
          <w:tcPr>
            <w:tcW w:w="3213" w:type="dxa"/>
            <w:tcBorders>
              <w:top w:val="single" w:color="auto" w:sz="2" w:space="0"/>
              <w:left w:val="single" w:color="auto" w:sz="2" w:space="0"/>
              <w:bottom w:val="single" w:color="auto" w:sz="2" w:space="0"/>
              <w:right w:val="single" w:color="auto" w:sz="2" w:space="0"/>
            </w:tcBorders>
            <w:vAlign w:val="center"/>
          </w:tcPr>
          <w:p w14:paraId="6C0D4C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-2,001,204.58</w:t>
            </w:r>
          </w:p>
        </w:tc>
      </w:tr>
      <w:tr w14:paraId="087EA6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DFDE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3BD798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3213" w:type="dxa"/>
            <w:tcBorders>
              <w:top w:val="single" w:color="auto" w:sz="2" w:space="0"/>
              <w:left w:val="single" w:color="auto" w:sz="2" w:space="0"/>
              <w:bottom w:val="single" w:color="auto" w:sz="2" w:space="0"/>
              <w:right w:val="single" w:color="auto" w:sz="2" w:space="0"/>
            </w:tcBorders>
            <w:vAlign w:val="center"/>
          </w:tcPr>
          <w:p w14:paraId="102A8F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-804,539.20</w:t>
            </w:r>
          </w:p>
        </w:tc>
      </w:tr>
      <w:tr w14:paraId="0ED4F4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86A1FD">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归属母公司所有者的其他综合收益的税后净额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4C899E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3213" w:type="dxa"/>
            <w:tcBorders>
              <w:top w:val="single" w:color="auto" w:sz="2" w:space="0"/>
              <w:left w:val="single" w:color="auto" w:sz="2" w:space="0"/>
              <w:bottom w:val="single" w:color="auto" w:sz="2" w:space="0"/>
              <w:right w:val="single" w:color="auto" w:sz="2" w:space="0"/>
            </w:tcBorders>
            <w:vAlign w:val="center"/>
          </w:tcPr>
          <w:p w14:paraId="5A093E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-804,539.20</w:t>
            </w:r>
          </w:p>
        </w:tc>
      </w:tr>
      <w:tr w14:paraId="318CFA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A78018">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33E415D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C545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-779,110.00</w:t>
            </w:r>
          </w:p>
        </w:tc>
      </w:tr>
      <w:tr w14:paraId="09EBC7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CDDDED">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3074B0E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3C48277">
            <w:pPr>
              <w:spacing w:line="240" w:lineRule="exact"/>
              <w:jc w:val="right"/>
              <w:rPr>
                <w:rFonts w:ascii="Times New Roman" w:hAnsi="Times New Roman" w:cs="Times New Roman" w:eastAsiaTheme="majorEastAsia"/>
                <w:sz w:val="18"/>
                <w:szCs w:val="18"/>
              </w:rPr>
            </w:pPr>
          </w:p>
        </w:tc>
      </w:tr>
      <w:tr w14:paraId="11C3E0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5A3A68">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1209BFC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E970405">
            <w:pPr>
              <w:spacing w:line="240" w:lineRule="exact"/>
              <w:jc w:val="right"/>
              <w:rPr>
                <w:rFonts w:ascii="Times New Roman" w:hAnsi="Times New Roman" w:cs="Times New Roman" w:eastAsiaTheme="majorEastAsia"/>
                <w:sz w:val="18"/>
                <w:szCs w:val="18"/>
              </w:rPr>
            </w:pPr>
          </w:p>
        </w:tc>
      </w:tr>
      <w:tr w14:paraId="7FC73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6E90E8">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259631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1294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-779,110.00</w:t>
            </w:r>
          </w:p>
        </w:tc>
      </w:tr>
      <w:tr w14:paraId="6BF7B5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D8B96C">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56031E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E944D73">
            <w:pPr>
              <w:spacing w:line="240" w:lineRule="exact"/>
              <w:jc w:val="right"/>
              <w:rPr>
                <w:rFonts w:ascii="Times New Roman" w:hAnsi="Times New Roman" w:cs="Times New Roman" w:eastAsiaTheme="majorEastAsia"/>
                <w:sz w:val="18"/>
                <w:szCs w:val="18"/>
              </w:rPr>
            </w:pPr>
          </w:p>
        </w:tc>
      </w:tr>
      <w:tr w14:paraId="0B5CB1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8BBAE5">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5DD1B83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6253735">
            <w:pPr>
              <w:spacing w:line="240" w:lineRule="exact"/>
              <w:jc w:val="right"/>
              <w:rPr>
                <w:rFonts w:ascii="Times New Roman" w:hAnsi="Times New Roman" w:cs="Times New Roman" w:eastAsiaTheme="majorEastAsia"/>
                <w:sz w:val="18"/>
                <w:szCs w:val="18"/>
              </w:rPr>
            </w:pPr>
          </w:p>
        </w:tc>
      </w:tr>
      <w:tr w14:paraId="696ECA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148BD7">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4B66D3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3213" w:type="dxa"/>
            <w:tcBorders>
              <w:top w:val="single" w:color="auto" w:sz="2" w:space="0"/>
              <w:left w:val="single" w:color="auto" w:sz="2" w:space="0"/>
              <w:bottom w:val="single" w:color="auto" w:sz="2" w:space="0"/>
              <w:right w:val="single" w:color="auto" w:sz="2" w:space="0"/>
            </w:tcBorders>
            <w:vAlign w:val="center"/>
          </w:tcPr>
          <w:p w14:paraId="64A9C4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-25,429.20</w:t>
            </w:r>
          </w:p>
        </w:tc>
      </w:tr>
      <w:tr w14:paraId="62674E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A419F0">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04AF1B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5DC946">
            <w:pPr>
              <w:spacing w:line="240" w:lineRule="exact"/>
              <w:jc w:val="right"/>
              <w:rPr>
                <w:rFonts w:ascii="Times New Roman" w:hAnsi="Times New Roman" w:cs="Times New Roman" w:eastAsiaTheme="majorEastAsia"/>
                <w:sz w:val="18"/>
                <w:szCs w:val="18"/>
              </w:rPr>
            </w:pPr>
          </w:p>
        </w:tc>
      </w:tr>
      <w:tr w14:paraId="4CE006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B78D42">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24D6D4C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CDAEBC9">
            <w:pPr>
              <w:spacing w:line="240" w:lineRule="exact"/>
              <w:jc w:val="right"/>
              <w:rPr>
                <w:rFonts w:ascii="Times New Roman" w:hAnsi="Times New Roman" w:cs="Times New Roman" w:eastAsiaTheme="majorEastAsia"/>
                <w:sz w:val="18"/>
                <w:szCs w:val="18"/>
              </w:rPr>
            </w:pPr>
          </w:p>
        </w:tc>
      </w:tr>
      <w:tr w14:paraId="4E0E0D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53CCC2">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7C4A3E8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8B05651">
            <w:pPr>
              <w:spacing w:line="240" w:lineRule="exact"/>
              <w:jc w:val="right"/>
              <w:rPr>
                <w:rFonts w:ascii="Times New Roman" w:hAnsi="Times New Roman" w:cs="Times New Roman" w:eastAsiaTheme="majorEastAsia"/>
                <w:sz w:val="18"/>
                <w:szCs w:val="18"/>
              </w:rPr>
            </w:pPr>
          </w:p>
        </w:tc>
      </w:tr>
      <w:tr w14:paraId="51DBFC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8A7AD0">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3C6D04E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4CFA9F9">
            <w:pPr>
              <w:spacing w:line="240" w:lineRule="exact"/>
              <w:jc w:val="right"/>
              <w:rPr>
                <w:rFonts w:ascii="Times New Roman" w:hAnsi="Times New Roman" w:cs="Times New Roman" w:eastAsiaTheme="majorEastAsia"/>
                <w:sz w:val="18"/>
                <w:szCs w:val="18"/>
              </w:rPr>
            </w:pPr>
          </w:p>
        </w:tc>
      </w:tr>
      <w:tr w14:paraId="314780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26F5E9">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4100CB2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16F7ED1">
            <w:pPr>
              <w:spacing w:line="240" w:lineRule="exact"/>
              <w:jc w:val="right"/>
              <w:rPr>
                <w:rFonts w:ascii="Times New Roman" w:hAnsi="Times New Roman" w:cs="Times New Roman" w:eastAsiaTheme="majorEastAsia"/>
                <w:sz w:val="18"/>
                <w:szCs w:val="18"/>
              </w:rPr>
            </w:pPr>
          </w:p>
        </w:tc>
      </w:tr>
      <w:tr w14:paraId="4FB104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97AC6B">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3179D4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3213" w:type="dxa"/>
            <w:tcBorders>
              <w:top w:val="single" w:color="auto" w:sz="2" w:space="0"/>
              <w:left w:val="single" w:color="auto" w:sz="2" w:space="0"/>
              <w:bottom w:val="single" w:color="auto" w:sz="2" w:space="0"/>
              <w:right w:val="single" w:color="auto" w:sz="2" w:space="0"/>
            </w:tcBorders>
            <w:vAlign w:val="center"/>
          </w:tcPr>
          <w:p w14:paraId="2157F2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-25,429.20</w:t>
            </w:r>
          </w:p>
        </w:tc>
      </w:tr>
      <w:tr w14:paraId="78BF13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074D6B">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114CFD9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1B550D9">
            <w:pPr>
              <w:spacing w:line="240" w:lineRule="exact"/>
              <w:jc w:val="right"/>
              <w:rPr>
                <w:rFonts w:ascii="Times New Roman" w:hAnsi="Times New Roman" w:cs="Times New Roman" w:eastAsiaTheme="majorEastAsia"/>
                <w:sz w:val="18"/>
                <w:szCs w:val="18"/>
              </w:rPr>
            </w:pPr>
          </w:p>
        </w:tc>
      </w:tr>
      <w:tr w14:paraId="5CC71B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C286D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归属于少数股东的其他综合收益的税后净额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6D1FB2E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E2F3AED">
            <w:pPr>
              <w:spacing w:line="240" w:lineRule="exact"/>
              <w:jc w:val="right"/>
              <w:rPr>
                <w:rFonts w:ascii="Times New Roman" w:hAnsi="Times New Roman" w:cs="Times New Roman" w:eastAsiaTheme="majorEastAsia"/>
                <w:sz w:val="18"/>
                <w:szCs w:val="18"/>
              </w:rPr>
            </w:pPr>
          </w:p>
        </w:tc>
      </w:tr>
      <w:tr w14:paraId="09C167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4FE09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七、综合收益总额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72CF2F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-53,421,758.19</w:t>
            </w:r>
          </w:p>
        </w:tc>
        <w:tc>
          <w:tcPr>
            <w:tcW w:w="3213" w:type="dxa"/>
            <w:tcBorders>
              <w:top w:val="single" w:color="auto" w:sz="2" w:space="0"/>
              <w:left w:val="single" w:color="auto" w:sz="2" w:space="0"/>
              <w:bottom w:val="single" w:color="auto" w:sz="2" w:space="0"/>
              <w:right w:val="single" w:color="auto" w:sz="2" w:space="0"/>
            </w:tcBorders>
            <w:vAlign w:val="center"/>
          </w:tcPr>
          <w:p w14:paraId="6AA2A6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3,583,256.71</w:t>
            </w:r>
          </w:p>
        </w:tc>
      </w:tr>
      <w:tr w14:paraId="5DF262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5F83C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归属于母公司所有者的综合收益总额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7BA6ED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-49,482,802.97</w:t>
            </w:r>
          </w:p>
        </w:tc>
        <w:tc>
          <w:tcPr>
            <w:tcW w:w="3213" w:type="dxa"/>
            <w:tcBorders>
              <w:top w:val="single" w:color="auto" w:sz="2" w:space="0"/>
              <w:left w:val="single" w:color="auto" w:sz="2" w:space="0"/>
              <w:bottom w:val="single" w:color="auto" w:sz="2" w:space="0"/>
              <w:right w:val="single" w:color="auto" w:sz="2" w:space="0"/>
            </w:tcBorders>
            <w:vAlign w:val="center"/>
          </w:tcPr>
          <w:p w14:paraId="0AC2D2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5,584,461.29</w:t>
            </w:r>
          </w:p>
        </w:tc>
      </w:tr>
      <w:tr w14:paraId="39FCC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7F2F7E">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归属于少数股东的综合收益总额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36BC3B5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-3,938,955.22</w:t>
            </w:r>
          </w:p>
        </w:tc>
        <w:tc>
          <w:tcPr>
            <w:tcW w:w="3213" w:type="dxa"/>
            <w:tcBorders>
              <w:top w:val="single" w:color="auto" w:sz="2" w:space="0"/>
              <w:left w:val="single" w:color="auto" w:sz="2" w:space="0"/>
              <w:bottom w:val="single" w:color="auto" w:sz="2" w:space="0"/>
              <w:right w:val="single" w:color="auto" w:sz="2" w:space="0"/>
            </w:tcBorders>
            <w:vAlign w:val="center"/>
          </w:tcPr>
          <w:p w14:paraId="3D0C7D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-2,001,204.58</w:t>
            </w:r>
          </w:p>
        </w:tc>
      </w:tr>
      <w:tr w14:paraId="259DA1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5DA8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八、每股收益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1E436D9">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96C5D8">
            <w:pPr>
              <w:rPr>
                <w:rFonts w:ascii="Times New Roman" w:hAnsi="Times New Roman" w:cs="Times New Roman" w:eastAsiaTheme="majorEastAsia"/>
              </w:rPr>
            </w:pPr>
          </w:p>
        </w:tc>
      </w:tr>
      <w:tr w14:paraId="7FC88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432160">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01418F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-0.74</w:t>
            </w:r>
          </w:p>
        </w:tc>
        <w:tc>
          <w:tcPr>
            <w:tcW w:w="3213" w:type="dxa"/>
            <w:tcBorders>
              <w:top w:val="single" w:color="auto" w:sz="2" w:space="0"/>
              <w:left w:val="single" w:color="auto" w:sz="2" w:space="0"/>
              <w:bottom w:val="single" w:color="auto" w:sz="2" w:space="0"/>
              <w:right w:val="single" w:color="auto" w:sz="2" w:space="0"/>
            </w:tcBorders>
            <w:vAlign w:val="center"/>
          </w:tcPr>
          <w:p w14:paraId="23A514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0.10</w:t>
            </w:r>
          </w:p>
        </w:tc>
      </w:tr>
      <w:tr w14:paraId="792D60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7F34BF">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3F9FA4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-0.74</w:t>
            </w:r>
          </w:p>
        </w:tc>
        <w:tc>
          <w:tcPr>
            <w:tcW w:w="3213" w:type="dxa"/>
            <w:tcBorders>
              <w:top w:val="single" w:color="auto" w:sz="2" w:space="0"/>
              <w:left w:val="single" w:color="auto" w:sz="2" w:space="0"/>
              <w:bottom w:val="single" w:color="auto" w:sz="2" w:space="0"/>
              <w:right w:val="single" w:color="auto" w:sz="2" w:space="0"/>
            </w:tcBorders>
            <w:vAlign w:val="center"/>
          </w:tcPr>
          <w:p w14:paraId="3AB1E4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0.10</w:t>
            </w:r>
          </w:p>
        </w:tc>
      </w:tr>
    </w:tbl>
    <w:p w14:paraId="1461836B">
      <w:pPr>
        <w:spacing w:before="312" w:beforeLines="100" w:after="312" w:afterLines="100" w:line="240" w:lineRule="exact"/>
        <w:rPr>
          <w:rFonts w:ascii="Times New Roman" w:hAnsi="Times New Roman" w:cs="Times New Roman" w:eastAsiaTheme="majorEastAsia"/>
          <w:sz w:val="18"/>
          <w:szCs w:val="18"/>
        </w:rPr>
      </w:pPr>
      <w:bookmarkStart w:id="157" w:name="_Toc989046"/>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73AB96F9">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4、母公司利润表</w:t>
      </w:r>
      <w:bookmarkEnd w:id="157"/>
    </w:p>
    <w:p w14:paraId="4E6C14A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D281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364A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B1E26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0058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1A2F42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9F415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一、营业收入</w:t>
            </w:r>
          </w:p>
        </w:tc>
        <w:tc>
          <w:tcPr>
            <w:tcW w:w="3213" w:type="dxa"/>
            <w:tcBorders>
              <w:top w:val="single" w:color="auto" w:sz="2" w:space="0"/>
              <w:left w:val="single" w:color="auto" w:sz="2" w:space="0"/>
              <w:bottom w:val="single" w:color="auto" w:sz="2" w:space="0"/>
              <w:right w:val="single" w:color="auto" w:sz="2" w:space="0"/>
            </w:tcBorders>
            <w:vAlign w:val="center"/>
          </w:tcPr>
          <w:p w14:paraId="3D9D82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96,909,821.27</w:t>
            </w:r>
          </w:p>
        </w:tc>
        <w:tc>
          <w:tcPr>
            <w:tcW w:w="3213" w:type="dxa"/>
            <w:tcBorders>
              <w:top w:val="single" w:color="auto" w:sz="2" w:space="0"/>
              <w:left w:val="single" w:color="auto" w:sz="2" w:space="0"/>
              <w:bottom w:val="single" w:color="auto" w:sz="2" w:space="0"/>
              <w:right w:val="single" w:color="auto" w:sz="2" w:space="0"/>
            </w:tcBorders>
            <w:vAlign w:val="center"/>
          </w:tcPr>
          <w:p w14:paraId="7E699A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178,864,243.61</w:t>
            </w:r>
          </w:p>
        </w:tc>
      </w:tr>
      <w:tr w14:paraId="09EA2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9AE4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减：营业成本</w:t>
            </w:r>
          </w:p>
        </w:tc>
        <w:tc>
          <w:tcPr>
            <w:tcW w:w="3213" w:type="dxa"/>
            <w:tcBorders>
              <w:top w:val="single" w:color="auto" w:sz="2" w:space="0"/>
              <w:left w:val="single" w:color="auto" w:sz="2" w:space="0"/>
              <w:bottom w:val="single" w:color="auto" w:sz="2" w:space="0"/>
              <w:right w:val="single" w:color="auto" w:sz="2" w:space="0"/>
            </w:tcBorders>
            <w:vAlign w:val="center"/>
          </w:tcPr>
          <w:p w14:paraId="7223BD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85,162,386.72</w:t>
            </w:r>
          </w:p>
        </w:tc>
        <w:tc>
          <w:tcPr>
            <w:tcW w:w="3213" w:type="dxa"/>
            <w:tcBorders>
              <w:top w:val="single" w:color="auto" w:sz="2" w:space="0"/>
              <w:left w:val="single" w:color="auto" w:sz="2" w:space="0"/>
              <w:bottom w:val="single" w:color="auto" w:sz="2" w:space="0"/>
              <w:right w:val="single" w:color="auto" w:sz="2" w:space="0"/>
            </w:tcBorders>
            <w:vAlign w:val="center"/>
          </w:tcPr>
          <w:p w14:paraId="386E05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132,445,576.18</w:t>
            </w:r>
          </w:p>
        </w:tc>
      </w:tr>
      <w:tr w14:paraId="2B8D0E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0BC846">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税金及附加</w:t>
            </w:r>
          </w:p>
        </w:tc>
        <w:tc>
          <w:tcPr>
            <w:tcW w:w="3213" w:type="dxa"/>
            <w:tcBorders>
              <w:top w:val="single" w:color="auto" w:sz="2" w:space="0"/>
              <w:left w:val="single" w:color="auto" w:sz="2" w:space="0"/>
              <w:bottom w:val="single" w:color="auto" w:sz="2" w:space="0"/>
              <w:right w:val="single" w:color="auto" w:sz="2" w:space="0"/>
            </w:tcBorders>
            <w:vAlign w:val="center"/>
          </w:tcPr>
          <w:p w14:paraId="0D278D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216,160.43</w:t>
            </w:r>
          </w:p>
        </w:tc>
        <w:tc>
          <w:tcPr>
            <w:tcW w:w="3213" w:type="dxa"/>
            <w:tcBorders>
              <w:top w:val="single" w:color="auto" w:sz="2" w:space="0"/>
              <w:left w:val="single" w:color="auto" w:sz="2" w:space="0"/>
              <w:bottom w:val="single" w:color="auto" w:sz="2" w:space="0"/>
              <w:right w:val="single" w:color="auto" w:sz="2" w:space="0"/>
            </w:tcBorders>
            <w:vAlign w:val="center"/>
          </w:tcPr>
          <w:p w14:paraId="5C766D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344,884.61</w:t>
            </w:r>
          </w:p>
        </w:tc>
      </w:tr>
      <w:tr w14:paraId="632C78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DDC4BD">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销售费用</w:t>
            </w:r>
          </w:p>
        </w:tc>
        <w:tc>
          <w:tcPr>
            <w:tcW w:w="3213" w:type="dxa"/>
            <w:tcBorders>
              <w:top w:val="single" w:color="auto" w:sz="2" w:space="0"/>
              <w:left w:val="single" w:color="auto" w:sz="2" w:space="0"/>
              <w:bottom w:val="single" w:color="auto" w:sz="2" w:space="0"/>
              <w:right w:val="single" w:color="auto" w:sz="2" w:space="0"/>
            </w:tcBorders>
            <w:vAlign w:val="center"/>
          </w:tcPr>
          <w:p w14:paraId="7E85E0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10,356,357.73</w:t>
            </w:r>
          </w:p>
        </w:tc>
        <w:tc>
          <w:tcPr>
            <w:tcW w:w="3213" w:type="dxa"/>
            <w:tcBorders>
              <w:top w:val="single" w:color="auto" w:sz="2" w:space="0"/>
              <w:left w:val="single" w:color="auto" w:sz="2" w:space="0"/>
              <w:bottom w:val="single" w:color="auto" w:sz="2" w:space="0"/>
              <w:right w:val="single" w:color="auto" w:sz="2" w:space="0"/>
            </w:tcBorders>
            <w:vAlign w:val="center"/>
          </w:tcPr>
          <w:p w14:paraId="7BDB3D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10,967,062.84</w:t>
            </w:r>
          </w:p>
        </w:tc>
      </w:tr>
      <w:tr w14:paraId="389FEF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9EC2D0">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管理费用</w:t>
            </w:r>
          </w:p>
        </w:tc>
        <w:tc>
          <w:tcPr>
            <w:tcW w:w="3213" w:type="dxa"/>
            <w:tcBorders>
              <w:top w:val="single" w:color="auto" w:sz="2" w:space="0"/>
              <w:left w:val="single" w:color="auto" w:sz="2" w:space="0"/>
              <w:bottom w:val="single" w:color="auto" w:sz="2" w:space="0"/>
              <w:right w:val="single" w:color="auto" w:sz="2" w:space="0"/>
            </w:tcBorders>
            <w:vAlign w:val="center"/>
          </w:tcPr>
          <w:p w14:paraId="2CEEF9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20,075,603.94</w:t>
            </w:r>
          </w:p>
        </w:tc>
        <w:tc>
          <w:tcPr>
            <w:tcW w:w="3213" w:type="dxa"/>
            <w:tcBorders>
              <w:top w:val="single" w:color="auto" w:sz="2" w:space="0"/>
              <w:left w:val="single" w:color="auto" w:sz="2" w:space="0"/>
              <w:bottom w:val="single" w:color="auto" w:sz="2" w:space="0"/>
              <w:right w:val="single" w:color="auto" w:sz="2" w:space="0"/>
            </w:tcBorders>
            <w:vAlign w:val="center"/>
          </w:tcPr>
          <w:p w14:paraId="7D543E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19,597,434.58</w:t>
            </w:r>
          </w:p>
        </w:tc>
      </w:tr>
      <w:tr w14:paraId="42A5DC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F4657B">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25D297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8,305,717.09</w:t>
            </w:r>
          </w:p>
        </w:tc>
        <w:tc>
          <w:tcPr>
            <w:tcW w:w="3213" w:type="dxa"/>
            <w:tcBorders>
              <w:top w:val="single" w:color="auto" w:sz="2" w:space="0"/>
              <w:left w:val="single" w:color="auto" w:sz="2" w:space="0"/>
              <w:bottom w:val="single" w:color="auto" w:sz="2" w:space="0"/>
              <w:right w:val="single" w:color="auto" w:sz="2" w:space="0"/>
            </w:tcBorders>
            <w:vAlign w:val="center"/>
          </w:tcPr>
          <w:p w14:paraId="0CA048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10,352,145.30</w:t>
            </w:r>
          </w:p>
        </w:tc>
      </w:tr>
      <w:tr w14:paraId="4D3463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60FFB6">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财务费用</w:t>
            </w:r>
          </w:p>
        </w:tc>
        <w:tc>
          <w:tcPr>
            <w:tcW w:w="3213" w:type="dxa"/>
            <w:tcBorders>
              <w:top w:val="single" w:color="auto" w:sz="2" w:space="0"/>
              <w:left w:val="single" w:color="auto" w:sz="2" w:space="0"/>
              <w:bottom w:val="single" w:color="auto" w:sz="2" w:space="0"/>
              <w:right w:val="single" w:color="auto" w:sz="2" w:space="0"/>
            </w:tcBorders>
            <w:vAlign w:val="center"/>
          </w:tcPr>
          <w:p w14:paraId="65E7B4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-5,854,008.32</w:t>
            </w:r>
          </w:p>
        </w:tc>
        <w:tc>
          <w:tcPr>
            <w:tcW w:w="3213" w:type="dxa"/>
            <w:tcBorders>
              <w:top w:val="single" w:color="auto" w:sz="2" w:space="0"/>
              <w:left w:val="single" w:color="auto" w:sz="2" w:space="0"/>
              <w:bottom w:val="single" w:color="auto" w:sz="2" w:space="0"/>
              <w:right w:val="single" w:color="auto" w:sz="2" w:space="0"/>
            </w:tcBorders>
            <w:vAlign w:val="center"/>
          </w:tcPr>
          <w:p w14:paraId="3AD657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-9,420,120.21</w:t>
            </w:r>
          </w:p>
        </w:tc>
      </w:tr>
      <w:tr w14:paraId="2AA541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EBD9E4">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2E838D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780,834.57</w:t>
            </w:r>
          </w:p>
        </w:tc>
        <w:tc>
          <w:tcPr>
            <w:tcW w:w="3213" w:type="dxa"/>
            <w:tcBorders>
              <w:top w:val="single" w:color="auto" w:sz="2" w:space="0"/>
              <w:left w:val="single" w:color="auto" w:sz="2" w:space="0"/>
              <w:bottom w:val="single" w:color="auto" w:sz="2" w:space="0"/>
              <w:right w:val="single" w:color="auto" w:sz="2" w:space="0"/>
            </w:tcBorders>
            <w:vAlign w:val="center"/>
          </w:tcPr>
          <w:p w14:paraId="450B5D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920,076.19</w:t>
            </w:r>
          </w:p>
        </w:tc>
      </w:tr>
      <w:tr w14:paraId="5C6E46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6EB000">
            <w:pPr>
              <w:spacing w:before="40" w:after="40" w:line="240" w:lineRule="exact"/>
              <w:ind w:firstLine="1260" w:firstLineChars="7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0882F6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6,081,568.97</w:t>
            </w:r>
          </w:p>
        </w:tc>
        <w:tc>
          <w:tcPr>
            <w:tcW w:w="3213" w:type="dxa"/>
            <w:tcBorders>
              <w:top w:val="single" w:color="auto" w:sz="2" w:space="0"/>
              <w:left w:val="single" w:color="auto" w:sz="2" w:space="0"/>
              <w:bottom w:val="single" w:color="auto" w:sz="2" w:space="0"/>
              <w:right w:val="single" w:color="auto" w:sz="2" w:space="0"/>
            </w:tcBorders>
            <w:vAlign w:val="center"/>
          </w:tcPr>
          <w:p w14:paraId="487213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9,859,587.29</w:t>
            </w:r>
          </w:p>
        </w:tc>
      </w:tr>
      <w:tr w14:paraId="7A9920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6309D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58D31A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71,227.79</w:t>
            </w:r>
          </w:p>
        </w:tc>
        <w:tc>
          <w:tcPr>
            <w:tcW w:w="3213" w:type="dxa"/>
            <w:tcBorders>
              <w:top w:val="single" w:color="auto" w:sz="2" w:space="0"/>
              <w:left w:val="single" w:color="auto" w:sz="2" w:space="0"/>
              <w:bottom w:val="single" w:color="auto" w:sz="2" w:space="0"/>
              <w:right w:val="single" w:color="auto" w:sz="2" w:space="0"/>
            </w:tcBorders>
            <w:vAlign w:val="center"/>
          </w:tcPr>
          <w:p w14:paraId="02A560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69,618.17</w:t>
            </w:r>
          </w:p>
        </w:tc>
      </w:tr>
      <w:tr w14:paraId="3A9298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130C45">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D316E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55D112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54EB7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AE87D2">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其中：对联营企业和合营企业的投资收益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2FBE2A7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223350">
            <w:pPr>
              <w:spacing w:line="240" w:lineRule="exact"/>
              <w:jc w:val="right"/>
              <w:rPr>
                <w:rFonts w:ascii="Times New Roman" w:hAnsi="Times New Roman" w:cs="Times New Roman" w:eastAsiaTheme="majorEastAsia"/>
                <w:sz w:val="18"/>
                <w:szCs w:val="18"/>
              </w:rPr>
            </w:pPr>
          </w:p>
        </w:tc>
      </w:tr>
      <w:tr w14:paraId="4518F2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CD6485">
            <w:pPr>
              <w:spacing w:before="40" w:after="40" w:line="240" w:lineRule="exact"/>
              <w:ind w:firstLine="1260" w:firstLineChars="7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以摊余成本计量的金融资产终止确认收益（损失以“-”号填列）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B42DC7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D245536">
            <w:pPr>
              <w:spacing w:line="240" w:lineRule="exact"/>
              <w:jc w:val="right"/>
              <w:rPr>
                <w:rFonts w:ascii="Times New Roman" w:hAnsi="Times New Roman" w:cs="Times New Roman" w:eastAsiaTheme="majorEastAsia"/>
                <w:sz w:val="18"/>
                <w:szCs w:val="18"/>
              </w:rPr>
            </w:pPr>
          </w:p>
        </w:tc>
      </w:tr>
      <w:tr w14:paraId="00C19B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248201">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净敞口套期收益（损失以“－”号填列）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61BD8F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D2BBFAF">
            <w:pPr>
              <w:spacing w:line="240" w:lineRule="exact"/>
              <w:jc w:val="right"/>
              <w:rPr>
                <w:rFonts w:ascii="Times New Roman" w:hAnsi="Times New Roman" w:cs="Times New Roman" w:eastAsiaTheme="majorEastAsia"/>
                <w:sz w:val="18"/>
                <w:szCs w:val="18"/>
              </w:rPr>
            </w:pPr>
          </w:p>
        </w:tc>
      </w:tr>
      <w:tr w14:paraId="15FB5A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40BF2D">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公允价值变动收益（损失以“－”号填列）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FEBFB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3213" w:type="dxa"/>
            <w:tcBorders>
              <w:top w:val="single" w:color="auto" w:sz="2" w:space="0"/>
              <w:left w:val="single" w:color="auto" w:sz="2" w:space="0"/>
              <w:bottom w:val="single" w:color="auto" w:sz="2" w:space="0"/>
              <w:right w:val="single" w:color="auto" w:sz="2" w:space="0"/>
            </w:tcBorders>
            <w:vAlign w:val="center"/>
          </w:tcPr>
          <w:p w14:paraId="468BF8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r>
      <w:tr w14:paraId="75A114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362111">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信用减值损失（损失以“-”号填列）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4703D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-16,677,130.57</w:t>
            </w:r>
          </w:p>
        </w:tc>
        <w:tc>
          <w:tcPr>
            <w:tcW w:w="3213" w:type="dxa"/>
            <w:tcBorders>
              <w:top w:val="single" w:color="auto" w:sz="2" w:space="0"/>
              <w:left w:val="single" w:color="auto" w:sz="2" w:space="0"/>
              <w:bottom w:val="single" w:color="auto" w:sz="2" w:space="0"/>
              <w:right w:val="single" w:color="auto" w:sz="2" w:space="0"/>
            </w:tcBorders>
            <w:vAlign w:val="center"/>
          </w:tcPr>
          <w:p w14:paraId="369957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-21,539,272.90</w:t>
            </w:r>
          </w:p>
        </w:tc>
      </w:tr>
      <w:tr w14:paraId="7AECFE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9916D6">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资产减值损失（损失以“-”号填列）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9B4F6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-816,949.55</w:t>
            </w:r>
          </w:p>
        </w:tc>
        <w:tc>
          <w:tcPr>
            <w:tcW w:w="3213" w:type="dxa"/>
            <w:tcBorders>
              <w:top w:val="single" w:color="auto" w:sz="2" w:space="0"/>
              <w:left w:val="single" w:color="auto" w:sz="2" w:space="0"/>
              <w:bottom w:val="single" w:color="auto" w:sz="2" w:space="0"/>
              <w:right w:val="single" w:color="auto" w:sz="2" w:space="0"/>
            </w:tcBorders>
            <w:vAlign w:val="center"/>
          </w:tcPr>
          <w:p w14:paraId="1F4558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-550,292.28</w:t>
            </w:r>
          </w:p>
        </w:tc>
      </w:tr>
      <w:tr w14:paraId="5DCF4C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E68E35">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资产处置收益（损失以“-”号填列）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FE2AD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99,108.79</w:t>
            </w:r>
          </w:p>
        </w:tc>
        <w:tc>
          <w:tcPr>
            <w:tcW w:w="3213" w:type="dxa"/>
            <w:tcBorders>
              <w:top w:val="single" w:color="auto" w:sz="2" w:space="0"/>
              <w:left w:val="single" w:color="auto" w:sz="2" w:space="0"/>
              <w:bottom w:val="single" w:color="auto" w:sz="2" w:space="0"/>
              <w:right w:val="single" w:color="auto" w:sz="2" w:space="0"/>
            </w:tcBorders>
            <w:vAlign w:val="center"/>
          </w:tcPr>
          <w:p w14:paraId="3E37148A">
            <w:pPr>
              <w:spacing w:line="240" w:lineRule="exact"/>
              <w:jc w:val="right"/>
              <w:rPr>
                <w:rFonts w:ascii="Times New Roman" w:hAnsi="Times New Roman" w:cs="Times New Roman" w:eastAsiaTheme="majorEastAsia"/>
                <w:sz w:val="18"/>
                <w:szCs w:val="18"/>
              </w:rPr>
            </w:pPr>
          </w:p>
        </w:tc>
      </w:tr>
      <w:tr w14:paraId="7B38E5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129EA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二、营业利润（亏损以“－”号填列）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B102B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-38,046,769.99</w:t>
            </w:r>
          </w:p>
        </w:tc>
        <w:tc>
          <w:tcPr>
            <w:tcW w:w="3213" w:type="dxa"/>
            <w:tcBorders>
              <w:top w:val="single" w:color="auto" w:sz="2" w:space="0"/>
              <w:left w:val="single" w:color="auto" w:sz="2" w:space="0"/>
              <w:bottom w:val="single" w:color="auto" w:sz="2" w:space="0"/>
              <w:right w:val="single" w:color="auto" w:sz="2" w:space="0"/>
            </w:tcBorders>
            <w:vAlign w:val="center"/>
          </w:tcPr>
          <w:p w14:paraId="031500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-5,841,272.01</w:t>
            </w:r>
          </w:p>
        </w:tc>
      </w:tr>
      <w:tr w14:paraId="32B5AD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DFCCE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4F8D2B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302,618.67</w:t>
            </w:r>
          </w:p>
        </w:tc>
        <w:tc>
          <w:tcPr>
            <w:tcW w:w="3213" w:type="dxa"/>
            <w:tcBorders>
              <w:top w:val="single" w:color="auto" w:sz="2" w:space="0"/>
              <w:left w:val="single" w:color="auto" w:sz="2" w:space="0"/>
              <w:bottom w:val="single" w:color="auto" w:sz="2" w:space="0"/>
              <w:right w:val="single" w:color="auto" w:sz="2" w:space="0"/>
            </w:tcBorders>
            <w:vAlign w:val="center"/>
          </w:tcPr>
          <w:p w14:paraId="498953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22,567.88</w:t>
            </w:r>
          </w:p>
        </w:tc>
      </w:tr>
      <w:tr w14:paraId="5E7A48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0CA36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减：营业外支出</w:t>
            </w:r>
          </w:p>
        </w:tc>
        <w:tc>
          <w:tcPr>
            <w:tcW w:w="3213" w:type="dxa"/>
            <w:tcBorders>
              <w:top w:val="single" w:color="auto" w:sz="2" w:space="0"/>
              <w:left w:val="single" w:color="auto" w:sz="2" w:space="0"/>
              <w:bottom w:val="single" w:color="auto" w:sz="2" w:space="0"/>
              <w:right w:val="single" w:color="auto" w:sz="2" w:space="0"/>
            </w:tcBorders>
            <w:vAlign w:val="center"/>
          </w:tcPr>
          <w:p w14:paraId="7D9072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1,128,808.46</w:t>
            </w:r>
          </w:p>
        </w:tc>
        <w:tc>
          <w:tcPr>
            <w:tcW w:w="3213" w:type="dxa"/>
            <w:tcBorders>
              <w:top w:val="single" w:color="auto" w:sz="2" w:space="0"/>
              <w:left w:val="single" w:color="auto" w:sz="2" w:space="0"/>
              <w:bottom w:val="single" w:color="auto" w:sz="2" w:space="0"/>
              <w:right w:val="single" w:color="auto" w:sz="2" w:space="0"/>
            </w:tcBorders>
            <w:vAlign w:val="center"/>
          </w:tcPr>
          <w:p w14:paraId="4955FE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184,218.37</w:t>
            </w:r>
          </w:p>
        </w:tc>
      </w:tr>
      <w:tr w14:paraId="30C3C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C94DE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三、利润总额（亏损总额以“－”号填列）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3FC77C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-38,872,959.78</w:t>
            </w:r>
          </w:p>
        </w:tc>
        <w:tc>
          <w:tcPr>
            <w:tcW w:w="3213" w:type="dxa"/>
            <w:tcBorders>
              <w:top w:val="single" w:color="auto" w:sz="2" w:space="0"/>
              <w:left w:val="single" w:color="auto" w:sz="2" w:space="0"/>
              <w:bottom w:val="single" w:color="auto" w:sz="2" w:space="0"/>
              <w:right w:val="single" w:color="auto" w:sz="2" w:space="0"/>
            </w:tcBorders>
            <w:vAlign w:val="center"/>
          </w:tcPr>
          <w:p w14:paraId="2F4B89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-6,002,922.50</w:t>
            </w:r>
          </w:p>
        </w:tc>
      </w:tr>
      <w:tr w14:paraId="6B008F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0EA17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5CCC20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-6,449,304.90</w:t>
            </w:r>
          </w:p>
        </w:tc>
        <w:tc>
          <w:tcPr>
            <w:tcW w:w="3213" w:type="dxa"/>
            <w:tcBorders>
              <w:top w:val="single" w:color="auto" w:sz="2" w:space="0"/>
              <w:left w:val="single" w:color="auto" w:sz="2" w:space="0"/>
              <w:bottom w:val="single" w:color="auto" w:sz="2" w:space="0"/>
              <w:right w:val="single" w:color="auto" w:sz="2" w:space="0"/>
            </w:tcBorders>
            <w:vAlign w:val="center"/>
          </w:tcPr>
          <w:p w14:paraId="2FC57A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-1,808,164.95</w:t>
            </w:r>
          </w:p>
        </w:tc>
      </w:tr>
      <w:tr w14:paraId="112D5C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D42B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E1F24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-32,423,654.88</w:t>
            </w:r>
          </w:p>
        </w:tc>
        <w:tc>
          <w:tcPr>
            <w:tcW w:w="3213" w:type="dxa"/>
            <w:tcBorders>
              <w:top w:val="single" w:color="auto" w:sz="2" w:space="0"/>
              <w:left w:val="single" w:color="auto" w:sz="2" w:space="0"/>
              <w:bottom w:val="single" w:color="auto" w:sz="2" w:space="0"/>
              <w:right w:val="single" w:color="auto" w:sz="2" w:space="0"/>
            </w:tcBorders>
            <w:vAlign w:val="center"/>
          </w:tcPr>
          <w:p w14:paraId="6CA151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-4,194,757.55</w:t>
            </w:r>
          </w:p>
        </w:tc>
      </w:tr>
      <w:tr w14:paraId="1BF2F6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16C04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（一）持续经营净利润（净亏损以“－”号填列）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AFC09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-32,423,654.88</w:t>
            </w:r>
          </w:p>
        </w:tc>
        <w:tc>
          <w:tcPr>
            <w:tcW w:w="3213" w:type="dxa"/>
            <w:tcBorders>
              <w:top w:val="single" w:color="auto" w:sz="2" w:space="0"/>
              <w:left w:val="single" w:color="auto" w:sz="2" w:space="0"/>
              <w:bottom w:val="single" w:color="auto" w:sz="2" w:space="0"/>
              <w:right w:val="single" w:color="auto" w:sz="2" w:space="0"/>
            </w:tcBorders>
            <w:vAlign w:val="center"/>
          </w:tcPr>
          <w:p w14:paraId="052CE0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-4,194,757.55</w:t>
            </w:r>
          </w:p>
        </w:tc>
      </w:tr>
      <w:tr w14:paraId="72F4DE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45678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（二）终止经营净利润（净亏损以“－”号填列）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5CCA750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E4A070">
            <w:pPr>
              <w:spacing w:line="240" w:lineRule="exact"/>
              <w:jc w:val="right"/>
              <w:rPr>
                <w:rFonts w:ascii="Times New Roman" w:hAnsi="Times New Roman" w:cs="Times New Roman" w:eastAsiaTheme="majorEastAsia"/>
                <w:sz w:val="18"/>
                <w:szCs w:val="18"/>
              </w:rPr>
            </w:pPr>
          </w:p>
        </w:tc>
      </w:tr>
      <w:tr w14:paraId="25DA34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940A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五、其他综合收益的税后净额</w:t>
            </w:r>
          </w:p>
        </w:tc>
        <w:tc>
          <w:tcPr>
            <w:tcW w:w="3213" w:type="dxa"/>
            <w:tcBorders>
              <w:top w:val="single" w:color="auto" w:sz="2" w:space="0"/>
              <w:left w:val="single" w:color="auto" w:sz="2" w:space="0"/>
              <w:bottom w:val="single" w:color="auto" w:sz="2" w:space="0"/>
              <w:right w:val="single" w:color="auto" w:sz="2" w:space="0"/>
            </w:tcBorders>
            <w:vAlign w:val="center"/>
          </w:tcPr>
          <w:p w14:paraId="35DE1D7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EC9A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-779,110.00</w:t>
            </w:r>
          </w:p>
        </w:tc>
      </w:tr>
      <w:tr w14:paraId="42D0A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9E6E0D">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（一）不能重分类进损益的其他综合收益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87F86E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F5D2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-779,110.00</w:t>
            </w:r>
          </w:p>
        </w:tc>
      </w:tr>
      <w:tr w14:paraId="5DEC78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909C90">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1.重新计量设定受益计划变动额</w:t>
            </w:r>
          </w:p>
        </w:tc>
        <w:tc>
          <w:tcPr>
            <w:tcW w:w="3213" w:type="dxa"/>
            <w:tcBorders>
              <w:top w:val="single" w:color="auto" w:sz="2" w:space="0"/>
              <w:left w:val="single" w:color="auto" w:sz="2" w:space="0"/>
              <w:bottom w:val="single" w:color="auto" w:sz="2" w:space="0"/>
              <w:right w:val="single" w:color="auto" w:sz="2" w:space="0"/>
            </w:tcBorders>
            <w:vAlign w:val="center"/>
          </w:tcPr>
          <w:p w14:paraId="0CDAF4C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080206">
            <w:pPr>
              <w:spacing w:line="240" w:lineRule="exact"/>
              <w:jc w:val="right"/>
              <w:rPr>
                <w:rFonts w:ascii="Times New Roman" w:hAnsi="Times New Roman" w:cs="Times New Roman" w:eastAsiaTheme="majorEastAsia"/>
                <w:sz w:val="18"/>
                <w:szCs w:val="18"/>
              </w:rPr>
            </w:pPr>
          </w:p>
        </w:tc>
      </w:tr>
      <w:tr w14:paraId="6292D2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9B56B8">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2.权益法下不能转损益的其他综合收益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2261B72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68B2B8">
            <w:pPr>
              <w:spacing w:line="240" w:lineRule="exact"/>
              <w:jc w:val="right"/>
              <w:rPr>
                <w:rFonts w:ascii="Times New Roman" w:hAnsi="Times New Roman" w:cs="Times New Roman" w:eastAsiaTheme="majorEastAsia"/>
                <w:sz w:val="18"/>
                <w:szCs w:val="18"/>
              </w:rPr>
            </w:pPr>
          </w:p>
        </w:tc>
      </w:tr>
      <w:tr w14:paraId="57F3C1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FF3EDA">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3.其他权益工具投资公允价值变动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145CEA2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3DDA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-779,110.00</w:t>
            </w:r>
          </w:p>
        </w:tc>
      </w:tr>
      <w:tr w14:paraId="5FDF61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DA2D12">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4.企业自身信用风险公允价值变动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22E1B99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CD9E80">
            <w:pPr>
              <w:spacing w:line="240" w:lineRule="exact"/>
              <w:jc w:val="right"/>
              <w:rPr>
                <w:rFonts w:ascii="Times New Roman" w:hAnsi="Times New Roman" w:cs="Times New Roman" w:eastAsiaTheme="majorEastAsia"/>
                <w:sz w:val="18"/>
                <w:szCs w:val="18"/>
              </w:rPr>
            </w:pPr>
          </w:p>
        </w:tc>
      </w:tr>
      <w:tr w14:paraId="06B624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D00CC9">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w:t>
            </w:r>
          </w:p>
        </w:tc>
        <w:tc>
          <w:tcPr>
            <w:tcW w:w="3213" w:type="dxa"/>
            <w:tcBorders>
              <w:top w:val="single" w:color="auto" w:sz="2" w:space="0"/>
              <w:left w:val="single" w:color="auto" w:sz="2" w:space="0"/>
              <w:bottom w:val="single" w:color="auto" w:sz="2" w:space="0"/>
              <w:right w:val="single" w:color="auto" w:sz="2" w:space="0"/>
            </w:tcBorders>
            <w:vAlign w:val="center"/>
          </w:tcPr>
          <w:p w14:paraId="142785E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9E3E69F">
            <w:pPr>
              <w:spacing w:line="240" w:lineRule="exact"/>
              <w:jc w:val="right"/>
              <w:rPr>
                <w:rFonts w:ascii="Times New Roman" w:hAnsi="Times New Roman" w:cs="Times New Roman" w:eastAsiaTheme="majorEastAsia"/>
                <w:sz w:val="18"/>
                <w:szCs w:val="18"/>
              </w:rPr>
            </w:pPr>
          </w:p>
        </w:tc>
      </w:tr>
      <w:tr w14:paraId="77F5F7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2DAEA2">
            <w:pPr>
              <w:spacing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（二）将重分类进损益的其他综合收益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6BA65B9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A83883B">
            <w:pPr>
              <w:spacing w:line="240" w:lineRule="exact"/>
              <w:jc w:val="right"/>
              <w:rPr>
                <w:rFonts w:ascii="Times New Roman" w:hAnsi="Times New Roman" w:cs="Times New Roman" w:eastAsiaTheme="majorEastAsia"/>
                <w:sz w:val="18"/>
                <w:szCs w:val="18"/>
              </w:rPr>
            </w:pPr>
          </w:p>
        </w:tc>
      </w:tr>
      <w:tr w14:paraId="5C4B6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3A93A3">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1.权益法下可转损益的其他综合收益</w:t>
            </w:r>
          </w:p>
        </w:tc>
        <w:tc>
          <w:tcPr>
            <w:tcW w:w="3213" w:type="dxa"/>
            <w:tcBorders>
              <w:top w:val="single" w:color="auto" w:sz="2" w:space="0"/>
              <w:left w:val="single" w:color="auto" w:sz="2" w:space="0"/>
              <w:bottom w:val="single" w:color="auto" w:sz="2" w:space="0"/>
              <w:right w:val="single" w:color="auto" w:sz="2" w:space="0"/>
            </w:tcBorders>
            <w:vAlign w:val="center"/>
          </w:tcPr>
          <w:p w14:paraId="1AEA3EE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BEC6C3">
            <w:pPr>
              <w:spacing w:line="240" w:lineRule="exact"/>
              <w:jc w:val="right"/>
              <w:rPr>
                <w:rFonts w:ascii="Times New Roman" w:hAnsi="Times New Roman" w:cs="Times New Roman" w:eastAsiaTheme="majorEastAsia"/>
                <w:sz w:val="18"/>
                <w:szCs w:val="18"/>
              </w:rPr>
            </w:pPr>
          </w:p>
        </w:tc>
      </w:tr>
      <w:tr w14:paraId="21BD70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BD6FFB">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2.其他债权投资公允价值变动</w:t>
            </w:r>
          </w:p>
        </w:tc>
        <w:tc>
          <w:tcPr>
            <w:tcW w:w="3213" w:type="dxa"/>
            <w:tcBorders>
              <w:top w:val="single" w:color="auto" w:sz="2" w:space="0"/>
              <w:left w:val="single" w:color="auto" w:sz="2" w:space="0"/>
              <w:bottom w:val="single" w:color="auto" w:sz="2" w:space="0"/>
              <w:right w:val="single" w:color="auto" w:sz="2" w:space="0"/>
            </w:tcBorders>
            <w:vAlign w:val="center"/>
          </w:tcPr>
          <w:p w14:paraId="32B8977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81CE413">
            <w:pPr>
              <w:spacing w:line="240" w:lineRule="exact"/>
              <w:jc w:val="right"/>
              <w:rPr>
                <w:rFonts w:ascii="Times New Roman" w:hAnsi="Times New Roman" w:cs="Times New Roman" w:eastAsiaTheme="majorEastAsia"/>
                <w:sz w:val="18"/>
                <w:szCs w:val="18"/>
              </w:rPr>
            </w:pPr>
          </w:p>
        </w:tc>
      </w:tr>
      <w:tr w14:paraId="22FB0E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C3A5B5">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3.金融资产重分类计入其他综合收益的金额</w:t>
            </w:r>
          </w:p>
        </w:tc>
        <w:tc>
          <w:tcPr>
            <w:tcW w:w="3213" w:type="dxa"/>
            <w:tcBorders>
              <w:top w:val="single" w:color="auto" w:sz="2" w:space="0"/>
              <w:left w:val="single" w:color="auto" w:sz="2" w:space="0"/>
              <w:bottom w:val="single" w:color="auto" w:sz="2" w:space="0"/>
              <w:right w:val="single" w:color="auto" w:sz="2" w:space="0"/>
            </w:tcBorders>
            <w:vAlign w:val="center"/>
          </w:tcPr>
          <w:p w14:paraId="2FDBCCC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B44F4EE">
            <w:pPr>
              <w:spacing w:line="240" w:lineRule="exact"/>
              <w:jc w:val="right"/>
              <w:rPr>
                <w:rFonts w:ascii="Times New Roman" w:hAnsi="Times New Roman" w:cs="Times New Roman" w:eastAsiaTheme="majorEastAsia"/>
                <w:sz w:val="18"/>
                <w:szCs w:val="18"/>
              </w:rPr>
            </w:pPr>
          </w:p>
        </w:tc>
      </w:tr>
      <w:tr w14:paraId="03A240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F7D5D9">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4.其他债权投资信用减值准备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26A9CC6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B4BA314">
            <w:pPr>
              <w:spacing w:line="240" w:lineRule="exact"/>
              <w:jc w:val="right"/>
              <w:rPr>
                <w:rFonts w:ascii="Times New Roman" w:hAnsi="Times New Roman" w:cs="Times New Roman" w:eastAsiaTheme="majorEastAsia"/>
                <w:sz w:val="18"/>
                <w:szCs w:val="18"/>
              </w:rPr>
            </w:pPr>
          </w:p>
        </w:tc>
      </w:tr>
      <w:tr w14:paraId="2C88C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7CD392">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5.现金流量套期储备</w:t>
            </w:r>
          </w:p>
        </w:tc>
        <w:tc>
          <w:tcPr>
            <w:tcW w:w="3213" w:type="dxa"/>
            <w:tcBorders>
              <w:top w:val="single" w:color="auto" w:sz="2" w:space="0"/>
              <w:left w:val="single" w:color="auto" w:sz="2" w:space="0"/>
              <w:bottom w:val="single" w:color="auto" w:sz="2" w:space="0"/>
              <w:right w:val="single" w:color="auto" w:sz="2" w:space="0"/>
            </w:tcBorders>
            <w:vAlign w:val="center"/>
          </w:tcPr>
          <w:p w14:paraId="5029CAF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5051B43">
            <w:pPr>
              <w:spacing w:line="240" w:lineRule="exact"/>
              <w:jc w:val="right"/>
              <w:rPr>
                <w:rFonts w:ascii="Times New Roman" w:hAnsi="Times New Roman" w:cs="Times New Roman" w:eastAsiaTheme="majorEastAsia"/>
                <w:sz w:val="18"/>
                <w:szCs w:val="18"/>
              </w:rPr>
            </w:pPr>
          </w:p>
        </w:tc>
      </w:tr>
      <w:tr w14:paraId="4EB51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9A343A">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6.外币财务报表折算差额</w:t>
            </w:r>
          </w:p>
        </w:tc>
        <w:tc>
          <w:tcPr>
            <w:tcW w:w="3213" w:type="dxa"/>
            <w:tcBorders>
              <w:top w:val="single" w:color="auto" w:sz="2" w:space="0"/>
              <w:left w:val="single" w:color="auto" w:sz="2" w:space="0"/>
              <w:bottom w:val="single" w:color="auto" w:sz="2" w:space="0"/>
              <w:right w:val="single" w:color="auto" w:sz="2" w:space="0"/>
            </w:tcBorders>
            <w:vAlign w:val="center"/>
          </w:tcPr>
          <w:p w14:paraId="4FBC680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FDD13BE">
            <w:pPr>
              <w:spacing w:line="240" w:lineRule="exact"/>
              <w:jc w:val="right"/>
              <w:rPr>
                <w:rFonts w:ascii="Times New Roman" w:hAnsi="Times New Roman" w:cs="Times New Roman" w:eastAsiaTheme="majorEastAsia"/>
                <w:sz w:val="18"/>
                <w:szCs w:val="18"/>
              </w:rPr>
            </w:pPr>
          </w:p>
        </w:tc>
      </w:tr>
      <w:tr w14:paraId="46D32A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04BE132">
            <w:pPr>
              <w:spacing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7.其他</w:t>
            </w:r>
          </w:p>
        </w:tc>
        <w:tc>
          <w:tcPr>
            <w:tcW w:w="3213" w:type="dxa"/>
            <w:tcBorders>
              <w:top w:val="single" w:color="auto" w:sz="2" w:space="0"/>
              <w:left w:val="single" w:color="auto" w:sz="2" w:space="0"/>
              <w:bottom w:val="single" w:color="auto" w:sz="2" w:space="0"/>
              <w:right w:val="single" w:color="auto" w:sz="2" w:space="0"/>
            </w:tcBorders>
            <w:vAlign w:val="center"/>
          </w:tcPr>
          <w:p w14:paraId="7847705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3CA7B5">
            <w:pPr>
              <w:spacing w:line="240" w:lineRule="exact"/>
              <w:jc w:val="right"/>
              <w:rPr>
                <w:rFonts w:ascii="Times New Roman" w:hAnsi="Times New Roman" w:cs="Times New Roman" w:eastAsiaTheme="majorEastAsia"/>
                <w:sz w:val="18"/>
                <w:szCs w:val="18"/>
              </w:rPr>
            </w:pPr>
          </w:p>
        </w:tc>
      </w:tr>
      <w:tr w14:paraId="5ED55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C82A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六、综合收益总额</w:t>
            </w:r>
          </w:p>
        </w:tc>
        <w:tc>
          <w:tcPr>
            <w:tcW w:w="3213" w:type="dxa"/>
            <w:tcBorders>
              <w:top w:val="single" w:color="auto" w:sz="2" w:space="0"/>
              <w:left w:val="single" w:color="auto" w:sz="2" w:space="0"/>
              <w:bottom w:val="single" w:color="auto" w:sz="2" w:space="0"/>
              <w:right w:val="single" w:color="auto" w:sz="2" w:space="0"/>
            </w:tcBorders>
            <w:vAlign w:val="center"/>
          </w:tcPr>
          <w:p w14:paraId="29F4F7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-32,423,654.88</w:t>
            </w:r>
          </w:p>
        </w:tc>
        <w:tc>
          <w:tcPr>
            <w:tcW w:w="3213" w:type="dxa"/>
            <w:tcBorders>
              <w:top w:val="single" w:color="auto" w:sz="2" w:space="0"/>
              <w:left w:val="single" w:color="auto" w:sz="2" w:space="0"/>
              <w:bottom w:val="single" w:color="auto" w:sz="2" w:space="0"/>
              <w:right w:val="single" w:color="auto" w:sz="2" w:space="0"/>
            </w:tcBorders>
            <w:vAlign w:val="center"/>
          </w:tcPr>
          <w:p w14:paraId="754C8D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-4,973,867.55</w:t>
            </w:r>
          </w:p>
        </w:tc>
      </w:tr>
      <w:tr w14:paraId="671330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A7B9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七、每股收益：</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805316">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BE7D37">
            <w:pPr>
              <w:rPr>
                <w:rFonts w:ascii="Times New Roman" w:hAnsi="Times New Roman" w:cs="Times New Roman" w:eastAsiaTheme="majorEastAsia"/>
              </w:rPr>
            </w:pPr>
          </w:p>
        </w:tc>
      </w:tr>
      <w:tr w14:paraId="70D554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57201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（一）基本每股收益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4537B2B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D03FFAB">
            <w:pPr>
              <w:spacing w:line="240" w:lineRule="exact"/>
              <w:jc w:val="right"/>
              <w:rPr>
                <w:rFonts w:ascii="Times New Roman" w:hAnsi="Times New Roman" w:cs="Times New Roman" w:eastAsiaTheme="majorEastAsia"/>
                <w:sz w:val="18"/>
                <w:szCs w:val="18"/>
              </w:rPr>
            </w:pPr>
          </w:p>
        </w:tc>
      </w:tr>
      <w:tr w14:paraId="600ADB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566A0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（二）稀释每股收益</w:t>
            </w:r>
          </w:p>
        </w:tc>
        <w:tc>
          <w:tcPr>
            <w:tcW w:w="3213" w:type="dxa"/>
            <w:tcBorders>
              <w:top w:val="single" w:color="auto" w:sz="2" w:space="0"/>
              <w:left w:val="single" w:color="auto" w:sz="2" w:space="0"/>
              <w:bottom w:val="single" w:color="auto" w:sz="2" w:space="0"/>
              <w:right w:val="single" w:color="auto" w:sz="2" w:space="0"/>
            </w:tcBorders>
            <w:vAlign w:val="center"/>
          </w:tcPr>
          <w:p w14:paraId="3A8B3B3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1565D1">
            <w:pPr>
              <w:spacing w:line="240" w:lineRule="exact"/>
              <w:jc w:val="right"/>
              <w:rPr>
                <w:rFonts w:ascii="Times New Roman" w:hAnsi="Times New Roman" w:cs="Times New Roman" w:eastAsiaTheme="majorEastAsia"/>
                <w:sz w:val="18"/>
                <w:szCs w:val="18"/>
              </w:rPr>
            </w:pPr>
          </w:p>
        </w:tc>
      </w:tr>
    </w:tbl>
    <w:p w14:paraId="40E7CD86">
      <w:pPr>
        <w:spacing w:before="312" w:beforeLines="100" w:after="312" w:afterLines="100" w:line="240" w:lineRule="exact"/>
        <w:rPr>
          <w:rFonts w:ascii="Times New Roman" w:hAnsi="Times New Roman" w:cs="Times New Roman" w:eastAsiaTheme="majorEastAsia"/>
          <w:sz w:val="18"/>
          <w:szCs w:val="18"/>
        </w:rPr>
      </w:pPr>
      <w:bookmarkStart w:id="158" w:name="_Toc989047"/>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66C56E00">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5、合并现金流量表</w:t>
      </w:r>
      <w:bookmarkEnd w:id="158"/>
    </w:p>
    <w:p w14:paraId="2F31A57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09E5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E795D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56D64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4E9E8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04C0F5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31D9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F1017B">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2CA4E1">
            <w:pPr>
              <w:rPr>
                <w:rFonts w:ascii="Times New Roman" w:hAnsi="Times New Roman" w:cs="Times New Roman" w:eastAsiaTheme="majorEastAsia"/>
              </w:rPr>
            </w:pPr>
          </w:p>
        </w:tc>
      </w:tr>
      <w:tr w14:paraId="1B8C43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502EF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52F85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315,002,818.58</w:t>
            </w:r>
          </w:p>
        </w:tc>
        <w:tc>
          <w:tcPr>
            <w:tcW w:w="3213" w:type="dxa"/>
            <w:tcBorders>
              <w:top w:val="single" w:color="auto" w:sz="2" w:space="0"/>
              <w:left w:val="single" w:color="auto" w:sz="2" w:space="0"/>
              <w:bottom w:val="single" w:color="auto" w:sz="2" w:space="0"/>
              <w:right w:val="single" w:color="auto" w:sz="2" w:space="0"/>
            </w:tcBorders>
            <w:vAlign w:val="center"/>
          </w:tcPr>
          <w:p w14:paraId="003D9A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465,688,521.30</w:t>
            </w:r>
          </w:p>
        </w:tc>
      </w:tr>
      <w:tr w14:paraId="0814EB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C0CEA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客户存款和同业存放款项净增加额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C1AF27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D8E456">
            <w:pPr>
              <w:spacing w:line="240" w:lineRule="exact"/>
              <w:jc w:val="right"/>
              <w:rPr>
                <w:rFonts w:ascii="Times New Roman" w:hAnsi="Times New Roman" w:cs="Times New Roman" w:eastAsiaTheme="majorEastAsia"/>
                <w:sz w:val="18"/>
                <w:szCs w:val="18"/>
              </w:rPr>
            </w:pPr>
          </w:p>
        </w:tc>
      </w:tr>
      <w:tr w14:paraId="646E09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CF7A66">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向中央银行借款净增加额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7FCA75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0796CA">
            <w:pPr>
              <w:spacing w:line="240" w:lineRule="exact"/>
              <w:jc w:val="right"/>
              <w:rPr>
                <w:rFonts w:ascii="Times New Roman" w:hAnsi="Times New Roman" w:cs="Times New Roman" w:eastAsiaTheme="majorEastAsia"/>
                <w:sz w:val="18"/>
                <w:szCs w:val="18"/>
              </w:rPr>
            </w:pPr>
          </w:p>
        </w:tc>
      </w:tr>
      <w:tr w14:paraId="77478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0CBE9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向其他金融机构拆入资金净增加额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3E2F7F8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36348E">
            <w:pPr>
              <w:spacing w:line="240" w:lineRule="exact"/>
              <w:jc w:val="right"/>
              <w:rPr>
                <w:rFonts w:ascii="Times New Roman" w:hAnsi="Times New Roman" w:cs="Times New Roman" w:eastAsiaTheme="majorEastAsia"/>
                <w:sz w:val="18"/>
                <w:szCs w:val="18"/>
              </w:rPr>
            </w:pPr>
          </w:p>
        </w:tc>
      </w:tr>
      <w:tr w14:paraId="7DACC6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F9479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收到原保险合同保费取得的现金</w:t>
            </w:r>
          </w:p>
        </w:tc>
        <w:tc>
          <w:tcPr>
            <w:tcW w:w="3213" w:type="dxa"/>
            <w:tcBorders>
              <w:top w:val="single" w:color="auto" w:sz="2" w:space="0"/>
              <w:left w:val="single" w:color="auto" w:sz="2" w:space="0"/>
              <w:bottom w:val="single" w:color="auto" w:sz="2" w:space="0"/>
              <w:right w:val="single" w:color="auto" w:sz="2" w:space="0"/>
            </w:tcBorders>
            <w:vAlign w:val="center"/>
          </w:tcPr>
          <w:p w14:paraId="6E1AFA5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6ABCEA">
            <w:pPr>
              <w:spacing w:line="240" w:lineRule="exact"/>
              <w:jc w:val="right"/>
              <w:rPr>
                <w:rFonts w:ascii="Times New Roman" w:hAnsi="Times New Roman" w:cs="Times New Roman" w:eastAsiaTheme="majorEastAsia"/>
                <w:sz w:val="18"/>
                <w:szCs w:val="18"/>
              </w:rPr>
            </w:pPr>
          </w:p>
        </w:tc>
      </w:tr>
      <w:tr w14:paraId="37567C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07061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收到再保业务现金净额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239A481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A51A1D">
            <w:pPr>
              <w:spacing w:line="240" w:lineRule="exact"/>
              <w:jc w:val="right"/>
              <w:rPr>
                <w:rFonts w:ascii="Times New Roman" w:hAnsi="Times New Roman" w:cs="Times New Roman" w:eastAsiaTheme="majorEastAsia"/>
                <w:sz w:val="18"/>
                <w:szCs w:val="18"/>
              </w:rPr>
            </w:pPr>
          </w:p>
        </w:tc>
      </w:tr>
      <w:tr w14:paraId="07C7B5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916F1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保户储金及投资款净增加额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6DD0F441">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A6E42B9">
            <w:pPr>
              <w:spacing w:line="240" w:lineRule="exact"/>
              <w:jc w:val="right"/>
              <w:rPr>
                <w:rFonts w:ascii="Times New Roman" w:hAnsi="Times New Roman" w:cs="Times New Roman" w:eastAsiaTheme="majorEastAsia"/>
                <w:sz w:val="18"/>
                <w:szCs w:val="18"/>
              </w:rPr>
            </w:pPr>
          </w:p>
        </w:tc>
      </w:tr>
      <w:tr w14:paraId="137FB4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06E590">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收取利息、手续费及佣金的现金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196649D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67CF1FD">
            <w:pPr>
              <w:spacing w:line="240" w:lineRule="exact"/>
              <w:jc w:val="right"/>
              <w:rPr>
                <w:rFonts w:ascii="Times New Roman" w:hAnsi="Times New Roman" w:cs="Times New Roman" w:eastAsiaTheme="majorEastAsia"/>
                <w:sz w:val="18"/>
                <w:szCs w:val="18"/>
              </w:rPr>
            </w:pPr>
          </w:p>
        </w:tc>
      </w:tr>
      <w:tr w14:paraId="49DB0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A71F1E">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拆入资金净增加额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02C28A3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23B028A">
            <w:pPr>
              <w:spacing w:line="240" w:lineRule="exact"/>
              <w:jc w:val="right"/>
              <w:rPr>
                <w:rFonts w:ascii="Times New Roman" w:hAnsi="Times New Roman" w:cs="Times New Roman" w:eastAsiaTheme="majorEastAsia"/>
                <w:sz w:val="18"/>
                <w:szCs w:val="18"/>
              </w:rPr>
            </w:pPr>
          </w:p>
        </w:tc>
      </w:tr>
      <w:tr w14:paraId="5002BF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4624D2">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回购业务资金净增加额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72C6FEF5">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00574C">
            <w:pPr>
              <w:spacing w:line="240" w:lineRule="exact"/>
              <w:jc w:val="right"/>
              <w:rPr>
                <w:rFonts w:ascii="Times New Roman" w:hAnsi="Times New Roman" w:cs="Times New Roman" w:eastAsiaTheme="majorEastAsia"/>
                <w:sz w:val="18"/>
                <w:szCs w:val="18"/>
              </w:rPr>
            </w:pPr>
          </w:p>
        </w:tc>
      </w:tr>
      <w:tr w14:paraId="6B8625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0CE86E">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代理买卖证券收到的现金净额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429B35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C671B2F">
            <w:pPr>
              <w:spacing w:line="240" w:lineRule="exact"/>
              <w:jc w:val="right"/>
              <w:rPr>
                <w:rFonts w:ascii="Times New Roman" w:hAnsi="Times New Roman" w:cs="Times New Roman" w:eastAsiaTheme="majorEastAsia"/>
                <w:sz w:val="18"/>
                <w:szCs w:val="18"/>
              </w:rPr>
            </w:pPr>
          </w:p>
        </w:tc>
      </w:tr>
      <w:tr w14:paraId="6FCC95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98A3E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571472D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019CE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21,238.93</w:t>
            </w:r>
          </w:p>
        </w:tc>
      </w:tr>
      <w:tr w14:paraId="7D9BE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04C46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1BE017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9,191,205.34</w:t>
            </w:r>
          </w:p>
        </w:tc>
        <w:tc>
          <w:tcPr>
            <w:tcW w:w="3213" w:type="dxa"/>
            <w:tcBorders>
              <w:top w:val="single" w:color="auto" w:sz="2" w:space="0"/>
              <w:left w:val="single" w:color="auto" w:sz="2" w:space="0"/>
              <w:bottom w:val="single" w:color="auto" w:sz="2" w:space="0"/>
              <w:right w:val="single" w:color="auto" w:sz="2" w:space="0"/>
            </w:tcBorders>
            <w:vAlign w:val="center"/>
          </w:tcPr>
          <w:p w14:paraId="7DE51E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8,177,548.36</w:t>
            </w:r>
          </w:p>
        </w:tc>
      </w:tr>
      <w:tr w14:paraId="78AE7E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9DC8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024137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324,194,023.92</w:t>
            </w:r>
          </w:p>
        </w:tc>
        <w:tc>
          <w:tcPr>
            <w:tcW w:w="3213" w:type="dxa"/>
            <w:tcBorders>
              <w:top w:val="single" w:color="auto" w:sz="2" w:space="0"/>
              <w:left w:val="single" w:color="auto" w:sz="2" w:space="0"/>
              <w:bottom w:val="single" w:color="auto" w:sz="2" w:space="0"/>
              <w:right w:val="single" w:color="auto" w:sz="2" w:space="0"/>
            </w:tcBorders>
            <w:vAlign w:val="center"/>
          </w:tcPr>
          <w:p w14:paraId="6067AE5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473,887,308.59</w:t>
            </w:r>
          </w:p>
        </w:tc>
      </w:tr>
      <w:tr w14:paraId="464C3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4EB09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B3398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297,817,852.86</w:t>
            </w:r>
          </w:p>
        </w:tc>
        <w:tc>
          <w:tcPr>
            <w:tcW w:w="3213" w:type="dxa"/>
            <w:tcBorders>
              <w:top w:val="single" w:color="auto" w:sz="2" w:space="0"/>
              <w:left w:val="single" w:color="auto" w:sz="2" w:space="0"/>
              <w:bottom w:val="single" w:color="auto" w:sz="2" w:space="0"/>
              <w:right w:val="single" w:color="auto" w:sz="2" w:space="0"/>
            </w:tcBorders>
            <w:vAlign w:val="center"/>
          </w:tcPr>
          <w:p w14:paraId="5BCD0B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393,125,890.81</w:t>
            </w:r>
          </w:p>
        </w:tc>
      </w:tr>
      <w:tr w14:paraId="390D0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07070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客户贷款及垫款净增加额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8610DE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56A041E">
            <w:pPr>
              <w:spacing w:line="240" w:lineRule="exact"/>
              <w:jc w:val="right"/>
              <w:rPr>
                <w:rFonts w:ascii="Times New Roman" w:hAnsi="Times New Roman" w:cs="Times New Roman" w:eastAsiaTheme="majorEastAsia"/>
                <w:sz w:val="18"/>
                <w:szCs w:val="18"/>
              </w:rPr>
            </w:pPr>
          </w:p>
        </w:tc>
      </w:tr>
      <w:tr w14:paraId="105EF9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ADA5E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存放中央银行和同业款项净增加额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C7ED6C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23DB92D">
            <w:pPr>
              <w:spacing w:line="240" w:lineRule="exact"/>
              <w:jc w:val="right"/>
              <w:rPr>
                <w:rFonts w:ascii="Times New Roman" w:hAnsi="Times New Roman" w:cs="Times New Roman" w:eastAsiaTheme="majorEastAsia"/>
                <w:sz w:val="18"/>
                <w:szCs w:val="18"/>
              </w:rPr>
            </w:pPr>
          </w:p>
        </w:tc>
      </w:tr>
      <w:tr w14:paraId="084AC8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26BA5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支付原保险合同赔付款项的现金</w:t>
            </w:r>
          </w:p>
        </w:tc>
        <w:tc>
          <w:tcPr>
            <w:tcW w:w="3213" w:type="dxa"/>
            <w:tcBorders>
              <w:top w:val="single" w:color="auto" w:sz="2" w:space="0"/>
              <w:left w:val="single" w:color="auto" w:sz="2" w:space="0"/>
              <w:bottom w:val="single" w:color="auto" w:sz="2" w:space="0"/>
              <w:right w:val="single" w:color="auto" w:sz="2" w:space="0"/>
            </w:tcBorders>
            <w:vAlign w:val="center"/>
          </w:tcPr>
          <w:p w14:paraId="6697F9D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F81D800">
            <w:pPr>
              <w:spacing w:line="240" w:lineRule="exact"/>
              <w:jc w:val="right"/>
              <w:rPr>
                <w:rFonts w:ascii="Times New Roman" w:hAnsi="Times New Roman" w:cs="Times New Roman" w:eastAsiaTheme="majorEastAsia"/>
                <w:sz w:val="18"/>
                <w:szCs w:val="18"/>
              </w:rPr>
            </w:pPr>
          </w:p>
        </w:tc>
      </w:tr>
      <w:tr w14:paraId="66BDCB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294E9E">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拆出资金净增加额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CF3BCD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B44285">
            <w:pPr>
              <w:spacing w:line="240" w:lineRule="exact"/>
              <w:jc w:val="right"/>
              <w:rPr>
                <w:rFonts w:ascii="Times New Roman" w:hAnsi="Times New Roman" w:cs="Times New Roman" w:eastAsiaTheme="majorEastAsia"/>
                <w:sz w:val="18"/>
                <w:szCs w:val="18"/>
              </w:rPr>
            </w:pPr>
          </w:p>
        </w:tc>
      </w:tr>
      <w:tr w14:paraId="61AABC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2A53E2">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支付利息、手续费及佣金的现金</w:t>
            </w:r>
          </w:p>
        </w:tc>
        <w:tc>
          <w:tcPr>
            <w:tcW w:w="3213" w:type="dxa"/>
            <w:tcBorders>
              <w:top w:val="single" w:color="auto" w:sz="2" w:space="0"/>
              <w:left w:val="single" w:color="auto" w:sz="2" w:space="0"/>
              <w:bottom w:val="single" w:color="auto" w:sz="2" w:space="0"/>
              <w:right w:val="single" w:color="auto" w:sz="2" w:space="0"/>
            </w:tcBorders>
            <w:vAlign w:val="center"/>
          </w:tcPr>
          <w:p w14:paraId="771CF95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0DFEE1">
            <w:pPr>
              <w:spacing w:line="240" w:lineRule="exact"/>
              <w:jc w:val="right"/>
              <w:rPr>
                <w:rFonts w:ascii="Times New Roman" w:hAnsi="Times New Roman" w:cs="Times New Roman" w:eastAsiaTheme="majorEastAsia"/>
                <w:sz w:val="18"/>
                <w:szCs w:val="18"/>
              </w:rPr>
            </w:pPr>
          </w:p>
        </w:tc>
      </w:tr>
      <w:tr w14:paraId="45FF1E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A6B6FF">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支付保单红利的现金</w:t>
            </w:r>
          </w:p>
        </w:tc>
        <w:tc>
          <w:tcPr>
            <w:tcW w:w="3213" w:type="dxa"/>
            <w:tcBorders>
              <w:top w:val="single" w:color="auto" w:sz="2" w:space="0"/>
              <w:left w:val="single" w:color="auto" w:sz="2" w:space="0"/>
              <w:bottom w:val="single" w:color="auto" w:sz="2" w:space="0"/>
              <w:right w:val="single" w:color="auto" w:sz="2" w:space="0"/>
            </w:tcBorders>
            <w:vAlign w:val="center"/>
          </w:tcPr>
          <w:p w14:paraId="6141343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985EB6D">
            <w:pPr>
              <w:spacing w:line="240" w:lineRule="exact"/>
              <w:jc w:val="right"/>
              <w:rPr>
                <w:rFonts w:ascii="Times New Roman" w:hAnsi="Times New Roman" w:cs="Times New Roman" w:eastAsiaTheme="majorEastAsia"/>
                <w:sz w:val="18"/>
                <w:szCs w:val="18"/>
              </w:rPr>
            </w:pPr>
          </w:p>
        </w:tc>
      </w:tr>
      <w:tr w14:paraId="40F1E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C42FB0">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3EEB86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48,901,247.49</w:t>
            </w:r>
          </w:p>
        </w:tc>
        <w:tc>
          <w:tcPr>
            <w:tcW w:w="3213" w:type="dxa"/>
            <w:tcBorders>
              <w:top w:val="single" w:color="auto" w:sz="2" w:space="0"/>
              <w:left w:val="single" w:color="auto" w:sz="2" w:space="0"/>
              <w:bottom w:val="single" w:color="auto" w:sz="2" w:space="0"/>
              <w:right w:val="single" w:color="auto" w:sz="2" w:space="0"/>
            </w:tcBorders>
            <w:vAlign w:val="center"/>
          </w:tcPr>
          <w:p w14:paraId="0E9497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45,036,874.32</w:t>
            </w:r>
          </w:p>
        </w:tc>
      </w:tr>
      <w:tr w14:paraId="79B9ED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13E5DC">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0A24F0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9,472,268.79</w:t>
            </w:r>
          </w:p>
        </w:tc>
        <w:tc>
          <w:tcPr>
            <w:tcW w:w="3213" w:type="dxa"/>
            <w:tcBorders>
              <w:top w:val="single" w:color="auto" w:sz="2" w:space="0"/>
              <w:left w:val="single" w:color="auto" w:sz="2" w:space="0"/>
              <w:bottom w:val="single" w:color="auto" w:sz="2" w:space="0"/>
              <w:right w:val="single" w:color="auto" w:sz="2" w:space="0"/>
            </w:tcBorders>
            <w:vAlign w:val="center"/>
          </w:tcPr>
          <w:p w14:paraId="5FA9AB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9,973,324.82</w:t>
            </w:r>
          </w:p>
        </w:tc>
      </w:tr>
      <w:tr w14:paraId="6044E1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6C6632">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91543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22,242,159.16</w:t>
            </w:r>
          </w:p>
        </w:tc>
        <w:tc>
          <w:tcPr>
            <w:tcW w:w="3213" w:type="dxa"/>
            <w:tcBorders>
              <w:top w:val="single" w:color="auto" w:sz="2" w:space="0"/>
              <w:left w:val="single" w:color="auto" w:sz="2" w:space="0"/>
              <w:bottom w:val="single" w:color="auto" w:sz="2" w:space="0"/>
              <w:right w:val="single" w:color="auto" w:sz="2" w:space="0"/>
            </w:tcBorders>
            <w:vAlign w:val="center"/>
          </w:tcPr>
          <w:p w14:paraId="3FFF8E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17,370,546.59</w:t>
            </w:r>
          </w:p>
        </w:tc>
      </w:tr>
      <w:tr w14:paraId="5067AA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FF57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7A170A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378,433,528.30</w:t>
            </w:r>
          </w:p>
        </w:tc>
        <w:tc>
          <w:tcPr>
            <w:tcW w:w="3213" w:type="dxa"/>
            <w:tcBorders>
              <w:top w:val="single" w:color="auto" w:sz="2" w:space="0"/>
              <w:left w:val="single" w:color="auto" w:sz="2" w:space="0"/>
              <w:bottom w:val="single" w:color="auto" w:sz="2" w:space="0"/>
              <w:right w:val="single" w:color="auto" w:sz="2" w:space="0"/>
            </w:tcBorders>
            <w:vAlign w:val="center"/>
          </w:tcPr>
          <w:p w14:paraId="4D2B53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465,506,636.54</w:t>
            </w:r>
          </w:p>
        </w:tc>
      </w:tr>
      <w:tr w14:paraId="546359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FD98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324ED8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-54,239,504.38</w:t>
            </w:r>
          </w:p>
        </w:tc>
        <w:tc>
          <w:tcPr>
            <w:tcW w:w="3213" w:type="dxa"/>
            <w:tcBorders>
              <w:top w:val="single" w:color="auto" w:sz="2" w:space="0"/>
              <w:left w:val="single" w:color="auto" w:sz="2" w:space="0"/>
              <w:bottom w:val="single" w:color="auto" w:sz="2" w:space="0"/>
              <w:right w:val="single" w:color="auto" w:sz="2" w:space="0"/>
            </w:tcBorders>
            <w:vAlign w:val="center"/>
          </w:tcPr>
          <w:p w14:paraId="60D3C1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8,380,672.05</w:t>
            </w:r>
          </w:p>
        </w:tc>
      </w:tr>
      <w:tr w14:paraId="7A8AF2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15BF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E170B1">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934DF6">
            <w:pPr>
              <w:rPr>
                <w:rFonts w:ascii="Times New Roman" w:hAnsi="Times New Roman" w:cs="Times New Roman" w:eastAsiaTheme="majorEastAsia"/>
              </w:rPr>
            </w:pPr>
          </w:p>
        </w:tc>
      </w:tr>
      <w:tr w14:paraId="26894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555D6E">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74EC54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210,000,000.00</w:t>
            </w:r>
          </w:p>
        </w:tc>
        <w:tc>
          <w:tcPr>
            <w:tcW w:w="3213" w:type="dxa"/>
            <w:tcBorders>
              <w:top w:val="single" w:color="auto" w:sz="2" w:space="0"/>
              <w:left w:val="single" w:color="auto" w:sz="2" w:space="0"/>
              <w:bottom w:val="single" w:color="auto" w:sz="2" w:space="0"/>
              <w:right w:val="single" w:color="auto" w:sz="2" w:space="0"/>
            </w:tcBorders>
            <w:vAlign w:val="center"/>
          </w:tcPr>
          <w:p w14:paraId="666834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256,000,000.00</w:t>
            </w:r>
          </w:p>
        </w:tc>
      </w:tr>
      <w:tr w14:paraId="73456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7E1188">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88C12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082ECB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3E95A5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0059A0">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53786E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171,580.00</w:t>
            </w:r>
          </w:p>
        </w:tc>
        <w:tc>
          <w:tcPr>
            <w:tcW w:w="3213" w:type="dxa"/>
            <w:tcBorders>
              <w:top w:val="single" w:color="auto" w:sz="2" w:space="0"/>
              <w:left w:val="single" w:color="auto" w:sz="2" w:space="0"/>
              <w:bottom w:val="single" w:color="auto" w:sz="2" w:space="0"/>
              <w:right w:val="single" w:color="auto" w:sz="2" w:space="0"/>
            </w:tcBorders>
            <w:vAlign w:val="center"/>
          </w:tcPr>
          <w:p w14:paraId="68DDFB6C">
            <w:pPr>
              <w:spacing w:line="240" w:lineRule="exact"/>
              <w:jc w:val="right"/>
              <w:rPr>
                <w:rFonts w:ascii="Times New Roman" w:hAnsi="Times New Roman" w:cs="Times New Roman" w:eastAsiaTheme="majorEastAsia"/>
                <w:sz w:val="18"/>
                <w:szCs w:val="18"/>
              </w:rPr>
            </w:pPr>
          </w:p>
        </w:tc>
      </w:tr>
      <w:tr w14:paraId="2D795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0F4628">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17B635E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17A167">
            <w:pPr>
              <w:spacing w:line="240" w:lineRule="exact"/>
              <w:jc w:val="right"/>
              <w:rPr>
                <w:rFonts w:ascii="Times New Roman" w:hAnsi="Times New Roman" w:cs="Times New Roman" w:eastAsiaTheme="majorEastAsia"/>
                <w:sz w:val="18"/>
                <w:szCs w:val="18"/>
              </w:rPr>
            </w:pPr>
          </w:p>
        </w:tc>
      </w:tr>
      <w:tr w14:paraId="14F27F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ACCBE1">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47153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340,216,488.71</w:t>
            </w:r>
          </w:p>
        </w:tc>
        <w:tc>
          <w:tcPr>
            <w:tcW w:w="3213" w:type="dxa"/>
            <w:tcBorders>
              <w:top w:val="single" w:color="auto" w:sz="2" w:space="0"/>
              <w:left w:val="single" w:color="auto" w:sz="2" w:space="0"/>
              <w:bottom w:val="single" w:color="auto" w:sz="2" w:space="0"/>
              <w:right w:val="single" w:color="auto" w:sz="2" w:space="0"/>
            </w:tcBorders>
            <w:vAlign w:val="center"/>
          </w:tcPr>
          <w:p w14:paraId="655FCB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37,993,467.05</w:t>
            </w:r>
          </w:p>
        </w:tc>
      </w:tr>
      <w:tr w14:paraId="1FAFC9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4D1DF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38344D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551,034,534.47</w:t>
            </w:r>
          </w:p>
        </w:tc>
        <w:tc>
          <w:tcPr>
            <w:tcW w:w="3213" w:type="dxa"/>
            <w:tcBorders>
              <w:top w:val="single" w:color="auto" w:sz="2" w:space="0"/>
              <w:left w:val="single" w:color="auto" w:sz="2" w:space="0"/>
              <w:bottom w:val="single" w:color="auto" w:sz="2" w:space="0"/>
              <w:right w:val="single" w:color="auto" w:sz="2" w:space="0"/>
            </w:tcBorders>
            <w:vAlign w:val="center"/>
          </w:tcPr>
          <w:p w14:paraId="55674D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295,577,785.85</w:t>
            </w:r>
          </w:p>
        </w:tc>
      </w:tr>
      <w:tr w14:paraId="4CAF63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74EAF5">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0816BF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183,856,423.25</w:t>
            </w:r>
          </w:p>
        </w:tc>
        <w:tc>
          <w:tcPr>
            <w:tcW w:w="3213" w:type="dxa"/>
            <w:tcBorders>
              <w:top w:val="single" w:color="auto" w:sz="2" w:space="0"/>
              <w:left w:val="single" w:color="auto" w:sz="2" w:space="0"/>
              <w:bottom w:val="single" w:color="auto" w:sz="2" w:space="0"/>
              <w:right w:val="single" w:color="auto" w:sz="2" w:space="0"/>
            </w:tcBorders>
            <w:vAlign w:val="center"/>
          </w:tcPr>
          <w:p w14:paraId="30425C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78,559,473.00</w:t>
            </w:r>
          </w:p>
        </w:tc>
      </w:tr>
      <w:tr w14:paraId="1C91C6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0D3E0F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C1014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193,678,475.00</w:t>
            </w:r>
          </w:p>
        </w:tc>
        <w:tc>
          <w:tcPr>
            <w:tcW w:w="3213" w:type="dxa"/>
            <w:tcBorders>
              <w:top w:val="single" w:color="auto" w:sz="2" w:space="0"/>
              <w:left w:val="single" w:color="auto" w:sz="2" w:space="0"/>
              <w:bottom w:val="single" w:color="auto" w:sz="2" w:space="0"/>
              <w:right w:val="single" w:color="auto" w:sz="2" w:space="0"/>
            </w:tcBorders>
            <w:vAlign w:val="center"/>
          </w:tcPr>
          <w:p w14:paraId="3E6CC7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276,000,000.00</w:t>
            </w:r>
          </w:p>
        </w:tc>
      </w:tr>
      <w:tr w14:paraId="65E61D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87854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质押贷款净增加额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30F218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A8C2E2E">
            <w:pPr>
              <w:spacing w:line="240" w:lineRule="exact"/>
              <w:jc w:val="right"/>
              <w:rPr>
                <w:rFonts w:ascii="Times New Roman" w:hAnsi="Times New Roman" w:cs="Times New Roman" w:eastAsiaTheme="majorEastAsia"/>
                <w:sz w:val="18"/>
                <w:szCs w:val="18"/>
              </w:rPr>
            </w:pPr>
          </w:p>
        </w:tc>
      </w:tr>
      <w:tr w14:paraId="409948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D8E36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308EC62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9A4F412">
            <w:pPr>
              <w:spacing w:line="240" w:lineRule="exact"/>
              <w:jc w:val="right"/>
              <w:rPr>
                <w:rFonts w:ascii="Times New Roman" w:hAnsi="Times New Roman" w:cs="Times New Roman" w:eastAsiaTheme="majorEastAsia"/>
                <w:sz w:val="18"/>
                <w:szCs w:val="18"/>
              </w:rPr>
            </w:pPr>
          </w:p>
        </w:tc>
      </w:tr>
      <w:tr w14:paraId="76538A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FC504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463F1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120,000,000.00</w:t>
            </w:r>
          </w:p>
        </w:tc>
        <w:tc>
          <w:tcPr>
            <w:tcW w:w="3213" w:type="dxa"/>
            <w:tcBorders>
              <w:top w:val="single" w:color="auto" w:sz="2" w:space="0"/>
              <w:left w:val="single" w:color="auto" w:sz="2" w:space="0"/>
              <w:bottom w:val="single" w:color="auto" w:sz="2" w:space="0"/>
              <w:right w:val="single" w:color="auto" w:sz="2" w:space="0"/>
            </w:tcBorders>
            <w:vAlign w:val="center"/>
          </w:tcPr>
          <w:p w14:paraId="2DE469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289,200,000.00</w:t>
            </w:r>
          </w:p>
        </w:tc>
      </w:tr>
      <w:tr w14:paraId="71901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34FA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06C1E3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497,534,898.25</w:t>
            </w:r>
          </w:p>
        </w:tc>
        <w:tc>
          <w:tcPr>
            <w:tcW w:w="3213" w:type="dxa"/>
            <w:tcBorders>
              <w:top w:val="single" w:color="auto" w:sz="2" w:space="0"/>
              <w:left w:val="single" w:color="auto" w:sz="2" w:space="0"/>
              <w:bottom w:val="single" w:color="auto" w:sz="2" w:space="0"/>
              <w:right w:val="single" w:color="auto" w:sz="2" w:space="0"/>
            </w:tcBorders>
            <w:vAlign w:val="center"/>
          </w:tcPr>
          <w:p w14:paraId="4DE59EA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643,759,473.00</w:t>
            </w:r>
          </w:p>
        </w:tc>
      </w:tr>
      <w:tr w14:paraId="49FC71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E88A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0A4568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53,499,636.22</w:t>
            </w:r>
          </w:p>
        </w:tc>
        <w:tc>
          <w:tcPr>
            <w:tcW w:w="3213" w:type="dxa"/>
            <w:tcBorders>
              <w:top w:val="single" w:color="auto" w:sz="2" w:space="0"/>
              <w:left w:val="single" w:color="auto" w:sz="2" w:space="0"/>
              <w:bottom w:val="single" w:color="auto" w:sz="2" w:space="0"/>
              <w:right w:val="single" w:color="auto" w:sz="2" w:space="0"/>
            </w:tcBorders>
            <w:vAlign w:val="center"/>
          </w:tcPr>
          <w:p w14:paraId="431541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-348,181,687.15</w:t>
            </w:r>
          </w:p>
        </w:tc>
      </w:tr>
      <w:tr w14:paraId="00B92A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B4D6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33E653">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F7FC1C">
            <w:pPr>
              <w:rPr>
                <w:rFonts w:ascii="Times New Roman" w:hAnsi="Times New Roman" w:cs="Times New Roman" w:eastAsiaTheme="majorEastAsia"/>
              </w:rPr>
            </w:pPr>
          </w:p>
        </w:tc>
      </w:tr>
      <w:tr w14:paraId="6711CC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DE23D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F6783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12,104,074.00</w:t>
            </w:r>
          </w:p>
        </w:tc>
        <w:tc>
          <w:tcPr>
            <w:tcW w:w="3213" w:type="dxa"/>
            <w:tcBorders>
              <w:top w:val="single" w:color="auto" w:sz="2" w:space="0"/>
              <w:left w:val="single" w:color="auto" w:sz="2" w:space="0"/>
              <w:bottom w:val="single" w:color="auto" w:sz="2" w:space="0"/>
              <w:right w:val="single" w:color="auto" w:sz="2" w:space="0"/>
            </w:tcBorders>
            <w:vAlign w:val="center"/>
          </w:tcPr>
          <w:p w14:paraId="71C9CE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26,304,800.00</w:t>
            </w:r>
          </w:p>
        </w:tc>
      </w:tr>
      <w:tr w14:paraId="4C9B8B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7037FF">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其中：子公司吸收少数股东投资收到的现金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767A1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7,513,600.00</w:t>
            </w:r>
          </w:p>
        </w:tc>
        <w:tc>
          <w:tcPr>
            <w:tcW w:w="3213" w:type="dxa"/>
            <w:tcBorders>
              <w:top w:val="single" w:color="auto" w:sz="2" w:space="0"/>
              <w:left w:val="single" w:color="auto" w:sz="2" w:space="0"/>
              <w:bottom w:val="single" w:color="auto" w:sz="2" w:space="0"/>
              <w:right w:val="single" w:color="auto" w:sz="2" w:space="0"/>
            </w:tcBorders>
            <w:vAlign w:val="center"/>
          </w:tcPr>
          <w:p w14:paraId="469027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5,940,000.00</w:t>
            </w:r>
          </w:p>
        </w:tc>
      </w:tr>
      <w:tr w14:paraId="7BAA99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77CD05">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2C7E38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130,049,116.34</w:t>
            </w:r>
          </w:p>
        </w:tc>
        <w:tc>
          <w:tcPr>
            <w:tcW w:w="3213" w:type="dxa"/>
            <w:tcBorders>
              <w:top w:val="single" w:color="auto" w:sz="2" w:space="0"/>
              <w:left w:val="single" w:color="auto" w:sz="2" w:space="0"/>
              <w:bottom w:val="single" w:color="auto" w:sz="2" w:space="0"/>
              <w:right w:val="single" w:color="auto" w:sz="2" w:space="0"/>
            </w:tcBorders>
            <w:vAlign w:val="center"/>
          </w:tcPr>
          <w:p w14:paraId="607EF1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115,461,654.78</w:t>
            </w:r>
          </w:p>
        </w:tc>
      </w:tr>
      <w:tr w14:paraId="52AF52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DD17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A6AEC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21,186,323.92</w:t>
            </w:r>
          </w:p>
        </w:tc>
        <w:tc>
          <w:tcPr>
            <w:tcW w:w="3213" w:type="dxa"/>
            <w:tcBorders>
              <w:top w:val="single" w:color="auto" w:sz="2" w:space="0"/>
              <w:left w:val="single" w:color="auto" w:sz="2" w:space="0"/>
              <w:bottom w:val="single" w:color="auto" w:sz="2" w:space="0"/>
              <w:right w:val="single" w:color="auto" w:sz="2" w:space="0"/>
            </w:tcBorders>
            <w:vAlign w:val="center"/>
          </w:tcPr>
          <w:p w14:paraId="2DB20B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21,695,694.85</w:t>
            </w:r>
          </w:p>
        </w:tc>
      </w:tr>
      <w:tr w14:paraId="01AD4F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0ED6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6A5767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163,339,514.26</w:t>
            </w:r>
          </w:p>
        </w:tc>
        <w:tc>
          <w:tcPr>
            <w:tcW w:w="3213" w:type="dxa"/>
            <w:tcBorders>
              <w:top w:val="single" w:color="auto" w:sz="2" w:space="0"/>
              <w:left w:val="single" w:color="auto" w:sz="2" w:space="0"/>
              <w:bottom w:val="single" w:color="auto" w:sz="2" w:space="0"/>
              <w:right w:val="single" w:color="auto" w:sz="2" w:space="0"/>
            </w:tcBorders>
            <w:vAlign w:val="center"/>
          </w:tcPr>
          <w:p w14:paraId="3E2995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163,462,149.63</w:t>
            </w:r>
          </w:p>
        </w:tc>
      </w:tr>
      <w:tr w14:paraId="5E02E5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65A08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CA51E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60,116,485.80</w:t>
            </w:r>
          </w:p>
        </w:tc>
        <w:tc>
          <w:tcPr>
            <w:tcW w:w="3213" w:type="dxa"/>
            <w:tcBorders>
              <w:top w:val="single" w:color="auto" w:sz="2" w:space="0"/>
              <w:left w:val="single" w:color="auto" w:sz="2" w:space="0"/>
              <w:bottom w:val="single" w:color="auto" w:sz="2" w:space="0"/>
              <w:right w:val="single" w:color="auto" w:sz="2" w:space="0"/>
            </w:tcBorders>
            <w:vAlign w:val="center"/>
          </w:tcPr>
          <w:p w14:paraId="71C993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106,446,952.71</w:t>
            </w:r>
          </w:p>
        </w:tc>
      </w:tr>
      <w:tr w14:paraId="63B3EF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E27DB3">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7C394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8,597,677.17</w:t>
            </w:r>
          </w:p>
        </w:tc>
        <w:tc>
          <w:tcPr>
            <w:tcW w:w="3213" w:type="dxa"/>
            <w:tcBorders>
              <w:top w:val="single" w:color="auto" w:sz="2" w:space="0"/>
              <w:left w:val="single" w:color="auto" w:sz="2" w:space="0"/>
              <w:bottom w:val="single" w:color="auto" w:sz="2" w:space="0"/>
              <w:right w:val="single" w:color="auto" w:sz="2" w:space="0"/>
            </w:tcBorders>
            <w:vAlign w:val="center"/>
          </w:tcPr>
          <w:p w14:paraId="0B545D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7,614,043.51</w:t>
            </w:r>
          </w:p>
        </w:tc>
      </w:tr>
      <w:tr w14:paraId="06E2E9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BB12F2">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其中：子公司支付给少数股东的股利、利润</w:t>
            </w:r>
          </w:p>
        </w:tc>
        <w:tc>
          <w:tcPr>
            <w:tcW w:w="3213" w:type="dxa"/>
            <w:tcBorders>
              <w:top w:val="single" w:color="auto" w:sz="2" w:space="0"/>
              <w:left w:val="single" w:color="auto" w:sz="2" w:space="0"/>
              <w:bottom w:val="single" w:color="auto" w:sz="2" w:space="0"/>
              <w:right w:val="single" w:color="auto" w:sz="2" w:space="0"/>
            </w:tcBorders>
            <w:vAlign w:val="center"/>
          </w:tcPr>
          <w:p w14:paraId="15084BB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B11261F">
            <w:pPr>
              <w:spacing w:line="240" w:lineRule="exact"/>
              <w:jc w:val="right"/>
              <w:rPr>
                <w:rFonts w:ascii="Times New Roman" w:hAnsi="Times New Roman" w:cs="Times New Roman" w:eastAsiaTheme="majorEastAsia"/>
                <w:sz w:val="18"/>
                <w:szCs w:val="18"/>
              </w:rPr>
            </w:pPr>
          </w:p>
        </w:tc>
      </w:tr>
      <w:tr w14:paraId="58528B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421F21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9D99D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36,786,501.69</w:t>
            </w:r>
          </w:p>
        </w:tc>
        <w:tc>
          <w:tcPr>
            <w:tcW w:w="3213" w:type="dxa"/>
            <w:tcBorders>
              <w:top w:val="single" w:color="auto" w:sz="2" w:space="0"/>
              <w:left w:val="single" w:color="auto" w:sz="2" w:space="0"/>
              <w:bottom w:val="single" w:color="auto" w:sz="2" w:space="0"/>
              <w:right w:val="single" w:color="auto" w:sz="2" w:space="0"/>
            </w:tcBorders>
            <w:vAlign w:val="center"/>
          </w:tcPr>
          <w:p w14:paraId="14DB0B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48,542,644.10</w:t>
            </w:r>
          </w:p>
        </w:tc>
      </w:tr>
      <w:tr w14:paraId="1D5C5E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7E3F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1BFAD8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105,500,664.66</w:t>
            </w:r>
          </w:p>
        </w:tc>
        <w:tc>
          <w:tcPr>
            <w:tcW w:w="3213" w:type="dxa"/>
            <w:tcBorders>
              <w:top w:val="single" w:color="auto" w:sz="2" w:space="0"/>
              <w:left w:val="single" w:color="auto" w:sz="2" w:space="0"/>
              <w:bottom w:val="single" w:color="auto" w:sz="2" w:space="0"/>
              <w:right w:val="single" w:color="auto" w:sz="2" w:space="0"/>
            </w:tcBorders>
            <w:vAlign w:val="center"/>
          </w:tcPr>
          <w:p w14:paraId="37F80A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162,603,640.32</w:t>
            </w:r>
          </w:p>
        </w:tc>
      </w:tr>
      <w:tr w14:paraId="707D61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28EC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64F1DB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57,838,849.60</w:t>
            </w:r>
          </w:p>
        </w:tc>
        <w:tc>
          <w:tcPr>
            <w:tcW w:w="3213" w:type="dxa"/>
            <w:tcBorders>
              <w:top w:val="single" w:color="auto" w:sz="2" w:space="0"/>
              <w:left w:val="single" w:color="auto" w:sz="2" w:space="0"/>
              <w:bottom w:val="single" w:color="auto" w:sz="2" w:space="0"/>
              <w:right w:val="single" w:color="auto" w:sz="2" w:space="0"/>
            </w:tcBorders>
            <w:vAlign w:val="center"/>
          </w:tcPr>
          <w:p w14:paraId="191B17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858,509.31</w:t>
            </w:r>
          </w:p>
        </w:tc>
      </w:tr>
      <w:tr w14:paraId="3F1EAD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3C5B9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50877C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78,569.89</w:t>
            </w:r>
          </w:p>
        </w:tc>
        <w:tc>
          <w:tcPr>
            <w:tcW w:w="3213" w:type="dxa"/>
            <w:tcBorders>
              <w:top w:val="single" w:color="auto" w:sz="2" w:space="0"/>
              <w:left w:val="single" w:color="auto" w:sz="2" w:space="0"/>
              <w:bottom w:val="single" w:color="auto" w:sz="2" w:space="0"/>
              <w:right w:val="single" w:color="auto" w:sz="2" w:space="0"/>
            </w:tcBorders>
            <w:vAlign w:val="center"/>
          </w:tcPr>
          <w:p w14:paraId="73DA2E0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15,827.85</w:t>
            </w:r>
          </w:p>
        </w:tc>
      </w:tr>
      <w:tr w14:paraId="582D7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418E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2A4E1D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57,177,551.33</w:t>
            </w:r>
          </w:p>
        </w:tc>
        <w:tc>
          <w:tcPr>
            <w:tcW w:w="3213" w:type="dxa"/>
            <w:tcBorders>
              <w:top w:val="single" w:color="auto" w:sz="2" w:space="0"/>
              <w:left w:val="single" w:color="auto" w:sz="2" w:space="0"/>
              <w:bottom w:val="single" w:color="auto" w:sz="2" w:space="0"/>
              <w:right w:val="single" w:color="auto" w:sz="2" w:space="0"/>
            </w:tcBorders>
            <w:vAlign w:val="center"/>
          </w:tcPr>
          <w:p w14:paraId="2515D2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-338,926,677.94</w:t>
            </w:r>
          </w:p>
        </w:tc>
      </w:tr>
      <w:tr w14:paraId="7A6392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127F81">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6F3F1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c>
          <w:tcPr>
            <w:tcW w:w="3213" w:type="dxa"/>
            <w:tcBorders>
              <w:top w:val="single" w:color="auto" w:sz="2" w:space="0"/>
              <w:left w:val="single" w:color="auto" w:sz="2" w:space="0"/>
              <w:bottom w:val="single" w:color="auto" w:sz="2" w:space="0"/>
              <w:right w:val="single" w:color="auto" w:sz="2" w:space="0"/>
            </w:tcBorders>
            <w:vAlign w:val="center"/>
          </w:tcPr>
          <w:p w14:paraId="1D782A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553,471,308.39</w:t>
            </w:r>
          </w:p>
        </w:tc>
      </w:tr>
      <w:tr w14:paraId="5AF08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FC656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6C6EF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271,722,181.78</w:t>
            </w:r>
          </w:p>
        </w:tc>
        <w:tc>
          <w:tcPr>
            <w:tcW w:w="3213" w:type="dxa"/>
            <w:tcBorders>
              <w:top w:val="single" w:color="auto" w:sz="2" w:space="0"/>
              <w:left w:val="single" w:color="auto" w:sz="2" w:space="0"/>
              <w:bottom w:val="single" w:color="auto" w:sz="2" w:space="0"/>
              <w:right w:val="single" w:color="auto" w:sz="2" w:space="0"/>
            </w:tcBorders>
            <w:vAlign w:val="center"/>
          </w:tcPr>
          <w:p w14:paraId="4EA078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r>
    </w:tbl>
    <w:p w14:paraId="7E5B93AD">
      <w:pPr>
        <w:spacing w:before="312" w:beforeLines="100" w:after="312" w:afterLines="100" w:line="240" w:lineRule="exact"/>
        <w:rPr>
          <w:rFonts w:ascii="Times New Roman" w:hAnsi="Times New Roman" w:cs="Times New Roman" w:eastAsiaTheme="majorEastAsia"/>
          <w:sz w:val="18"/>
          <w:szCs w:val="18"/>
        </w:rPr>
      </w:pPr>
      <w:bookmarkStart w:id="159" w:name="_Toc989048"/>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0B998C99">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6、母公司现金流量表</w:t>
      </w:r>
      <w:bookmarkEnd w:id="159"/>
    </w:p>
    <w:p w14:paraId="02F2FF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50A2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CA18E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EAA66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1A79F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03BF1C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F3C1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一、经营活动产生的现金流量：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45548C">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3C5AE4">
            <w:pPr>
              <w:rPr>
                <w:rFonts w:ascii="Times New Roman" w:hAnsi="Times New Roman" w:cs="Times New Roman" w:eastAsiaTheme="majorEastAsia"/>
              </w:rPr>
            </w:pPr>
          </w:p>
        </w:tc>
      </w:tr>
      <w:tr w14:paraId="1C20B9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A5695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销售商品、提供劳务收到的现金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46518B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130,361,263.12</w:t>
            </w:r>
          </w:p>
        </w:tc>
        <w:tc>
          <w:tcPr>
            <w:tcW w:w="3213" w:type="dxa"/>
            <w:tcBorders>
              <w:top w:val="single" w:color="auto" w:sz="2" w:space="0"/>
              <w:left w:val="single" w:color="auto" w:sz="2" w:space="0"/>
              <w:bottom w:val="single" w:color="auto" w:sz="2" w:space="0"/>
              <w:right w:val="single" w:color="auto" w:sz="2" w:space="0"/>
            </w:tcBorders>
            <w:vAlign w:val="center"/>
          </w:tcPr>
          <w:p w14:paraId="03F3F7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193,360,693.71</w:t>
            </w:r>
          </w:p>
        </w:tc>
      </w:tr>
      <w:tr w14:paraId="4C7E91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09BF5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收到的税费返还</w:t>
            </w:r>
          </w:p>
        </w:tc>
        <w:tc>
          <w:tcPr>
            <w:tcW w:w="3213" w:type="dxa"/>
            <w:tcBorders>
              <w:top w:val="single" w:color="auto" w:sz="2" w:space="0"/>
              <w:left w:val="single" w:color="auto" w:sz="2" w:space="0"/>
              <w:bottom w:val="single" w:color="auto" w:sz="2" w:space="0"/>
              <w:right w:val="single" w:color="auto" w:sz="2" w:space="0"/>
            </w:tcBorders>
            <w:vAlign w:val="center"/>
          </w:tcPr>
          <w:p w14:paraId="265AD6A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09653E5">
            <w:pPr>
              <w:spacing w:line="240" w:lineRule="exact"/>
              <w:jc w:val="right"/>
              <w:rPr>
                <w:rFonts w:ascii="Times New Roman" w:hAnsi="Times New Roman" w:cs="Times New Roman" w:eastAsiaTheme="majorEastAsia"/>
                <w:sz w:val="18"/>
                <w:szCs w:val="18"/>
              </w:rPr>
            </w:pPr>
          </w:p>
        </w:tc>
      </w:tr>
      <w:tr w14:paraId="1E83A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4262BE">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8DE9B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119,633,595.32</w:t>
            </w:r>
          </w:p>
        </w:tc>
        <w:tc>
          <w:tcPr>
            <w:tcW w:w="3213" w:type="dxa"/>
            <w:tcBorders>
              <w:top w:val="single" w:color="auto" w:sz="2" w:space="0"/>
              <w:left w:val="single" w:color="auto" w:sz="2" w:space="0"/>
              <w:bottom w:val="single" w:color="auto" w:sz="2" w:space="0"/>
              <w:right w:val="single" w:color="auto" w:sz="2" w:space="0"/>
            </w:tcBorders>
            <w:vAlign w:val="center"/>
          </w:tcPr>
          <w:p w14:paraId="54EA07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176,918,853.62</w:t>
            </w:r>
          </w:p>
        </w:tc>
      </w:tr>
      <w:tr w14:paraId="56ACC7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9E618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245E34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249,994,858.44</w:t>
            </w:r>
          </w:p>
        </w:tc>
        <w:tc>
          <w:tcPr>
            <w:tcW w:w="3213" w:type="dxa"/>
            <w:tcBorders>
              <w:top w:val="single" w:color="auto" w:sz="2" w:space="0"/>
              <w:left w:val="single" w:color="auto" w:sz="2" w:space="0"/>
              <w:bottom w:val="single" w:color="auto" w:sz="2" w:space="0"/>
              <w:right w:val="single" w:color="auto" w:sz="2" w:space="0"/>
            </w:tcBorders>
            <w:vAlign w:val="center"/>
          </w:tcPr>
          <w:p w14:paraId="44E392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370,279,547.33</w:t>
            </w:r>
          </w:p>
        </w:tc>
      </w:tr>
      <w:tr w14:paraId="561EA2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C6710C">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购买商品、接受劳务支付的现金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1BC99F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134,895,739.19</w:t>
            </w:r>
          </w:p>
        </w:tc>
        <w:tc>
          <w:tcPr>
            <w:tcW w:w="3213" w:type="dxa"/>
            <w:tcBorders>
              <w:top w:val="single" w:color="auto" w:sz="2" w:space="0"/>
              <w:left w:val="single" w:color="auto" w:sz="2" w:space="0"/>
              <w:bottom w:val="single" w:color="auto" w:sz="2" w:space="0"/>
              <w:right w:val="single" w:color="auto" w:sz="2" w:space="0"/>
            </w:tcBorders>
            <w:vAlign w:val="center"/>
          </w:tcPr>
          <w:p w14:paraId="3AB4FE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110,031,283.54</w:t>
            </w:r>
          </w:p>
        </w:tc>
      </w:tr>
      <w:tr w14:paraId="35E42D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C3830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支付给职工以及为职工支付的现金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50898B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25,259,683.25</w:t>
            </w:r>
          </w:p>
        </w:tc>
        <w:tc>
          <w:tcPr>
            <w:tcW w:w="3213" w:type="dxa"/>
            <w:tcBorders>
              <w:top w:val="single" w:color="auto" w:sz="2" w:space="0"/>
              <w:left w:val="single" w:color="auto" w:sz="2" w:space="0"/>
              <w:bottom w:val="single" w:color="auto" w:sz="2" w:space="0"/>
              <w:right w:val="single" w:color="auto" w:sz="2" w:space="0"/>
            </w:tcBorders>
            <w:vAlign w:val="center"/>
          </w:tcPr>
          <w:p w14:paraId="7945B2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31,481,464.14</w:t>
            </w:r>
          </w:p>
        </w:tc>
      </w:tr>
      <w:tr w14:paraId="637E3F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89057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支付的各项税费</w:t>
            </w:r>
          </w:p>
        </w:tc>
        <w:tc>
          <w:tcPr>
            <w:tcW w:w="3213" w:type="dxa"/>
            <w:tcBorders>
              <w:top w:val="single" w:color="auto" w:sz="2" w:space="0"/>
              <w:left w:val="single" w:color="auto" w:sz="2" w:space="0"/>
              <w:bottom w:val="single" w:color="auto" w:sz="2" w:space="0"/>
              <w:right w:val="single" w:color="auto" w:sz="2" w:space="0"/>
            </w:tcBorders>
            <w:vAlign w:val="center"/>
          </w:tcPr>
          <w:p w14:paraId="536C9C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4,164,294.92</w:t>
            </w:r>
          </w:p>
        </w:tc>
        <w:tc>
          <w:tcPr>
            <w:tcW w:w="3213" w:type="dxa"/>
            <w:tcBorders>
              <w:top w:val="single" w:color="auto" w:sz="2" w:space="0"/>
              <w:left w:val="single" w:color="auto" w:sz="2" w:space="0"/>
              <w:bottom w:val="single" w:color="auto" w:sz="2" w:space="0"/>
              <w:right w:val="single" w:color="auto" w:sz="2" w:space="0"/>
            </w:tcBorders>
            <w:vAlign w:val="center"/>
          </w:tcPr>
          <w:p w14:paraId="686CC8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8,659,028.41</w:t>
            </w:r>
          </w:p>
        </w:tc>
      </w:tr>
      <w:tr w14:paraId="0C3E31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AC467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支付其他与经营活动有关的现金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47D9B4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120,855,307.00</w:t>
            </w:r>
          </w:p>
        </w:tc>
        <w:tc>
          <w:tcPr>
            <w:tcW w:w="3213" w:type="dxa"/>
            <w:tcBorders>
              <w:top w:val="single" w:color="auto" w:sz="2" w:space="0"/>
              <w:left w:val="single" w:color="auto" w:sz="2" w:space="0"/>
              <w:bottom w:val="single" w:color="auto" w:sz="2" w:space="0"/>
              <w:right w:val="single" w:color="auto" w:sz="2" w:space="0"/>
            </w:tcBorders>
            <w:vAlign w:val="center"/>
          </w:tcPr>
          <w:p w14:paraId="100B93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207,176,321.19</w:t>
            </w:r>
          </w:p>
        </w:tc>
      </w:tr>
      <w:tr w14:paraId="3A6FB3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9488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096578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285,175,024.36</w:t>
            </w:r>
          </w:p>
        </w:tc>
        <w:tc>
          <w:tcPr>
            <w:tcW w:w="3213" w:type="dxa"/>
            <w:tcBorders>
              <w:top w:val="single" w:color="auto" w:sz="2" w:space="0"/>
              <w:left w:val="single" w:color="auto" w:sz="2" w:space="0"/>
              <w:bottom w:val="single" w:color="auto" w:sz="2" w:space="0"/>
              <w:right w:val="single" w:color="auto" w:sz="2" w:space="0"/>
            </w:tcBorders>
            <w:vAlign w:val="center"/>
          </w:tcPr>
          <w:p w14:paraId="1BB9E5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357,348,097.28</w:t>
            </w:r>
          </w:p>
        </w:tc>
      </w:tr>
      <w:tr w14:paraId="65444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DE23E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468FD7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-35,180,165.92</w:t>
            </w:r>
          </w:p>
        </w:tc>
        <w:tc>
          <w:tcPr>
            <w:tcW w:w="3213" w:type="dxa"/>
            <w:tcBorders>
              <w:top w:val="single" w:color="auto" w:sz="2" w:space="0"/>
              <w:left w:val="single" w:color="auto" w:sz="2" w:space="0"/>
              <w:bottom w:val="single" w:color="auto" w:sz="2" w:space="0"/>
              <w:right w:val="single" w:color="auto" w:sz="2" w:space="0"/>
            </w:tcBorders>
            <w:vAlign w:val="center"/>
          </w:tcPr>
          <w:p w14:paraId="60326D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12,931,450.05</w:t>
            </w:r>
          </w:p>
        </w:tc>
      </w:tr>
      <w:tr w14:paraId="6499D5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BD2F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二、投资活动产生的现金流量：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B10553">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2EF485">
            <w:pPr>
              <w:rPr>
                <w:rFonts w:ascii="Times New Roman" w:hAnsi="Times New Roman" w:cs="Times New Roman" w:eastAsiaTheme="majorEastAsia"/>
              </w:rPr>
            </w:pPr>
          </w:p>
        </w:tc>
      </w:tr>
      <w:tr w14:paraId="4679BC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D88CCA">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5F8C6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210,000,000.00</w:t>
            </w:r>
          </w:p>
        </w:tc>
        <w:tc>
          <w:tcPr>
            <w:tcW w:w="3213" w:type="dxa"/>
            <w:tcBorders>
              <w:top w:val="single" w:color="auto" w:sz="2" w:space="0"/>
              <w:left w:val="single" w:color="auto" w:sz="2" w:space="0"/>
              <w:bottom w:val="single" w:color="auto" w:sz="2" w:space="0"/>
              <w:right w:val="single" w:color="auto" w:sz="2" w:space="0"/>
            </w:tcBorders>
            <w:vAlign w:val="center"/>
          </w:tcPr>
          <w:p w14:paraId="6B50FD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256,000,000.00</w:t>
            </w:r>
          </w:p>
        </w:tc>
      </w:tr>
      <w:tr w14:paraId="0AB65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83453">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取得投资收益收到的现金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0BFB0E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385E5F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5CF963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5984A8">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处置固定资产、无形资产和其他长期资产收回的现金净额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71C027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152,800.00</w:t>
            </w:r>
          </w:p>
        </w:tc>
        <w:tc>
          <w:tcPr>
            <w:tcW w:w="3213" w:type="dxa"/>
            <w:tcBorders>
              <w:top w:val="single" w:color="auto" w:sz="2" w:space="0"/>
              <w:left w:val="single" w:color="auto" w:sz="2" w:space="0"/>
              <w:bottom w:val="single" w:color="auto" w:sz="2" w:space="0"/>
              <w:right w:val="single" w:color="auto" w:sz="2" w:space="0"/>
            </w:tcBorders>
            <w:vAlign w:val="center"/>
          </w:tcPr>
          <w:p w14:paraId="7A5844DF">
            <w:pPr>
              <w:spacing w:line="240" w:lineRule="exact"/>
              <w:jc w:val="right"/>
              <w:rPr>
                <w:rFonts w:ascii="Times New Roman" w:hAnsi="Times New Roman" w:cs="Times New Roman" w:eastAsiaTheme="majorEastAsia"/>
                <w:sz w:val="18"/>
                <w:szCs w:val="18"/>
              </w:rPr>
            </w:pPr>
          </w:p>
        </w:tc>
      </w:tr>
      <w:tr w14:paraId="65A4D0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E5757">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处置子公司及其他营业单位收到的现金净额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4F8A6A3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7B67CC">
            <w:pPr>
              <w:spacing w:line="240" w:lineRule="exact"/>
              <w:jc w:val="right"/>
              <w:rPr>
                <w:rFonts w:ascii="Times New Roman" w:hAnsi="Times New Roman" w:cs="Times New Roman" w:eastAsiaTheme="majorEastAsia"/>
                <w:sz w:val="18"/>
                <w:szCs w:val="18"/>
              </w:rPr>
            </w:pPr>
          </w:p>
        </w:tc>
      </w:tr>
      <w:tr w14:paraId="3E03C0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9BDCF6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387B45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225,013,624.81</w:t>
            </w:r>
          </w:p>
        </w:tc>
        <w:tc>
          <w:tcPr>
            <w:tcW w:w="3213" w:type="dxa"/>
            <w:tcBorders>
              <w:top w:val="single" w:color="auto" w:sz="2" w:space="0"/>
              <w:left w:val="single" w:color="auto" w:sz="2" w:space="0"/>
              <w:bottom w:val="single" w:color="auto" w:sz="2" w:space="0"/>
              <w:right w:val="single" w:color="auto" w:sz="2" w:space="0"/>
            </w:tcBorders>
            <w:vAlign w:val="center"/>
          </w:tcPr>
          <w:p w14:paraId="59A723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37,988,755.88</w:t>
            </w:r>
          </w:p>
        </w:tc>
      </w:tr>
      <w:tr w14:paraId="635C21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A507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71310A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435,812,890.57</w:t>
            </w:r>
          </w:p>
        </w:tc>
        <w:tc>
          <w:tcPr>
            <w:tcW w:w="3213" w:type="dxa"/>
            <w:tcBorders>
              <w:top w:val="single" w:color="auto" w:sz="2" w:space="0"/>
              <w:left w:val="single" w:color="auto" w:sz="2" w:space="0"/>
              <w:bottom w:val="single" w:color="auto" w:sz="2" w:space="0"/>
              <w:right w:val="single" w:color="auto" w:sz="2" w:space="0"/>
            </w:tcBorders>
            <w:vAlign w:val="center"/>
          </w:tcPr>
          <w:p w14:paraId="1A26D0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295,573,074.68</w:t>
            </w:r>
          </w:p>
        </w:tc>
      </w:tr>
      <w:tr w14:paraId="7A4B0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26C00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购建固定资产、无形资产和其他长期资产支付的现金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7B160D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101,100,108.67</w:t>
            </w:r>
          </w:p>
        </w:tc>
        <w:tc>
          <w:tcPr>
            <w:tcW w:w="3213" w:type="dxa"/>
            <w:tcBorders>
              <w:top w:val="single" w:color="auto" w:sz="2" w:space="0"/>
              <w:left w:val="single" w:color="auto" w:sz="2" w:space="0"/>
              <w:bottom w:val="single" w:color="auto" w:sz="2" w:space="0"/>
              <w:right w:val="single" w:color="auto" w:sz="2" w:space="0"/>
            </w:tcBorders>
            <w:vAlign w:val="center"/>
          </w:tcPr>
          <w:p w14:paraId="7BB9DA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10,888,888.00</w:t>
            </w:r>
          </w:p>
        </w:tc>
      </w:tr>
      <w:tr w14:paraId="06933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CD7F47">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DD7B6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190,000,000.00</w:t>
            </w:r>
          </w:p>
        </w:tc>
        <w:tc>
          <w:tcPr>
            <w:tcW w:w="3213" w:type="dxa"/>
            <w:tcBorders>
              <w:top w:val="single" w:color="auto" w:sz="2" w:space="0"/>
              <w:left w:val="single" w:color="auto" w:sz="2" w:space="0"/>
              <w:bottom w:val="single" w:color="auto" w:sz="2" w:space="0"/>
              <w:right w:val="single" w:color="auto" w:sz="2" w:space="0"/>
            </w:tcBorders>
            <w:vAlign w:val="center"/>
          </w:tcPr>
          <w:p w14:paraId="234EE5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412,763,600.00</w:t>
            </w:r>
          </w:p>
        </w:tc>
      </w:tr>
      <w:tr w14:paraId="318D45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F2B56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取得子公司及其他营业单位支付的现金净额</w:t>
            </w:r>
          </w:p>
        </w:tc>
        <w:tc>
          <w:tcPr>
            <w:tcW w:w="3213" w:type="dxa"/>
            <w:tcBorders>
              <w:top w:val="single" w:color="auto" w:sz="2" w:space="0"/>
              <w:left w:val="single" w:color="auto" w:sz="2" w:space="0"/>
              <w:bottom w:val="single" w:color="auto" w:sz="2" w:space="0"/>
              <w:right w:val="single" w:color="auto" w:sz="2" w:space="0"/>
            </w:tcBorders>
            <w:vAlign w:val="center"/>
          </w:tcPr>
          <w:p w14:paraId="7FD9D7D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0FCAC75">
            <w:pPr>
              <w:spacing w:line="240" w:lineRule="exact"/>
              <w:jc w:val="right"/>
              <w:rPr>
                <w:rFonts w:ascii="Times New Roman" w:hAnsi="Times New Roman" w:cs="Times New Roman" w:eastAsiaTheme="majorEastAsia"/>
                <w:sz w:val="18"/>
                <w:szCs w:val="18"/>
              </w:rPr>
            </w:pPr>
          </w:p>
        </w:tc>
      </w:tr>
      <w:tr w14:paraId="33F36D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6F6558">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支付其他与投资活动有关的现金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572016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3213" w:type="dxa"/>
            <w:tcBorders>
              <w:top w:val="single" w:color="auto" w:sz="2" w:space="0"/>
              <w:left w:val="single" w:color="auto" w:sz="2" w:space="0"/>
              <w:bottom w:val="single" w:color="auto" w:sz="2" w:space="0"/>
              <w:right w:val="single" w:color="auto" w:sz="2" w:space="0"/>
            </w:tcBorders>
            <w:vAlign w:val="center"/>
          </w:tcPr>
          <w:p w14:paraId="6076DE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232,200,000.00</w:t>
            </w:r>
          </w:p>
        </w:tc>
      </w:tr>
      <w:tr w14:paraId="4C619B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1D0C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3D65B8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341,100,108.67</w:t>
            </w:r>
          </w:p>
        </w:tc>
        <w:tc>
          <w:tcPr>
            <w:tcW w:w="3213" w:type="dxa"/>
            <w:tcBorders>
              <w:top w:val="single" w:color="auto" w:sz="2" w:space="0"/>
              <w:left w:val="single" w:color="auto" w:sz="2" w:space="0"/>
              <w:bottom w:val="single" w:color="auto" w:sz="2" w:space="0"/>
              <w:right w:val="single" w:color="auto" w:sz="2" w:space="0"/>
            </w:tcBorders>
            <w:vAlign w:val="center"/>
          </w:tcPr>
          <w:p w14:paraId="2CC5F0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655,852,488.00</w:t>
            </w:r>
          </w:p>
        </w:tc>
      </w:tr>
      <w:tr w14:paraId="649C81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7D03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73EB7B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94,712,781.90</w:t>
            </w:r>
          </w:p>
        </w:tc>
        <w:tc>
          <w:tcPr>
            <w:tcW w:w="3213" w:type="dxa"/>
            <w:tcBorders>
              <w:top w:val="single" w:color="auto" w:sz="2" w:space="0"/>
              <w:left w:val="single" w:color="auto" w:sz="2" w:space="0"/>
              <w:bottom w:val="single" w:color="auto" w:sz="2" w:space="0"/>
              <w:right w:val="single" w:color="auto" w:sz="2" w:space="0"/>
            </w:tcBorders>
            <w:vAlign w:val="center"/>
          </w:tcPr>
          <w:p w14:paraId="70C175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-360,279,413.32</w:t>
            </w:r>
          </w:p>
        </w:tc>
      </w:tr>
      <w:tr w14:paraId="1A909E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CF58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三、筹资活动产生的现金流量：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08E8ED">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FC5E15">
            <w:pPr>
              <w:rPr>
                <w:rFonts w:ascii="Times New Roman" w:hAnsi="Times New Roman" w:cs="Times New Roman" w:eastAsiaTheme="majorEastAsia"/>
              </w:rPr>
            </w:pPr>
          </w:p>
        </w:tc>
      </w:tr>
      <w:tr w14:paraId="77C94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9E7A5B">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吸收投资收到的现金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4623CBC6">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0D42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20,364,800.00</w:t>
            </w:r>
          </w:p>
        </w:tc>
      </w:tr>
      <w:tr w14:paraId="5F910C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ABAE1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取得借款收到的现金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6C9556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64,998,995.40</w:t>
            </w:r>
          </w:p>
        </w:tc>
        <w:tc>
          <w:tcPr>
            <w:tcW w:w="3213" w:type="dxa"/>
            <w:tcBorders>
              <w:top w:val="single" w:color="auto" w:sz="2" w:space="0"/>
              <w:left w:val="single" w:color="auto" w:sz="2" w:space="0"/>
              <w:bottom w:val="single" w:color="auto" w:sz="2" w:space="0"/>
              <w:right w:val="single" w:color="auto" w:sz="2" w:space="0"/>
            </w:tcBorders>
            <w:vAlign w:val="center"/>
          </w:tcPr>
          <w:p w14:paraId="052355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46,224,002.50</w:t>
            </w:r>
          </w:p>
        </w:tc>
      </w:tr>
      <w:tr w14:paraId="0B04E1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3794B6">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0CDEB4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13,649,816.92</w:t>
            </w:r>
          </w:p>
        </w:tc>
        <w:tc>
          <w:tcPr>
            <w:tcW w:w="3213" w:type="dxa"/>
            <w:tcBorders>
              <w:top w:val="single" w:color="auto" w:sz="2" w:space="0"/>
              <w:left w:val="single" w:color="auto" w:sz="2" w:space="0"/>
              <w:bottom w:val="single" w:color="auto" w:sz="2" w:space="0"/>
              <w:right w:val="single" w:color="auto" w:sz="2" w:space="0"/>
            </w:tcBorders>
            <w:vAlign w:val="center"/>
          </w:tcPr>
          <w:p w14:paraId="64F867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21,343,622.85</w:t>
            </w:r>
          </w:p>
        </w:tc>
      </w:tr>
      <w:tr w14:paraId="1A4D9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CF91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筹资活动现金流入小计</w:t>
            </w:r>
          </w:p>
        </w:tc>
        <w:tc>
          <w:tcPr>
            <w:tcW w:w="3213" w:type="dxa"/>
            <w:tcBorders>
              <w:top w:val="single" w:color="auto" w:sz="2" w:space="0"/>
              <w:left w:val="single" w:color="auto" w:sz="2" w:space="0"/>
              <w:bottom w:val="single" w:color="auto" w:sz="2" w:space="0"/>
              <w:right w:val="single" w:color="auto" w:sz="2" w:space="0"/>
            </w:tcBorders>
            <w:vAlign w:val="center"/>
          </w:tcPr>
          <w:p w14:paraId="62943B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78,648,812.32</w:t>
            </w:r>
          </w:p>
        </w:tc>
        <w:tc>
          <w:tcPr>
            <w:tcW w:w="3213" w:type="dxa"/>
            <w:tcBorders>
              <w:top w:val="single" w:color="auto" w:sz="2" w:space="0"/>
              <w:left w:val="single" w:color="auto" w:sz="2" w:space="0"/>
              <w:bottom w:val="single" w:color="auto" w:sz="2" w:space="0"/>
              <w:right w:val="single" w:color="auto" w:sz="2" w:space="0"/>
            </w:tcBorders>
            <w:vAlign w:val="center"/>
          </w:tcPr>
          <w:p w14:paraId="690451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87,932,425.35</w:t>
            </w:r>
          </w:p>
        </w:tc>
      </w:tr>
      <w:tr w14:paraId="34535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681444">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偿还债务支付的现金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224929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40,825,945.00</w:t>
            </w:r>
          </w:p>
        </w:tc>
        <w:tc>
          <w:tcPr>
            <w:tcW w:w="3213" w:type="dxa"/>
            <w:tcBorders>
              <w:top w:val="single" w:color="auto" w:sz="2" w:space="0"/>
              <w:left w:val="single" w:color="auto" w:sz="2" w:space="0"/>
              <w:bottom w:val="single" w:color="auto" w:sz="2" w:space="0"/>
              <w:right w:val="single" w:color="auto" w:sz="2" w:space="0"/>
            </w:tcBorders>
            <w:vAlign w:val="center"/>
          </w:tcPr>
          <w:p w14:paraId="391C3D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39,224,002.50</w:t>
            </w:r>
          </w:p>
        </w:tc>
      </w:tr>
      <w:tr w14:paraId="1703C1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3DD859">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分配股利、利润或偿付利息支付的现金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4DD33D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7,348,487.11</w:t>
            </w:r>
          </w:p>
        </w:tc>
        <w:tc>
          <w:tcPr>
            <w:tcW w:w="3213" w:type="dxa"/>
            <w:tcBorders>
              <w:top w:val="single" w:color="auto" w:sz="2" w:space="0"/>
              <w:left w:val="single" w:color="auto" w:sz="2" w:space="0"/>
              <w:bottom w:val="single" w:color="auto" w:sz="2" w:space="0"/>
              <w:right w:val="single" w:color="auto" w:sz="2" w:space="0"/>
            </w:tcBorders>
            <w:vAlign w:val="center"/>
          </w:tcPr>
          <w:p w14:paraId="37A046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6,188,788.37</w:t>
            </w:r>
          </w:p>
        </w:tc>
      </w:tr>
      <w:tr w14:paraId="0069F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EFD277">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支付其他与筹资活动有关的现金</w:t>
            </w:r>
          </w:p>
        </w:tc>
        <w:tc>
          <w:tcPr>
            <w:tcW w:w="3213" w:type="dxa"/>
            <w:tcBorders>
              <w:top w:val="single" w:color="auto" w:sz="2" w:space="0"/>
              <w:left w:val="single" w:color="auto" w:sz="2" w:space="0"/>
              <w:bottom w:val="single" w:color="auto" w:sz="2" w:space="0"/>
              <w:right w:val="single" w:color="auto" w:sz="2" w:space="0"/>
            </w:tcBorders>
            <w:vAlign w:val="center"/>
          </w:tcPr>
          <w:p w14:paraId="259AE5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31,419,558.42</w:t>
            </w:r>
          </w:p>
        </w:tc>
        <w:tc>
          <w:tcPr>
            <w:tcW w:w="3213" w:type="dxa"/>
            <w:tcBorders>
              <w:top w:val="single" w:color="auto" w:sz="2" w:space="0"/>
              <w:left w:val="single" w:color="auto" w:sz="2" w:space="0"/>
              <w:bottom w:val="single" w:color="auto" w:sz="2" w:space="0"/>
              <w:right w:val="single" w:color="auto" w:sz="2" w:space="0"/>
            </w:tcBorders>
            <w:vAlign w:val="center"/>
          </w:tcPr>
          <w:p w14:paraId="5718B7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45,103,237.94</w:t>
            </w:r>
          </w:p>
        </w:tc>
      </w:tr>
      <w:tr w14:paraId="5F43F6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BE60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筹资活动现金流出小计</w:t>
            </w:r>
          </w:p>
        </w:tc>
        <w:tc>
          <w:tcPr>
            <w:tcW w:w="3213" w:type="dxa"/>
            <w:tcBorders>
              <w:top w:val="single" w:color="auto" w:sz="2" w:space="0"/>
              <w:left w:val="single" w:color="auto" w:sz="2" w:space="0"/>
              <w:bottom w:val="single" w:color="auto" w:sz="2" w:space="0"/>
              <w:right w:val="single" w:color="auto" w:sz="2" w:space="0"/>
            </w:tcBorders>
            <w:vAlign w:val="center"/>
          </w:tcPr>
          <w:p w14:paraId="5966CB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79,593,990.53</w:t>
            </w:r>
          </w:p>
        </w:tc>
        <w:tc>
          <w:tcPr>
            <w:tcW w:w="3213" w:type="dxa"/>
            <w:tcBorders>
              <w:top w:val="single" w:color="auto" w:sz="2" w:space="0"/>
              <w:left w:val="single" w:color="auto" w:sz="2" w:space="0"/>
              <w:bottom w:val="single" w:color="auto" w:sz="2" w:space="0"/>
              <w:right w:val="single" w:color="auto" w:sz="2" w:space="0"/>
            </w:tcBorders>
            <w:vAlign w:val="center"/>
          </w:tcPr>
          <w:p w14:paraId="207780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90,516,028.81</w:t>
            </w:r>
          </w:p>
        </w:tc>
      </w:tr>
      <w:tr w14:paraId="7FCB4E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0FF9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042C02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-945,178.21</w:t>
            </w:r>
          </w:p>
        </w:tc>
        <w:tc>
          <w:tcPr>
            <w:tcW w:w="3213" w:type="dxa"/>
            <w:tcBorders>
              <w:top w:val="single" w:color="auto" w:sz="2" w:space="0"/>
              <w:left w:val="single" w:color="auto" w:sz="2" w:space="0"/>
              <w:bottom w:val="single" w:color="auto" w:sz="2" w:space="0"/>
              <w:right w:val="single" w:color="auto" w:sz="2" w:space="0"/>
            </w:tcBorders>
            <w:vAlign w:val="center"/>
          </w:tcPr>
          <w:p w14:paraId="54A833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-2,583,603.46</w:t>
            </w:r>
          </w:p>
        </w:tc>
      </w:tr>
      <w:tr w14:paraId="5A2C74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0BC9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四、汇率变动对现金及现金等价物的影响</w:t>
            </w:r>
          </w:p>
        </w:tc>
        <w:tc>
          <w:tcPr>
            <w:tcW w:w="3213" w:type="dxa"/>
            <w:tcBorders>
              <w:top w:val="single" w:color="auto" w:sz="2" w:space="0"/>
              <w:left w:val="single" w:color="auto" w:sz="2" w:space="0"/>
              <w:bottom w:val="single" w:color="auto" w:sz="2" w:space="0"/>
              <w:right w:val="single" w:color="auto" w:sz="2" w:space="0"/>
            </w:tcBorders>
            <w:vAlign w:val="center"/>
          </w:tcPr>
          <w:p w14:paraId="56307EC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4C4A0F3">
            <w:pPr>
              <w:spacing w:line="240" w:lineRule="exact"/>
              <w:jc w:val="right"/>
              <w:rPr>
                <w:rFonts w:ascii="Times New Roman" w:hAnsi="Times New Roman" w:cs="Times New Roman" w:eastAsiaTheme="majorEastAsia"/>
                <w:sz w:val="18"/>
                <w:szCs w:val="18"/>
              </w:rPr>
            </w:pPr>
          </w:p>
        </w:tc>
      </w:tr>
      <w:tr w14:paraId="1CA9DF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559F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5A2889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58,587,437.77</w:t>
            </w:r>
          </w:p>
        </w:tc>
        <w:tc>
          <w:tcPr>
            <w:tcW w:w="3213" w:type="dxa"/>
            <w:tcBorders>
              <w:top w:val="single" w:color="auto" w:sz="2" w:space="0"/>
              <w:left w:val="single" w:color="auto" w:sz="2" w:space="0"/>
              <w:bottom w:val="single" w:color="auto" w:sz="2" w:space="0"/>
              <w:right w:val="single" w:color="auto" w:sz="2" w:space="0"/>
            </w:tcBorders>
            <w:vAlign w:val="center"/>
          </w:tcPr>
          <w:p w14:paraId="49BA3C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-349,931,566.73</w:t>
            </w:r>
          </w:p>
        </w:tc>
      </w:tr>
      <w:tr w14:paraId="317F1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A9AB49">
            <w:pPr>
              <w:spacing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加：期初现金及现金等价物余额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2FBAC8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148,887,501.58</w:t>
            </w:r>
          </w:p>
        </w:tc>
        <w:tc>
          <w:tcPr>
            <w:tcW w:w="3213" w:type="dxa"/>
            <w:tcBorders>
              <w:top w:val="single" w:color="auto" w:sz="2" w:space="0"/>
              <w:left w:val="single" w:color="auto" w:sz="2" w:space="0"/>
              <w:bottom w:val="single" w:color="auto" w:sz="2" w:space="0"/>
              <w:right w:val="single" w:color="auto" w:sz="2" w:space="0"/>
            </w:tcBorders>
            <w:vAlign w:val="center"/>
          </w:tcPr>
          <w:p w14:paraId="497225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498,819,068.31</w:t>
            </w:r>
          </w:p>
        </w:tc>
      </w:tr>
      <w:tr w14:paraId="4E2838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074F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六、期末现金及现金等价物余额</w:t>
            </w:r>
          </w:p>
        </w:tc>
        <w:tc>
          <w:tcPr>
            <w:tcW w:w="3213" w:type="dxa"/>
            <w:tcBorders>
              <w:top w:val="single" w:color="auto" w:sz="2" w:space="0"/>
              <w:left w:val="single" w:color="auto" w:sz="2" w:space="0"/>
              <w:bottom w:val="single" w:color="auto" w:sz="2" w:space="0"/>
              <w:right w:val="single" w:color="auto" w:sz="2" w:space="0"/>
            </w:tcBorders>
            <w:vAlign w:val="center"/>
          </w:tcPr>
          <w:p w14:paraId="1D644C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207,474,939.35</w:t>
            </w:r>
          </w:p>
        </w:tc>
        <w:tc>
          <w:tcPr>
            <w:tcW w:w="3213" w:type="dxa"/>
            <w:tcBorders>
              <w:top w:val="single" w:color="auto" w:sz="2" w:space="0"/>
              <w:left w:val="single" w:color="auto" w:sz="2" w:space="0"/>
              <w:bottom w:val="single" w:color="auto" w:sz="2" w:space="0"/>
              <w:right w:val="single" w:color="auto" w:sz="2" w:space="0"/>
            </w:tcBorders>
            <w:vAlign w:val="center"/>
          </w:tcPr>
          <w:p w14:paraId="5BB510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148,887,501.58</w:t>
            </w:r>
          </w:p>
        </w:tc>
      </w:tr>
    </w:tbl>
    <w:p w14:paraId="4C7738CF">
      <w:pPr>
        <w:spacing w:before="312" w:beforeLines="100" w:after="312" w:afterLines="100" w:line="240" w:lineRule="exact"/>
        <w:rPr>
          <w:rFonts w:ascii="Times New Roman" w:hAnsi="Times New Roman" w:cs="Times New Roman" w:eastAsiaTheme="majorEastAsia"/>
          <w:sz w:val="18"/>
          <w:szCs w:val="18"/>
        </w:rPr>
      </w:pPr>
      <w:bookmarkStart w:id="160" w:name="_Toc989049"/>
      <w:r>
        <w:rPr>
          <w:rFonts w:ascii="Times New Roman" w:hAnsi="Times New Roman" w:cs="Times New Roman" w:eastAsiaTheme="majorEastAsia"/>
          <w:sz w:val="18"/>
          <w:szCs w:val="18"/>
        </w:rPr>
        <w:t xml:space="preserve">法定代表人：林明玲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主管会计工作负责人：陈焕盛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会计机构负责人：赖宏伟</w:t>
      </w:r>
    </w:p>
    <w:p w14:paraId="0D80F900">
      <w:pPr>
        <w:pStyle w:val="3"/>
        <w:spacing w:line="280" w:lineRule="exact"/>
        <w:jc w:val="left"/>
        <w:rPr>
          <w:rFonts w:ascii="Times New Roman" w:hAnsi="Times New Roman" w:cs="Times New Roman" w:eastAsiaTheme="majorEastAsia"/>
          <w:b/>
          <w:bCs/>
        </w:rPr>
        <w:sectPr>
          <w:pgSz w:w="11905" w:h="16840"/>
          <w:pgMar w:top="1440" w:right="1134" w:bottom="1440" w:left="1134" w:header="850" w:footer="992" w:gutter="0"/>
          <w:cols w:space="720" w:num="1"/>
          <w:docGrid w:type="linesAndChars" w:linePitch="312" w:charSpace="0"/>
        </w:sectPr>
      </w:pPr>
    </w:p>
    <w:p w14:paraId="25EACB9B">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7、合并所有者权益变动表</w:t>
      </w:r>
      <w:bookmarkEnd w:id="160"/>
    </w:p>
    <w:p w14:paraId="218037A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本期金额</w:t>
      </w:r>
    </w:p>
    <w:p w14:paraId="7ACC319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31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27"/>
        <w:gridCol w:w="1071"/>
        <w:gridCol w:w="487"/>
        <w:gridCol w:w="487"/>
        <w:gridCol w:w="442"/>
        <w:gridCol w:w="1146"/>
        <w:gridCol w:w="1082"/>
        <w:gridCol w:w="988"/>
        <w:gridCol w:w="533"/>
        <w:gridCol w:w="1071"/>
        <w:gridCol w:w="624"/>
        <w:gridCol w:w="1146"/>
        <w:gridCol w:w="442"/>
        <w:gridCol w:w="1146"/>
        <w:gridCol w:w="1072"/>
        <w:gridCol w:w="1230"/>
      </w:tblGrid>
      <w:tr w14:paraId="71D776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D9EE8B">
            <w:pPr>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453D9A9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r>
      <w:tr w14:paraId="67D5AF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D4B6B4">
            <w:pPr>
              <w:rPr>
                <w:rFonts w:ascii="Times New Roman" w:hAnsi="Times New Roman" w:cs="Times New Roman" w:eastAsiaTheme="majorEastAsia"/>
              </w:rPr>
            </w:pPr>
          </w:p>
        </w:tc>
        <w:tc>
          <w:tcPr>
            <w:tcW w:w="0" w:type="auto"/>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7180A7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归属于母公司所有者权益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F64847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少数股东权益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E296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r>
      <w:tr w14:paraId="10D5A4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3E5554">
            <w:pPr>
              <w:rPr>
                <w:rFonts w:ascii="Times New Roman" w:hAnsi="Times New Roman" w:cs="Times New Roman" w:eastAsiaTheme="majorEastAsia"/>
              </w:rPr>
            </w:pP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ED634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90F1B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965A6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6114E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E086C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F4DF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786F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24C8B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一般风险准备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5F3D1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9D26A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94CC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小计</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8516E51">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58147B">
            <w:pPr>
              <w:rPr>
                <w:rFonts w:ascii="Times New Roman" w:hAnsi="Times New Roman" w:cs="Times New Roman" w:eastAsiaTheme="majorEastAsia"/>
              </w:rPr>
            </w:pPr>
          </w:p>
        </w:tc>
      </w:tr>
      <w:tr w14:paraId="2E85A0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55FACF">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D3444A">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D368D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优先股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A113D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CE4BD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03A981">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1E4AE5">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33D963">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5374D2">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0FF5C5">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B598A29">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1E0F06">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CB4B8F">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5BC19B9">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9C6188">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96D095">
            <w:pPr>
              <w:rPr>
                <w:rFonts w:ascii="Times New Roman" w:hAnsi="Times New Roman" w:cs="Times New Roman" w:eastAsiaTheme="majorEastAsia"/>
              </w:rPr>
            </w:pPr>
          </w:p>
        </w:tc>
      </w:tr>
      <w:tr w14:paraId="3542F0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76353BF">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一、上年期末余额</w:t>
            </w:r>
          </w:p>
        </w:tc>
        <w:tc>
          <w:tcPr>
            <w:tcW w:w="0" w:type="auto"/>
            <w:tcBorders>
              <w:top w:val="single" w:color="auto" w:sz="2" w:space="0"/>
              <w:left w:val="single" w:color="auto" w:sz="2" w:space="0"/>
              <w:bottom w:val="single" w:color="auto" w:sz="2" w:space="0"/>
              <w:right w:val="single" w:color="auto" w:sz="2" w:space="0"/>
            </w:tcBorders>
            <w:vAlign w:val="center"/>
          </w:tcPr>
          <w:p w14:paraId="08EA5D5A">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65CACD1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7F209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18B99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61DDC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590,694,089.77</w:t>
            </w:r>
          </w:p>
        </w:tc>
        <w:tc>
          <w:tcPr>
            <w:tcW w:w="0" w:type="auto"/>
            <w:tcBorders>
              <w:top w:val="single" w:color="auto" w:sz="2" w:space="0"/>
              <w:left w:val="single" w:color="auto" w:sz="2" w:space="0"/>
              <w:bottom w:val="single" w:color="auto" w:sz="2" w:space="0"/>
              <w:right w:val="single" w:color="auto" w:sz="2" w:space="0"/>
            </w:tcBorders>
            <w:vAlign w:val="center"/>
          </w:tcPr>
          <w:p w14:paraId="611478C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68EB2670">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-673,076.93</w:t>
            </w:r>
          </w:p>
        </w:tc>
        <w:tc>
          <w:tcPr>
            <w:tcW w:w="0" w:type="auto"/>
            <w:tcBorders>
              <w:top w:val="single" w:color="auto" w:sz="2" w:space="0"/>
              <w:left w:val="single" w:color="auto" w:sz="2" w:space="0"/>
              <w:bottom w:val="single" w:color="auto" w:sz="2" w:space="0"/>
              <w:right w:val="single" w:color="auto" w:sz="2" w:space="0"/>
            </w:tcBorders>
            <w:vAlign w:val="center"/>
          </w:tcPr>
          <w:p w14:paraId="31DC421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371DA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35305EE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21C9AF">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176,446,442.34</w:t>
            </w:r>
          </w:p>
        </w:tc>
        <w:tc>
          <w:tcPr>
            <w:tcW w:w="0" w:type="auto"/>
            <w:tcBorders>
              <w:top w:val="single" w:color="auto" w:sz="2" w:space="0"/>
              <w:left w:val="single" w:color="auto" w:sz="2" w:space="0"/>
              <w:bottom w:val="single" w:color="auto" w:sz="2" w:space="0"/>
              <w:right w:val="single" w:color="auto" w:sz="2" w:space="0"/>
            </w:tcBorders>
            <w:vAlign w:val="center"/>
          </w:tcPr>
          <w:p w14:paraId="4E003BC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FDFCFF">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831,728,011.51</w:t>
            </w:r>
          </w:p>
        </w:tc>
        <w:tc>
          <w:tcPr>
            <w:tcW w:w="0" w:type="auto"/>
            <w:tcBorders>
              <w:top w:val="single" w:color="auto" w:sz="2" w:space="0"/>
              <w:left w:val="single" w:color="auto" w:sz="2" w:space="0"/>
              <w:bottom w:val="single" w:color="auto" w:sz="2" w:space="0"/>
              <w:right w:val="single" w:color="auto" w:sz="2" w:space="0"/>
            </w:tcBorders>
            <w:vAlign w:val="center"/>
          </w:tcPr>
          <w:p w14:paraId="36998A9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4,551,722.69</w:t>
            </w:r>
          </w:p>
        </w:tc>
        <w:tc>
          <w:tcPr>
            <w:tcW w:w="0" w:type="auto"/>
            <w:tcBorders>
              <w:top w:val="single" w:color="auto" w:sz="2" w:space="0"/>
              <w:left w:val="single" w:color="auto" w:sz="2" w:space="0"/>
              <w:bottom w:val="single" w:color="auto" w:sz="2" w:space="0"/>
              <w:right w:val="single" w:color="auto" w:sz="2" w:space="0"/>
            </w:tcBorders>
            <w:vAlign w:val="center"/>
          </w:tcPr>
          <w:p w14:paraId="77043A8D">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836,279,734.20</w:t>
            </w:r>
          </w:p>
        </w:tc>
      </w:tr>
      <w:tr w14:paraId="06A0FA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6A918F3">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加：会计政策变更</w:t>
            </w:r>
          </w:p>
        </w:tc>
        <w:tc>
          <w:tcPr>
            <w:tcW w:w="0" w:type="auto"/>
            <w:tcBorders>
              <w:top w:val="single" w:color="auto" w:sz="2" w:space="0"/>
              <w:left w:val="single" w:color="auto" w:sz="2" w:space="0"/>
              <w:bottom w:val="single" w:color="auto" w:sz="2" w:space="0"/>
              <w:right w:val="single" w:color="auto" w:sz="2" w:space="0"/>
            </w:tcBorders>
            <w:vAlign w:val="center"/>
          </w:tcPr>
          <w:p w14:paraId="30E22EB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1835F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CBE45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F798C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0335C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28046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0510B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8D258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16A16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19414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7E2FB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C9771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2B9D9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3F502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1147CE">
            <w:pPr>
              <w:spacing w:line="240" w:lineRule="exact"/>
              <w:ind w:left="-4" w:leftChars="-2" w:right="-4" w:rightChars="-2"/>
              <w:jc w:val="right"/>
              <w:rPr>
                <w:rFonts w:ascii="Times New Roman" w:hAnsi="Times New Roman" w:cs="Times New Roman" w:eastAsiaTheme="majorEastAsia"/>
                <w:sz w:val="15"/>
                <w:szCs w:val="15"/>
              </w:rPr>
            </w:pPr>
          </w:p>
        </w:tc>
      </w:tr>
      <w:tr w14:paraId="67C5BF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3C1198B">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前期差错更正</w:t>
            </w:r>
          </w:p>
        </w:tc>
        <w:tc>
          <w:tcPr>
            <w:tcW w:w="0" w:type="auto"/>
            <w:tcBorders>
              <w:top w:val="single" w:color="auto" w:sz="2" w:space="0"/>
              <w:left w:val="single" w:color="auto" w:sz="2" w:space="0"/>
              <w:bottom w:val="single" w:color="auto" w:sz="2" w:space="0"/>
              <w:right w:val="single" w:color="auto" w:sz="2" w:space="0"/>
            </w:tcBorders>
            <w:vAlign w:val="center"/>
          </w:tcPr>
          <w:p w14:paraId="35EB989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B3248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AA42F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C087B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F3202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7A906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FC695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7E300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11B9A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4537F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46DBF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E5F1E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BCC74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11D96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A56CE5">
            <w:pPr>
              <w:spacing w:line="240" w:lineRule="exact"/>
              <w:ind w:left="-4" w:leftChars="-2" w:right="-4" w:rightChars="-2"/>
              <w:jc w:val="right"/>
              <w:rPr>
                <w:rFonts w:ascii="Times New Roman" w:hAnsi="Times New Roman" w:cs="Times New Roman" w:eastAsiaTheme="majorEastAsia"/>
                <w:sz w:val="15"/>
                <w:szCs w:val="15"/>
              </w:rPr>
            </w:pPr>
          </w:p>
        </w:tc>
      </w:tr>
      <w:tr w14:paraId="62D321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6686CFC">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tcBorders>
              <w:top w:val="single" w:color="auto" w:sz="2" w:space="0"/>
              <w:left w:val="single" w:color="auto" w:sz="2" w:space="0"/>
              <w:bottom w:val="single" w:color="auto" w:sz="2" w:space="0"/>
              <w:right w:val="single" w:color="auto" w:sz="2" w:space="0"/>
            </w:tcBorders>
            <w:vAlign w:val="center"/>
          </w:tcPr>
          <w:p w14:paraId="715B5F5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5E59A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19416A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4451F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F2C30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146F3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76FF4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86F5F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FBF23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157BA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1067A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6A3F7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61ACD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4B9C2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45BDB0">
            <w:pPr>
              <w:spacing w:line="240" w:lineRule="exact"/>
              <w:ind w:left="-4" w:leftChars="-2" w:right="-4" w:rightChars="-2"/>
              <w:jc w:val="right"/>
              <w:rPr>
                <w:rFonts w:ascii="Times New Roman" w:hAnsi="Times New Roman" w:cs="Times New Roman" w:eastAsiaTheme="majorEastAsia"/>
                <w:sz w:val="15"/>
                <w:szCs w:val="15"/>
              </w:rPr>
            </w:pPr>
          </w:p>
        </w:tc>
      </w:tr>
      <w:tr w14:paraId="3F3E7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6A8389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二、本年期初余额</w:t>
            </w:r>
          </w:p>
        </w:tc>
        <w:tc>
          <w:tcPr>
            <w:tcW w:w="0" w:type="auto"/>
            <w:tcBorders>
              <w:top w:val="single" w:color="auto" w:sz="2" w:space="0"/>
              <w:left w:val="single" w:color="auto" w:sz="2" w:space="0"/>
              <w:bottom w:val="single" w:color="auto" w:sz="2" w:space="0"/>
              <w:right w:val="single" w:color="auto" w:sz="2" w:space="0"/>
            </w:tcBorders>
            <w:vAlign w:val="center"/>
          </w:tcPr>
          <w:p w14:paraId="6B0DAE66">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29CE713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0ECCF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03AD0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652AC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590,694,089.77</w:t>
            </w:r>
          </w:p>
        </w:tc>
        <w:tc>
          <w:tcPr>
            <w:tcW w:w="0" w:type="auto"/>
            <w:tcBorders>
              <w:top w:val="single" w:color="auto" w:sz="2" w:space="0"/>
              <w:left w:val="single" w:color="auto" w:sz="2" w:space="0"/>
              <w:bottom w:val="single" w:color="auto" w:sz="2" w:space="0"/>
              <w:right w:val="single" w:color="auto" w:sz="2" w:space="0"/>
            </w:tcBorders>
            <w:vAlign w:val="center"/>
          </w:tcPr>
          <w:p w14:paraId="1D7F374F">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5030BCFB">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-673,076.93</w:t>
            </w:r>
          </w:p>
        </w:tc>
        <w:tc>
          <w:tcPr>
            <w:tcW w:w="0" w:type="auto"/>
            <w:tcBorders>
              <w:top w:val="single" w:color="auto" w:sz="2" w:space="0"/>
              <w:left w:val="single" w:color="auto" w:sz="2" w:space="0"/>
              <w:bottom w:val="single" w:color="auto" w:sz="2" w:space="0"/>
              <w:right w:val="single" w:color="auto" w:sz="2" w:space="0"/>
            </w:tcBorders>
            <w:vAlign w:val="center"/>
          </w:tcPr>
          <w:p w14:paraId="097E9A0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C1E39B">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113C7ED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A1BBEF">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176,446,442.34</w:t>
            </w:r>
          </w:p>
        </w:tc>
        <w:tc>
          <w:tcPr>
            <w:tcW w:w="0" w:type="auto"/>
            <w:tcBorders>
              <w:top w:val="single" w:color="auto" w:sz="2" w:space="0"/>
              <w:left w:val="single" w:color="auto" w:sz="2" w:space="0"/>
              <w:bottom w:val="single" w:color="auto" w:sz="2" w:space="0"/>
              <w:right w:val="single" w:color="auto" w:sz="2" w:space="0"/>
            </w:tcBorders>
            <w:vAlign w:val="center"/>
          </w:tcPr>
          <w:p w14:paraId="1C115AE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0E9C27">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831,728,011.51</w:t>
            </w:r>
          </w:p>
        </w:tc>
        <w:tc>
          <w:tcPr>
            <w:tcW w:w="0" w:type="auto"/>
            <w:tcBorders>
              <w:top w:val="single" w:color="auto" w:sz="2" w:space="0"/>
              <w:left w:val="single" w:color="auto" w:sz="2" w:space="0"/>
              <w:bottom w:val="single" w:color="auto" w:sz="2" w:space="0"/>
              <w:right w:val="single" w:color="auto" w:sz="2" w:space="0"/>
            </w:tcBorders>
            <w:vAlign w:val="center"/>
          </w:tcPr>
          <w:p w14:paraId="06FC58B4">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4,551,722.69</w:t>
            </w:r>
          </w:p>
        </w:tc>
        <w:tc>
          <w:tcPr>
            <w:tcW w:w="0" w:type="auto"/>
            <w:tcBorders>
              <w:top w:val="single" w:color="auto" w:sz="2" w:space="0"/>
              <w:left w:val="single" w:color="auto" w:sz="2" w:space="0"/>
              <w:bottom w:val="single" w:color="auto" w:sz="2" w:space="0"/>
              <w:right w:val="single" w:color="auto" w:sz="2" w:space="0"/>
            </w:tcBorders>
            <w:vAlign w:val="center"/>
          </w:tcPr>
          <w:p w14:paraId="2E9F0FC1">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836,279,734.20</w:t>
            </w:r>
          </w:p>
        </w:tc>
      </w:tr>
      <w:tr w14:paraId="73F4D7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3996F88">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三、本期增减变动金额（减少以“－”号填列）</w:t>
            </w:r>
          </w:p>
        </w:tc>
        <w:tc>
          <w:tcPr>
            <w:tcW w:w="0" w:type="auto"/>
            <w:tcBorders>
              <w:top w:val="single" w:color="auto" w:sz="2" w:space="0"/>
              <w:left w:val="single" w:color="auto" w:sz="2" w:space="0"/>
              <w:bottom w:val="single" w:color="auto" w:sz="2" w:space="0"/>
              <w:right w:val="single" w:color="auto" w:sz="2" w:space="0"/>
            </w:tcBorders>
            <w:vAlign w:val="center"/>
          </w:tcPr>
          <w:p w14:paraId="076AFF1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145E72F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12D18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9AD52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F1EA37">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7,603,112.96</w:t>
            </w:r>
          </w:p>
        </w:tc>
        <w:tc>
          <w:tcPr>
            <w:tcW w:w="0" w:type="auto"/>
            <w:tcBorders>
              <w:top w:val="single" w:color="auto" w:sz="2" w:space="0"/>
              <w:left w:val="single" w:color="auto" w:sz="2" w:space="0"/>
              <w:bottom w:val="single" w:color="auto" w:sz="2" w:space="0"/>
              <w:right w:val="single" w:color="auto" w:sz="2" w:space="0"/>
            </w:tcBorders>
            <w:vAlign w:val="center"/>
          </w:tcPr>
          <w:p w14:paraId="01951A99">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24,859,888.07</w:t>
            </w:r>
          </w:p>
        </w:tc>
        <w:tc>
          <w:tcPr>
            <w:tcW w:w="0" w:type="auto"/>
            <w:tcBorders>
              <w:top w:val="single" w:color="auto" w:sz="2" w:space="0"/>
              <w:left w:val="single" w:color="auto" w:sz="2" w:space="0"/>
              <w:bottom w:val="single" w:color="auto" w:sz="2" w:space="0"/>
              <w:right w:val="single" w:color="auto" w:sz="2" w:space="0"/>
            </w:tcBorders>
            <w:vAlign w:val="center"/>
          </w:tcPr>
          <w:p w14:paraId="78B99409">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1B3B9E8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D2404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4D3F0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3527A2">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-56,163,104.46</w:t>
            </w:r>
          </w:p>
        </w:tc>
        <w:tc>
          <w:tcPr>
            <w:tcW w:w="0" w:type="auto"/>
            <w:tcBorders>
              <w:top w:val="single" w:color="auto" w:sz="2" w:space="0"/>
              <w:left w:val="single" w:color="auto" w:sz="2" w:space="0"/>
              <w:bottom w:val="single" w:color="auto" w:sz="2" w:space="0"/>
              <w:right w:val="single" w:color="auto" w:sz="2" w:space="0"/>
            </w:tcBorders>
            <w:vAlign w:val="center"/>
          </w:tcPr>
          <w:p w14:paraId="516A734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E3B18D">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-73,477,844.08</w:t>
            </w:r>
          </w:p>
        </w:tc>
        <w:tc>
          <w:tcPr>
            <w:tcW w:w="0" w:type="auto"/>
            <w:tcBorders>
              <w:top w:val="single" w:color="auto" w:sz="2" w:space="0"/>
              <w:left w:val="single" w:color="auto" w:sz="2" w:space="0"/>
              <w:bottom w:val="single" w:color="auto" w:sz="2" w:space="0"/>
              <w:right w:val="single" w:color="auto" w:sz="2" w:space="0"/>
            </w:tcBorders>
            <w:vAlign w:val="center"/>
          </w:tcPr>
          <w:p w14:paraId="7EDE8F8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3,614,930.46</w:t>
            </w:r>
          </w:p>
        </w:tc>
        <w:tc>
          <w:tcPr>
            <w:tcW w:w="0" w:type="auto"/>
            <w:tcBorders>
              <w:top w:val="single" w:color="auto" w:sz="2" w:space="0"/>
              <w:left w:val="single" w:color="auto" w:sz="2" w:space="0"/>
              <w:bottom w:val="single" w:color="auto" w:sz="2" w:space="0"/>
              <w:right w:val="single" w:color="auto" w:sz="2" w:space="0"/>
            </w:tcBorders>
            <w:vAlign w:val="center"/>
          </w:tcPr>
          <w:p w14:paraId="15C4ECD7">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-69,862,913.62</w:t>
            </w:r>
          </w:p>
        </w:tc>
      </w:tr>
      <w:tr w14:paraId="0E36B7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D570ADC">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（一）综合收益总额</w:t>
            </w:r>
          </w:p>
        </w:tc>
        <w:tc>
          <w:tcPr>
            <w:tcW w:w="0" w:type="auto"/>
            <w:tcBorders>
              <w:top w:val="single" w:color="auto" w:sz="2" w:space="0"/>
              <w:left w:val="single" w:color="auto" w:sz="2" w:space="0"/>
              <w:bottom w:val="single" w:color="auto" w:sz="2" w:space="0"/>
              <w:right w:val="single" w:color="auto" w:sz="2" w:space="0"/>
            </w:tcBorders>
            <w:vAlign w:val="center"/>
          </w:tcPr>
          <w:p w14:paraId="698C9B8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26E87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14FFD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08AFC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79F82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A7DC6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03FB6A">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4A59167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E76D1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21B99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BF5660">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-49,552,838.46</w:t>
            </w:r>
          </w:p>
        </w:tc>
        <w:tc>
          <w:tcPr>
            <w:tcW w:w="0" w:type="auto"/>
            <w:tcBorders>
              <w:top w:val="single" w:color="auto" w:sz="2" w:space="0"/>
              <w:left w:val="single" w:color="auto" w:sz="2" w:space="0"/>
              <w:bottom w:val="single" w:color="auto" w:sz="2" w:space="0"/>
              <w:right w:val="single" w:color="auto" w:sz="2" w:space="0"/>
            </w:tcBorders>
            <w:vAlign w:val="center"/>
          </w:tcPr>
          <w:p w14:paraId="638BCCC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20B618">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-49,482,802.97</w:t>
            </w:r>
          </w:p>
        </w:tc>
        <w:tc>
          <w:tcPr>
            <w:tcW w:w="0" w:type="auto"/>
            <w:tcBorders>
              <w:top w:val="single" w:color="auto" w:sz="2" w:space="0"/>
              <w:left w:val="single" w:color="auto" w:sz="2" w:space="0"/>
              <w:bottom w:val="single" w:color="auto" w:sz="2" w:space="0"/>
              <w:right w:val="single" w:color="auto" w:sz="2" w:space="0"/>
            </w:tcBorders>
            <w:vAlign w:val="center"/>
          </w:tcPr>
          <w:p w14:paraId="2E38E4B4">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-3,938,955.22</w:t>
            </w:r>
          </w:p>
        </w:tc>
        <w:tc>
          <w:tcPr>
            <w:tcW w:w="0" w:type="auto"/>
            <w:tcBorders>
              <w:top w:val="single" w:color="auto" w:sz="2" w:space="0"/>
              <w:left w:val="single" w:color="auto" w:sz="2" w:space="0"/>
              <w:bottom w:val="single" w:color="auto" w:sz="2" w:space="0"/>
              <w:right w:val="single" w:color="auto" w:sz="2" w:space="0"/>
            </w:tcBorders>
            <w:vAlign w:val="center"/>
          </w:tcPr>
          <w:p w14:paraId="47BAA5BE">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-53,421,758.19</w:t>
            </w:r>
          </w:p>
        </w:tc>
      </w:tr>
      <w:tr w14:paraId="25B49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CFA0CE3">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（二）所有者投入和减少资本</w:t>
            </w:r>
          </w:p>
        </w:tc>
        <w:tc>
          <w:tcPr>
            <w:tcW w:w="0" w:type="auto"/>
            <w:tcBorders>
              <w:top w:val="single" w:color="auto" w:sz="2" w:space="0"/>
              <w:left w:val="single" w:color="auto" w:sz="2" w:space="0"/>
              <w:bottom w:val="single" w:color="auto" w:sz="2" w:space="0"/>
              <w:right w:val="single" w:color="auto" w:sz="2" w:space="0"/>
            </w:tcBorders>
            <w:vAlign w:val="center"/>
          </w:tcPr>
          <w:p w14:paraId="27520EBB">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55D84DE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971DC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7CED8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BB55D8">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7,603,112.96</w:t>
            </w:r>
          </w:p>
        </w:tc>
        <w:tc>
          <w:tcPr>
            <w:tcW w:w="0" w:type="auto"/>
            <w:tcBorders>
              <w:top w:val="single" w:color="auto" w:sz="2" w:space="0"/>
              <w:left w:val="single" w:color="auto" w:sz="2" w:space="0"/>
              <w:bottom w:val="single" w:color="auto" w:sz="2" w:space="0"/>
              <w:right w:val="single" w:color="auto" w:sz="2" w:space="0"/>
            </w:tcBorders>
            <w:vAlign w:val="center"/>
          </w:tcPr>
          <w:p w14:paraId="2EED0A0A">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24,859,888.07</w:t>
            </w:r>
          </w:p>
        </w:tc>
        <w:tc>
          <w:tcPr>
            <w:tcW w:w="0" w:type="auto"/>
            <w:tcBorders>
              <w:top w:val="single" w:color="auto" w:sz="2" w:space="0"/>
              <w:left w:val="single" w:color="auto" w:sz="2" w:space="0"/>
              <w:bottom w:val="single" w:color="auto" w:sz="2" w:space="0"/>
              <w:right w:val="single" w:color="auto" w:sz="2" w:space="0"/>
            </w:tcBorders>
            <w:vAlign w:val="center"/>
          </w:tcPr>
          <w:p w14:paraId="57268C9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1F269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E5AC2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880BF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F1605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ADF13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138F5E">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-17,384,775.11</w:t>
            </w:r>
          </w:p>
        </w:tc>
        <w:tc>
          <w:tcPr>
            <w:tcW w:w="0" w:type="auto"/>
            <w:tcBorders>
              <w:top w:val="single" w:color="auto" w:sz="2" w:space="0"/>
              <w:left w:val="single" w:color="auto" w:sz="2" w:space="0"/>
              <w:bottom w:val="single" w:color="auto" w:sz="2" w:space="0"/>
              <w:right w:val="single" w:color="auto" w:sz="2" w:space="0"/>
            </w:tcBorders>
            <w:vAlign w:val="center"/>
          </w:tcPr>
          <w:p w14:paraId="44CAFB3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943F4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-17,384,775.11</w:t>
            </w:r>
          </w:p>
        </w:tc>
      </w:tr>
      <w:tr w14:paraId="66A61A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2CC365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1．所有者投入的普通股</w:t>
            </w:r>
          </w:p>
        </w:tc>
        <w:tc>
          <w:tcPr>
            <w:tcW w:w="0" w:type="auto"/>
            <w:tcBorders>
              <w:top w:val="single" w:color="auto" w:sz="2" w:space="0"/>
              <w:left w:val="single" w:color="auto" w:sz="2" w:space="0"/>
              <w:bottom w:val="single" w:color="auto" w:sz="2" w:space="0"/>
              <w:right w:val="single" w:color="auto" w:sz="2" w:space="0"/>
            </w:tcBorders>
            <w:vAlign w:val="center"/>
          </w:tcPr>
          <w:p w14:paraId="3CC7E936">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3760659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592E3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D6C3D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ADAC45">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-1,908,480.00</w:t>
            </w:r>
          </w:p>
        </w:tc>
        <w:tc>
          <w:tcPr>
            <w:tcW w:w="0" w:type="auto"/>
            <w:tcBorders>
              <w:top w:val="single" w:color="auto" w:sz="2" w:space="0"/>
              <w:left w:val="single" w:color="auto" w:sz="2" w:space="0"/>
              <w:bottom w:val="single" w:color="auto" w:sz="2" w:space="0"/>
              <w:right w:val="single" w:color="auto" w:sz="2" w:space="0"/>
            </w:tcBorders>
            <w:vAlign w:val="center"/>
          </w:tcPr>
          <w:p w14:paraId="172C717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-2,036,480.00</w:t>
            </w:r>
          </w:p>
        </w:tc>
        <w:tc>
          <w:tcPr>
            <w:tcW w:w="0" w:type="auto"/>
            <w:tcBorders>
              <w:top w:val="single" w:color="auto" w:sz="2" w:space="0"/>
              <w:left w:val="single" w:color="auto" w:sz="2" w:space="0"/>
              <w:bottom w:val="single" w:color="auto" w:sz="2" w:space="0"/>
              <w:right w:val="single" w:color="auto" w:sz="2" w:space="0"/>
            </w:tcBorders>
            <w:vAlign w:val="center"/>
          </w:tcPr>
          <w:p w14:paraId="113B546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ED127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42F24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79DC5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857AD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70DCE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D69C1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8CBAF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D102CF">
            <w:pPr>
              <w:spacing w:line="240" w:lineRule="exact"/>
              <w:ind w:left="-4" w:leftChars="-2" w:right="-4" w:rightChars="-2"/>
              <w:jc w:val="right"/>
              <w:rPr>
                <w:rFonts w:ascii="Times New Roman" w:hAnsi="Times New Roman" w:cs="Times New Roman" w:eastAsiaTheme="majorEastAsia"/>
                <w:sz w:val="15"/>
                <w:szCs w:val="15"/>
              </w:rPr>
            </w:pPr>
          </w:p>
        </w:tc>
      </w:tr>
      <w:tr w14:paraId="0C9E65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3442D7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2．其他权益工具持有者投入资本</w:t>
            </w:r>
          </w:p>
        </w:tc>
        <w:tc>
          <w:tcPr>
            <w:tcW w:w="0" w:type="auto"/>
            <w:tcBorders>
              <w:top w:val="single" w:color="auto" w:sz="2" w:space="0"/>
              <w:left w:val="single" w:color="auto" w:sz="2" w:space="0"/>
              <w:bottom w:val="single" w:color="auto" w:sz="2" w:space="0"/>
              <w:right w:val="single" w:color="auto" w:sz="2" w:space="0"/>
            </w:tcBorders>
            <w:vAlign w:val="center"/>
          </w:tcPr>
          <w:p w14:paraId="2EB5356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BDDE3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C9F71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4C282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13399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C7137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A2BC2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3C621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0FEB3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BA850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788DB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96DDE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C5FF7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3B937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23BCD4">
            <w:pPr>
              <w:spacing w:line="240" w:lineRule="exact"/>
              <w:ind w:left="-4" w:leftChars="-2" w:right="-4" w:rightChars="-2"/>
              <w:jc w:val="right"/>
              <w:rPr>
                <w:rFonts w:ascii="Times New Roman" w:hAnsi="Times New Roman" w:cs="Times New Roman" w:eastAsiaTheme="majorEastAsia"/>
                <w:sz w:val="15"/>
                <w:szCs w:val="15"/>
              </w:rPr>
            </w:pPr>
          </w:p>
        </w:tc>
      </w:tr>
      <w:tr w14:paraId="6C85C7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36569EE">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3．股份支付计入所有者权益的金额</w:t>
            </w:r>
          </w:p>
        </w:tc>
        <w:tc>
          <w:tcPr>
            <w:tcW w:w="0" w:type="auto"/>
            <w:tcBorders>
              <w:top w:val="single" w:color="auto" w:sz="2" w:space="0"/>
              <w:left w:val="single" w:color="auto" w:sz="2" w:space="0"/>
              <w:bottom w:val="single" w:color="auto" w:sz="2" w:space="0"/>
              <w:right w:val="single" w:color="auto" w:sz="2" w:space="0"/>
            </w:tcBorders>
            <w:vAlign w:val="center"/>
          </w:tcPr>
          <w:p w14:paraId="51ACD06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98C31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7B1C8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C522A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9D3DA5">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9,511,717.82</w:t>
            </w:r>
          </w:p>
        </w:tc>
        <w:tc>
          <w:tcPr>
            <w:tcW w:w="0" w:type="auto"/>
            <w:tcBorders>
              <w:top w:val="single" w:color="auto" w:sz="2" w:space="0"/>
              <w:left w:val="single" w:color="auto" w:sz="2" w:space="0"/>
              <w:bottom w:val="single" w:color="auto" w:sz="2" w:space="0"/>
              <w:right w:val="single" w:color="auto" w:sz="2" w:space="0"/>
            </w:tcBorders>
            <w:vAlign w:val="center"/>
          </w:tcPr>
          <w:p w14:paraId="3E1EE491">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27,011,568.07</w:t>
            </w:r>
          </w:p>
        </w:tc>
        <w:tc>
          <w:tcPr>
            <w:tcW w:w="0" w:type="auto"/>
            <w:tcBorders>
              <w:top w:val="single" w:color="auto" w:sz="2" w:space="0"/>
              <w:left w:val="single" w:color="auto" w:sz="2" w:space="0"/>
              <w:bottom w:val="single" w:color="auto" w:sz="2" w:space="0"/>
              <w:right w:val="single" w:color="auto" w:sz="2" w:space="0"/>
            </w:tcBorders>
            <w:vAlign w:val="center"/>
          </w:tcPr>
          <w:p w14:paraId="265F91A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26D3EE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ACC7C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DB58F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8609A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FA196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9EDFC5">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-17,499,850.25</w:t>
            </w:r>
          </w:p>
        </w:tc>
        <w:tc>
          <w:tcPr>
            <w:tcW w:w="0" w:type="auto"/>
            <w:tcBorders>
              <w:top w:val="single" w:color="auto" w:sz="2" w:space="0"/>
              <w:left w:val="single" w:color="auto" w:sz="2" w:space="0"/>
              <w:bottom w:val="single" w:color="auto" w:sz="2" w:space="0"/>
              <w:right w:val="single" w:color="auto" w:sz="2" w:space="0"/>
            </w:tcBorders>
            <w:vAlign w:val="center"/>
          </w:tcPr>
          <w:p w14:paraId="356D8D7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53A13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-17,499,850.25</w:t>
            </w:r>
          </w:p>
        </w:tc>
      </w:tr>
      <w:tr w14:paraId="6C4B8E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96606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0" w:type="auto"/>
            <w:tcBorders>
              <w:top w:val="single" w:color="auto" w:sz="2" w:space="0"/>
              <w:left w:val="single" w:color="auto" w:sz="2" w:space="0"/>
              <w:bottom w:val="single" w:color="auto" w:sz="2" w:space="0"/>
              <w:right w:val="single" w:color="auto" w:sz="2" w:space="0"/>
            </w:tcBorders>
            <w:vAlign w:val="center"/>
          </w:tcPr>
          <w:p w14:paraId="7F3C582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F5B57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A94BD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FC24E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5304B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-124.86</w:t>
            </w:r>
          </w:p>
        </w:tc>
        <w:tc>
          <w:tcPr>
            <w:tcW w:w="0" w:type="auto"/>
            <w:tcBorders>
              <w:top w:val="single" w:color="auto" w:sz="2" w:space="0"/>
              <w:left w:val="single" w:color="auto" w:sz="2" w:space="0"/>
              <w:bottom w:val="single" w:color="auto" w:sz="2" w:space="0"/>
              <w:right w:val="single" w:color="auto" w:sz="2" w:space="0"/>
            </w:tcBorders>
            <w:vAlign w:val="center"/>
          </w:tcPr>
          <w:p w14:paraId="10BE329D">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-115,200.00</w:t>
            </w:r>
          </w:p>
        </w:tc>
        <w:tc>
          <w:tcPr>
            <w:tcW w:w="0" w:type="auto"/>
            <w:tcBorders>
              <w:top w:val="single" w:color="auto" w:sz="2" w:space="0"/>
              <w:left w:val="single" w:color="auto" w:sz="2" w:space="0"/>
              <w:bottom w:val="single" w:color="auto" w:sz="2" w:space="0"/>
              <w:right w:val="single" w:color="auto" w:sz="2" w:space="0"/>
            </w:tcBorders>
            <w:vAlign w:val="center"/>
          </w:tcPr>
          <w:p w14:paraId="754FB17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8345B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2B368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4AEDD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300D3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5929A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921B3C">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115,075.14</w:t>
            </w:r>
          </w:p>
        </w:tc>
        <w:tc>
          <w:tcPr>
            <w:tcW w:w="0" w:type="auto"/>
            <w:tcBorders>
              <w:top w:val="single" w:color="auto" w:sz="2" w:space="0"/>
              <w:left w:val="single" w:color="auto" w:sz="2" w:space="0"/>
              <w:bottom w:val="single" w:color="auto" w:sz="2" w:space="0"/>
              <w:right w:val="single" w:color="auto" w:sz="2" w:space="0"/>
            </w:tcBorders>
            <w:vAlign w:val="center"/>
          </w:tcPr>
          <w:p w14:paraId="0BA70C7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4487A4">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115,075.14</w:t>
            </w:r>
          </w:p>
        </w:tc>
      </w:tr>
      <w:tr w14:paraId="79F3E2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DC3979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（三）利润分配</w:t>
            </w:r>
          </w:p>
        </w:tc>
        <w:tc>
          <w:tcPr>
            <w:tcW w:w="0" w:type="auto"/>
            <w:tcBorders>
              <w:top w:val="single" w:color="auto" w:sz="2" w:space="0"/>
              <w:left w:val="single" w:color="auto" w:sz="2" w:space="0"/>
              <w:bottom w:val="single" w:color="auto" w:sz="2" w:space="0"/>
              <w:right w:val="single" w:color="auto" w:sz="2" w:space="0"/>
            </w:tcBorders>
            <w:vAlign w:val="center"/>
          </w:tcPr>
          <w:p w14:paraId="575A0C2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BA729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19730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D456B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10B09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14879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AFADF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7AB57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8195D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736C3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1DBCC2">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3754AB9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F25C30">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0B901D1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7,553,885.68</w:t>
            </w:r>
          </w:p>
        </w:tc>
        <w:tc>
          <w:tcPr>
            <w:tcW w:w="0" w:type="auto"/>
            <w:tcBorders>
              <w:top w:val="single" w:color="auto" w:sz="2" w:space="0"/>
              <w:left w:val="single" w:color="auto" w:sz="2" w:space="0"/>
              <w:bottom w:val="single" w:color="auto" w:sz="2" w:space="0"/>
              <w:right w:val="single" w:color="auto" w:sz="2" w:space="0"/>
            </w:tcBorders>
            <w:vAlign w:val="center"/>
          </w:tcPr>
          <w:p w14:paraId="06E721AB">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943,619.68</w:t>
            </w:r>
          </w:p>
        </w:tc>
      </w:tr>
      <w:tr w14:paraId="558BB6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16928D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1．提取盈余公积</w:t>
            </w:r>
          </w:p>
        </w:tc>
        <w:tc>
          <w:tcPr>
            <w:tcW w:w="0" w:type="auto"/>
            <w:tcBorders>
              <w:top w:val="single" w:color="auto" w:sz="2" w:space="0"/>
              <w:left w:val="single" w:color="auto" w:sz="2" w:space="0"/>
              <w:bottom w:val="single" w:color="auto" w:sz="2" w:space="0"/>
              <w:right w:val="single" w:color="auto" w:sz="2" w:space="0"/>
            </w:tcBorders>
            <w:vAlign w:val="center"/>
          </w:tcPr>
          <w:p w14:paraId="0FD1658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DC143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D8CB5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DDE61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02475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993CD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34D56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F3040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E4792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F518F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C483E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D8C15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E8232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EF65C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D6EA10B">
            <w:pPr>
              <w:spacing w:line="240" w:lineRule="exact"/>
              <w:ind w:left="-4" w:leftChars="-2" w:right="-4" w:rightChars="-2"/>
              <w:jc w:val="right"/>
              <w:rPr>
                <w:rFonts w:ascii="Times New Roman" w:hAnsi="Times New Roman" w:cs="Times New Roman" w:eastAsiaTheme="majorEastAsia"/>
                <w:sz w:val="15"/>
                <w:szCs w:val="15"/>
              </w:rPr>
            </w:pPr>
          </w:p>
        </w:tc>
      </w:tr>
      <w:tr w14:paraId="411E6B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93D859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2．提取一般风险准备</w:t>
            </w:r>
          </w:p>
        </w:tc>
        <w:tc>
          <w:tcPr>
            <w:tcW w:w="0" w:type="auto"/>
            <w:tcBorders>
              <w:top w:val="single" w:color="auto" w:sz="2" w:space="0"/>
              <w:left w:val="single" w:color="auto" w:sz="2" w:space="0"/>
              <w:bottom w:val="single" w:color="auto" w:sz="2" w:space="0"/>
              <w:right w:val="single" w:color="auto" w:sz="2" w:space="0"/>
            </w:tcBorders>
            <w:vAlign w:val="center"/>
          </w:tcPr>
          <w:p w14:paraId="646CB16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BB0C4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72D8E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F28D4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AE073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EAFC6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89D25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5CB1D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74C3A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E34D3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2872D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887A2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F0F7F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F17EE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F6A58D">
            <w:pPr>
              <w:spacing w:line="240" w:lineRule="exact"/>
              <w:ind w:left="-4" w:leftChars="-2" w:right="-4" w:rightChars="-2"/>
              <w:jc w:val="right"/>
              <w:rPr>
                <w:rFonts w:ascii="Times New Roman" w:hAnsi="Times New Roman" w:cs="Times New Roman" w:eastAsiaTheme="majorEastAsia"/>
                <w:sz w:val="15"/>
                <w:szCs w:val="15"/>
              </w:rPr>
            </w:pPr>
          </w:p>
        </w:tc>
      </w:tr>
      <w:tr w14:paraId="677885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BF6B06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3．对所有者（或股东）的分配</w:t>
            </w:r>
          </w:p>
        </w:tc>
        <w:tc>
          <w:tcPr>
            <w:tcW w:w="0" w:type="auto"/>
            <w:tcBorders>
              <w:top w:val="single" w:color="auto" w:sz="2" w:space="0"/>
              <w:left w:val="single" w:color="auto" w:sz="2" w:space="0"/>
              <w:bottom w:val="single" w:color="auto" w:sz="2" w:space="0"/>
              <w:right w:val="single" w:color="auto" w:sz="2" w:space="0"/>
            </w:tcBorders>
            <w:vAlign w:val="center"/>
          </w:tcPr>
          <w:p w14:paraId="756A6DC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C1F3F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587F2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157B4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47815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DFAAF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EBBF2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B4B79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FF47A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74509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F5426E">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51D6AD0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837A13">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0D95418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D35607">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r>
      <w:tr w14:paraId="455EAF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494A40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0" w:type="auto"/>
            <w:tcBorders>
              <w:top w:val="single" w:color="auto" w:sz="2" w:space="0"/>
              <w:left w:val="single" w:color="auto" w:sz="2" w:space="0"/>
              <w:bottom w:val="single" w:color="auto" w:sz="2" w:space="0"/>
              <w:right w:val="single" w:color="auto" w:sz="2" w:space="0"/>
            </w:tcBorders>
            <w:vAlign w:val="center"/>
          </w:tcPr>
          <w:p w14:paraId="6495533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DC951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20392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49E9C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3D405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10574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D17AA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DD6BF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7EB84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7ECB8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AEC8A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5918A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545AD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75BD71">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7,553,885.68</w:t>
            </w:r>
          </w:p>
        </w:tc>
        <w:tc>
          <w:tcPr>
            <w:tcW w:w="0" w:type="auto"/>
            <w:tcBorders>
              <w:top w:val="single" w:color="auto" w:sz="2" w:space="0"/>
              <w:left w:val="single" w:color="auto" w:sz="2" w:space="0"/>
              <w:bottom w:val="single" w:color="auto" w:sz="2" w:space="0"/>
              <w:right w:val="single" w:color="auto" w:sz="2" w:space="0"/>
            </w:tcBorders>
            <w:vAlign w:val="center"/>
          </w:tcPr>
          <w:p w14:paraId="27CD9FAA">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7,553,885.68</w:t>
            </w:r>
          </w:p>
        </w:tc>
      </w:tr>
      <w:tr w14:paraId="39FF1F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372829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（四）所有者权益内部结转</w:t>
            </w:r>
          </w:p>
        </w:tc>
        <w:tc>
          <w:tcPr>
            <w:tcW w:w="0" w:type="auto"/>
            <w:tcBorders>
              <w:top w:val="single" w:color="auto" w:sz="2" w:space="0"/>
              <w:left w:val="single" w:color="auto" w:sz="2" w:space="0"/>
              <w:bottom w:val="single" w:color="auto" w:sz="2" w:space="0"/>
              <w:right w:val="single" w:color="auto" w:sz="2" w:space="0"/>
            </w:tcBorders>
            <w:vAlign w:val="center"/>
          </w:tcPr>
          <w:p w14:paraId="43ADD0E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9E8DA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95DF1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E5A74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5B180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E223B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0C3D4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250DC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5F95B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A0C29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01ADA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D9127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EFB6A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7C338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5622C4">
            <w:pPr>
              <w:spacing w:line="240" w:lineRule="exact"/>
              <w:ind w:left="-4" w:leftChars="-2" w:right="-4" w:rightChars="-2"/>
              <w:jc w:val="right"/>
              <w:rPr>
                <w:rFonts w:ascii="Times New Roman" w:hAnsi="Times New Roman" w:cs="Times New Roman" w:eastAsiaTheme="majorEastAsia"/>
                <w:sz w:val="15"/>
                <w:szCs w:val="15"/>
              </w:rPr>
            </w:pPr>
          </w:p>
        </w:tc>
      </w:tr>
      <w:tr w14:paraId="7510B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0B6020B">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1．资本公积转增资本（或股本）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045D4FE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F7F6C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723AE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C44EB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776EC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F1AEE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BAAE8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958DC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5644E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53764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75687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4A310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F1BA5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17670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65DFC2">
            <w:pPr>
              <w:spacing w:line="240" w:lineRule="exact"/>
              <w:ind w:left="-4" w:leftChars="-2" w:right="-4" w:rightChars="-2"/>
              <w:jc w:val="right"/>
              <w:rPr>
                <w:rFonts w:ascii="Times New Roman" w:hAnsi="Times New Roman" w:cs="Times New Roman" w:eastAsiaTheme="majorEastAsia"/>
                <w:sz w:val="15"/>
                <w:szCs w:val="15"/>
              </w:rPr>
            </w:pPr>
          </w:p>
        </w:tc>
      </w:tr>
      <w:tr w14:paraId="4B37B0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F43050E">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2．盈余公积转增资本（或股本）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2E7A8F5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D075B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76ECCD">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2B646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CEA6B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15AC8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96362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0B53B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7D95F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78245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B3A80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EA5AE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448FC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3A2A3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1DF15D">
            <w:pPr>
              <w:spacing w:line="240" w:lineRule="exact"/>
              <w:ind w:left="-4" w:leftChars="-2" w:right="-4" w:rightChars="-2"/>
              <w:jc w:val="right"/>
              <w:rPr>
                <w:rFonts w:ascii="Times New Roman" w:hAnsi="Times New Roman" w:cs="Times New Roman" w:eastAsiaTheme="majorEastAsia"/>
                <w:sz w:val="15"/>
                <w:szCs w:val="15"/>
              </w:rPr>
            </w:pPr>
          </w:p>
        </w:tc>
      </w:tr>
      <w:tr w14:paraId="50481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1BB86E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3．盈余公积弥补亏损</w:t>
            </w:r>
          </w:p>
        </w:tc>
        <w:tc>
          <w:tcPr>
            <w:tcW w:w="0" w:type="auto"/>
            <w:tcBorders>
              <w:top w:val="single" w:color="auto" w:sz="2" w:space="0"/>
              <w:left w:val="single" w:color="auto" w:sz="2" w:space="0"/>
              <w:bottom w:val="single" w:color="auto" w:sz="2" w:space="0"/>
              <w:right w:val="single" w:color="auto" w:sz="2" w:space="0"/>
            </w:tcBorders>
            <w:vAlign w:val="center"/>
          </w:tcPr>
          <w:p w14:paraId="787D9F6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97F2D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5B611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E69CF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9C831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8A2E8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31A1E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4306C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706E5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2CAF7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55CF5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3AF91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918B2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188FF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C5AC4F">
            <w:pPr>
              <w:spacing w:line="240" w:lineRule="exact"/>
              <w:ind w:left="-4" w:leftChars="-2" w:right="-4" w:rightChars="-2"/>
              <w:jc w:val="right"/>
              <w:rPr>
                <w:rFonts w:ascii="Times New Roman" w:hAnsi="Times New Roman" w:cs="Times New Roman" w:eastAsiaTheme="majorEastAsia"/>
                <w:sz w:val="15"/>
                <w:szCs w:val="15"/>
              </w:rPr>
            </w:pPr>
          </w:p>
        </w:tc>
      </w:tr>
      <w:tr w14:paraId="089D0F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862D5B">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4．设定受益计划变动额结转留存收益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6CB0362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54EA3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834E2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30938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B2037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B9938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B63CB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59FFB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A910C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FE75E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4EC05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CEE30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3E53F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79FA1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33AAE2">
            <w:pPr>
              <w:spacing w:line="240" w:lineRule="exact"/>
              <w:ind w:left="-4" w:leftChars="-2" w:right="-4" w:rightChars="-2"/>
              <w:jc w:val="right"/>
              <w:rPr>
                <w:rFonts w:ascii="Times New Roman" w:hAnsi="Times New Roman" w:cs="Times New Roman" w:eastAsiaTheme="majorEastAsia"/>
                <w:sz w:val="15"/>
                <w:szCs w:val="15"/>
              </w:rPr>
            </w:pPr>
          </w:p>
        </w:tc>
      </w:tr>
      <w:tr w14:paraId="50CBE7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E232C5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5．其他综合收益结转留存收益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6033BFF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BDDEF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62762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E017D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DFD7F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2DC2B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5D2D6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16A4A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06295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98B17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57447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E4701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EB78C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4C7C9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2C36F2">
            <w:pPr>
              <w:spacing w:line="240" w:lineRule="exact"/>
              <w:ind w:left="-4" w:leftChars="-2" w:right="-4" w:rightChars="-2"/>
              <w:jc w:val="right"/>
              <w:rPr>
                <w:rFonts w:ascii="Times New Roman" w:hAnsi="Times New Roman" w:cs="Times New Roman" w:eastAsiaTheme="majorEastAsia"/>
                <w:sz w:val="15"/>
                <w:szCs w:val="15"/>
              </w:rPr>
            </w:pPr>
          </w:p>
        </w:tc>
      </w:tr>
      <w:tr w14:paraId="6303F3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7E16623">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6．其他</w:t>
            </w:r>
          </w:p>
        </w:tc>
        <w:tc>
          <w:tcPr>
            <w:tcW w:w="0" w:type="auto"/>
            <w:tcBorders>
              <w:top w:val="single" w:color="auto" w:sz="2" w:space="0"/>
              <w:left w:val="single" w:color="auto" w:sz="2" w:space="0"/>
              <w:bottom w:val="single" w:color="auto" w:sz="2" w:space="0"/>
              <w:right w:val="single" w:color="auto" w:sz="2" w:space="0"/>
            </w:tcBorders>
            <w:vAlign w:val="center"/>
          </w:tcPr>
          <w:p w14:paraId="06BD46B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ED9E7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A51C8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9A660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8378C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D61CA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FF310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6F326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53F64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B74F6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4E4BA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9063D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844C3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C691F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71CFAE">
            <w:pPr>
              <w:spacing w:line="240" w:lineRule="exact"/>
              <w:ind w:left="-4" w:leftChars="-2" w:right="-4" w:rightChars="-2"/>
              <w:jc w:val="right"/>
              <w:rPr>
                <w:rFonts w:ascii="Times New Roman" w:hAnsi="Times New Roman" w:cs="Times New Roman" w:eastAsiaTheme="majorEastAsia"/>
                <w:sz w:val="15"/>
                <w:szCs w:val="15"/>
              </w:rPr>
            </w:pPr>
          </w:p>
        </w:tc>
      </w:tr>
      <w:tr w14:paraId="682D59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D3C3F5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（五）专项储备</w:t>
            </w:r>
          </w:p>
        </w:tc>
        <w:tc>
          <w:tcPr>
            <w:tcW w:w="0" w:type="auto"/>
            <w:tcBorders>
              <w:top w:val="single" w:color="auto" w:sz="2" w:space="0"/>
              <w:left w:val="single" w:color="auto" w:sz="2" w:space="0"/>
              <w:bottom w:val="single" w:color="auto" w:sz="2" w:space="0"/>
              <w:right w:val="single" w:color="auto" w:sz="2" w:space="0"/>
            </w:tcBorders>
            <w:vAlign w:val="center"/>
          </w:tcPr>
          <w:p w14:paraId="6C0105D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F1847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A51E1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13EFB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26162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2E8970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9DBA3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64083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FF280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4CB0A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415CE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F584C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A12D1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662BE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CF75D0">
            <w:pPr>
              <w:spacing w:line="240" w:lineRule="exact"/>
              <w:ind w:left="-4" w:leftChars="-2" w:right="-4" w:rightChars="-2"/>
              <w:jc w:val="right"/>
              <w:rPr>
                <w:rFonts w:ascii="Times New Roman" w:hAnsi="Times New Roman" w:cs="Times New Roman" w:eastAsiaTheme="majorEastAsia"/>
                <w:sz w:val="15"/>
                <w:szCs w:val="15"/>
              </w:rPr>
            </w:pPr>
          </w:p>
        </w:tc>
      </w:tr>
      <w:tr w14:paraId="5BDA3C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353C6AB">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1．本期提取</w:t>
            </w:r>
          </w:p>
        </w:tc>
        <w:tc>
          <w:tcPr>
            <w:tcW w:w="0" w:type="auto"/>
            <w:tcBorders>
              <w:top w:val="single" w:color="auto" w:sz="2" w:space="0"/>
              <w:left w:val="single" w:color="auto" w:sz="2" w:space="0"/>
              <w:bottom w:val="single" w:color="auto" w:sz="2" w:space="0"/>
              <w:right w:val="single" w:color="auto" w:sz="2" w:space="0"/>
            </w:tcBorders>
            <w:vAlign w:val="center"/>
          </w:tcPr>
          <w:p w14:paraId="5A78F0C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FDB53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7D1D0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F661E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7E52C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A97E1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8A216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ABCB2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9C482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D66BB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BE4FC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92522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ABA41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D60C6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BE1F1C">
            <w:pPr>
              <w:spacing w:line="240" w:lineRule="exact"/>
              <w:ind w:left="-4" w:leftChars="-2" w:right="-4" w:rightChars="-2"/>
              <w:jc w:val="right"/>
              <w:rPr>
                <w:rFonts w:ascii="Times New Roman" w:hAnsi="Times New Roman" w:cs="Times New Roman" w:eastAsiaTheme="majorEastAsia"/>
                <w:sz w:val="15"/>
                <w:szCs w:val="15"/>
              </w:rPr>
            </w:pPr>
          </w:p>
        </w:tc>
      </w:tr>
      <w:tr w14:paraId="13ACDA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B38867A">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2．本期使用</w:t>
            </w:r>
          </w:p>
        </w:tc>
        <w:tc>
          <w:tcPr>
            <w:tcW w:w="0" w:type="auto"/>
            <w:tcBorders>
              <w:top w:val="single" w:color="auto" w:sz="2" w:space="0"/>
              <w:left w:val="single" w:color="auto" w:sz="2" w:space="0"/>
              <w:bottom w:val="single" w:color="auto" w:sz="2" w:space="0"/>
              <w:right w:val="single" w:color="auto" w:sz="2" w:space="0"/>
            </w:tcBorders>
            <w:vAlign w:val="center"/>
          </w:tcPr>
          <w:p w14:paraId="7976B82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FAD78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5C4D9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62A2B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11568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9499F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00D23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B44D3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88AE8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410DAF">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BC1D1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035186">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899EF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51304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60EA81">
            <w:pPr>
              <w:spacing w:line="240" w:lineRule="exact"/>
              <w:ind w:left="-4" w:leftChars="-2" w:right="-4" w:rightChars="-2"/>
              <w:jc w:val="right"/>
              <w:rPr>
                <w:rFonts w:ascii="Times New Roman" w:hAnsi="Times New Roman" w:cs="Times New Roman" w:eastAsiaTheme="majorEastAsia"/>
                <w:sz w:val="15"/>
                <w:szCs w:val="15"/>
              </w:rPr>
            </w:pPr>
          </w:p>
        </w:tc>
      </w:tr>
      <w:tr w14:paraId="20B19F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A4D92A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（六）其他</w:t>
            </w:r>
          </w:p>
        </w:tc>
        <w:tc>
          <w:tcPr>
            <w:tcW w:w="0" w:type="auto"/>
            <w:tcBorders>
              <w:top w:val="single" w:color="auto" w:sz="2" w:space="0"/>
              <w:left w:val="single" w:color="auto" w:sz="2" w:space="0"/>
              <w:bottom w:val="single" w:color="auto" w:sz="2" w:space="0"/>
              <w:right w:val="single" w:color="auto" w:sz="2" w:space="0"/>
            </w:tcBorders>
            <w:vAlign w:val="center"/>
          </w:tcPr>
          <w:p w14:paraId="7397C617">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8A126E">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FCE1C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2E3CB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7C91D8">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45122A">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B17ED9">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7E045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DD9777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92AD6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BFDBD0">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20FA71">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46B0F5">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526D2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AF26B0">
            <w:pPr>
              <w:spacing w:line="240" w:lineRule="exact"/>
              <w:ind w:left="-4" w:leftChars="-2" w:right="-4" w:rightChars="-2"/>
              <w:jc w:val="right"/>
              <w:rPr>
                <w:rFonts w:ascii="Times New Roman" w:hAnsi="Times New Roman" w:cs="Times New Roman" w:eastAsiaTheme="majorEastAsia"/>
                <w:sz w:val="15"/>
                <w:szCs w:val="15"/>
              </w:rPr>
            </w:pPr>
          </w:p>
        </w:tc>
      </w:tr>
      <w:tr w14:paraId="49F4E4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824ED77">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四、本期期末余额</w:t>
            </w:r>
          </w:p>
        </w:tc>
        <w:tc>
          <w:tcPr>
            <w:tcW w:w="0" w:type="auto"/>
            <w:tcBorders>
              <w:top w:val="single" w:color="auto" w:sz="2" w:space="0"/>
              <w:left w:val="single" w:color="auto" w:sz="2" w:space="0"/>
              <w:bottom w:val="single" w:color="auto" w:sz="2" w:space="0"/>
              <w:right w:val="single" w:color="auto" w:sz="2" w:space="0"/>
            </w:tcBorders>
            <w:vAlign w:val="center"/>
          </w:tcPr>
          <w:p w14:paraId="27B54EE6">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67,108,800.00</w:t>
            </w:r>
          </w:p>
        </w:tc>
        <w:tc>
          <w:tcPr>
            <w:tcW w:w="0" w:type="auto"/>
            <w:tcBorders>
              <w:top w:val="single" w:color="auto" w:sz="2" w:space="0"/>
              <w:left w:val="single" w:color="auto" w:sz="2" w:space="0"/>
              <w:bottom w:val="single" w:color="auto" w:sz="2" w:space="0"/>
              <w:right w:val="single" w:color="auto" w:sz="2" w:space="0"/>
            </w:tcBorders>
            <w:vAlign w:val="center"/>
          </w:tcPr>
          <w:p w14:paraId="5E99FE1B">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5BA60C">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75A03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8D5E41">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598,297,202.73</w:t>
            </w:r>
          </w:p>
        </w:tc>
        <w:tc>
          <w:tcPr>
            <w:tcW w:w="0" w:type="auto"/>
            <w:tcBorders>
              <w:top w:val="single" w:color="auto" w:sz="2" w:space="0"/>
              <w:left w:val="single" w:color="auto" w:sz="2" w:space="0"/>
              <w:bottom w:val="single" w:color="auto" w:sz="2" w:space="0"/>
              <w:right w:val="single" w:color="auto" w:sz="2" w:space="0"/>
            </w:tcBorders>
            <w:vAlign w:val="center"/>
          </w:tcPr>
          <w:p w14:paraId="1D8078D9">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52,740,572.07</w:t>
            </w:r>
          </w:p>
        </w:tc>
        <w:tc>
          <w:tcPr>
            <w:tcW w:w="0" w:type="auto"/>
            <w:tcBorders>
              <w:top w:val="single" w:color="auto" w:sz="2" w:space="0"/>
              <w:left w:val="single" w:color="auto" w:sz="2" w:space="0"/>
              <w:bottom w:val="single" w:color="auto" w:sz="2" w:space="0"/>
              <w:right w:val="single" w:color="auto" w:sz="2" w:space="0"/>
            </w:tcBorders>
            <w:vAlign w:val="center"/>
          </w:tcPr>
          <w:p w14:paraId="720A7596">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-603,041.44</w:t>
            </w:r>
          </w:p>
        </w:tc>
        <w:tc>
          <w:tcPr>
            <w:tcW w:w="0" w:type="auto"/>
            <w:tcBorders>
              <w:top w:val="single" w:color="auto" w:sz="2" w:space="0"/>
              <w:left w:val="single" w:color="auto" w:sz="2" w:space="0"/>
              <w:bottom w:val="single" w:color="auto" w:sz="2" w:space="0"/>
              <w:right w:val="single" w:color="auto" w:sz="2" w:space="0"/>
            </w:tcBorders>
            <w:vAlign w:val="center"/>
          </w:tcPr>
          <w:p w14:paraId="130E3C64">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AF35C1">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7326DA53">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59A0E2">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120,283,337.88</w:t>
            </w:r>
          </w:p>
        </w:tc>
        <w:tc>
          <w:tcPr>
            <w:tcW w:w="0" w:type="auto"/>
            <w:tcBorders>
              <w:top w:val="single" w:color="auto" w:sz="2" w:space="0"/>
              <w:left w:val="single" w:color="auto" w:sz="2" w:space="0"/>
              <w:bottom w:val="single" w:color="auto" w:sz="2" w:space="0"/>
              <w:right w:val="single" w:color="auto" w:sz="2" w:space="0"/>
            </w:tcBorders>
            <w:vAlign w:val="center"/>
          </w:tcPr>
          <w:p w14:paraId="4F4377E2">
            <w:pPr>
              <w:spacing w:line="240" w:lineRule="exact"/>
              <w:ind w:left="-4" w:leftChars="-2" w:right="-4" w:rightChars="-2"/>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970D5A">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758,250,167.43</w:t>
            </w:r>
          </w:p>
        </w:tc>
        <w:tc>
          <w:tcPr>
            <w:tcW w:w="0" w:type="auto"/>
            <w:tcBorders>
              <w:top w:val="single" w:color="auto" w:sz="2" w:space="0"/>
              <w:left w:val="single" w:color="auto" w:sz="2" w:space="0"/>
              <w:bottom w:val="single" w:color="auto" w:sz="2" w:space="0"/>
              <w:right w:val="single" w:color="auto" w:sz="2" w:space="0"/>
            </w:tcBorders>
            <w:vAlign w:val="center"/>
          </w:tcPr>
          <w:p w14:paraId="269105B2">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8,166,653.15</w:t>
            </w:r>
          </w:p>
        </w:tc>
        <w:tc>
          <w:tcPr>
            <w:tcW w:w="0" w:type="auto"/>
            <w:tcBorders>
              <w:top w:val="single" w:color="auto" w:sz="2" w:space="0"/>
              <w:left w:val="single" w:color="auto" w:sz="2" w:space="0"/>
              <w:bottom w:val="single" w:color="auto" w:sz="2" w:space="0"/>
              <w:right w:val="single" w:color="auto" w:sz="2" w:space="0"/>
            </w:tcBorders>
            <w:vAlign w:val="center"/>
          </w:tcPr>
          <w:p w14:paraId="0C967F78">
            <w:pPr>
              <w:spacing w:line="240" w:lineRule="exact"/>
              <w:ind w:left="-4" w:leftChars="-2" w:right="-4" w:rightChars="-2"/>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766,416,820.58</w:t>
            </w:r>
          </w:p>
        </w:tc>
      </w:tr>
    </w:tbl>
    <w:p w14:paraId="13B20DA8">
      <w:pPr>
        <w:rPr>
          <w:rFonts w:ascii="Times New Roman" w:hAnsi="Times New Roman" w:cs="Times New Roman" w:eastAsiaTheme="majorEastAsia"/>
          <w:sz w:val="18"/>
          <w:szCs w:val="18"/>
        </w:rPr>
      </w:pPr>
    </w:p>
    <w:p w14:paraId="0A321723">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法定代表人：林明玲                                                                                              主管会计工作负责人：陈焕盛                                                                       会计机构负责人：赖宏伟</w:t>
      </w:r>
    </w:p>
    <w:p w14:paraId="07ECC8D7">
      <w:pPr>
        <w:widowControl/>
        <w:rPr>
          <w:rFonts w:ascii="Times New Roman" w:hAnsi="Times New Roman" w:cs="Times New Roman" w:eastAsiaTheme="majorEastAsia"/>
          <w:sz w:val="18"/>
          <w:szCs w:val="18"/>
        </w:rPr>
      </w:pPr>
      <w:r>
        <w:rPr>
          <w:rFonts w:ascii="Times New Roman" w:hAnsi="Times New Roman" w:cs="Times New Roman" w:eastAsiaTheme="majorEastAsia"/>
          <w:sz w:val="18"/>
          <w:szCs w:val="18"/>
        </w:rPr>
        <w:br w:type="page"/>
      </w:r>
    </w:p>
    <w:p w14:paraId="7B72886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上期金额</w:t>
      </w:r>
    </w:p>
    <w:p w14:paraId="1121EB4B">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31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97"/>
        <w:gridCol w:w="1079"/>
        <w:gridCol w:w="483"/>
        <w:gridCol w:w="484"/>
        <w:gridCol w:w="440"/>
        <w:gridCol w:w="1154"/>
        <w:gridCol w:w="1088"/>
        <w:gridCol w:w="990"/>
        <w:gridCol w:w="528"/>
        <w:gridCol w:w="1079"/>
        <w:gridCol w:w="616"/>
        <w:gridCol w:w="1154"/>
        <w:gridCol w:w="440"/>
        <w:gridCol w:w="1154"/>
        <w:gridCol w:w="1075"/>
        <w:gridCol w:w="1233"/>
      </w:tblGrid>
      <w:tr w14:paraId="0B5D10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CBEBE7">
            <w:pPr>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gridSpan w:val="15"/>
            <w:tcBorders>
              <w:top w:val="single" w:color="auto" w:sz="2" w:space="0"/>
              <w:left w:val="single" w:color="auto" w:sz="2" w:space="0"/>
              <w:bottom w:val="single" w:color="auto" w:sz="2" w:space="0"/>
              <w:right w:val="single" w:color="auto" w:sz="2" w:space="0"/>
            </w:tcBorders>
            <w:shd w:val="clear" w:color="auto" w:fill="D3D3D3"/>
            <w:vAlign w:val="center"/>
          </w:tcPr>
          <w:p w14:paraId="6C9B6B4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5F4A6C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5ECF59">
            <w:pPr>
              <w:rPr>
                <w:rFonts w:ascii="Times New Roman" w:hAnsi="Times New Roman" w:cs="Times New Roman" w:eastAsiaTheme="majorEastAsia"/>
              </w:rPr>
            </w:pPr>
          </w:p>
        </w:tc>
        <w:tc>
          <w:tcPr>
            <w:tcW w:w="0" w:type="auto"/>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444C8C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归属于母公司所有者权益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3E68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少数股东权益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F4297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r>
      <w:tr w14:paraId="6D65DB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CECA521">
            <w:pPr>
              <w:rPr>
                <w:rFonts w:ascii="Times New Roman" w:hAnsi="Times New Roman" w:cs="Times New Roman" w:eastAsiaTheme="majorEastAsia"/>
              </w:rPr>
            </w:pP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C70B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D584E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BBC93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60D0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62AF00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6079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784A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C194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一般风险准备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53DEF5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4DB99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294D1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小计</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592A2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32594A">
            <w:pPr>
              <w:rPr>
                <w:rFonts w:ascii="Times New Roman" w:hAnsi="Times New Roman" w:cs="Times New Roman" w:eastAsiaTheme="majorEastAsia"/>
              </w:rPr>
            </w:pPr>
          </w:p>
        </w:tc>
      </w:tr>
      <w:tr w14:paraId="06F742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1FF907">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7055D7">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41905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优先股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45EE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1245F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244B47">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9D056B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68EFED">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BA337C">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8E523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CB831E">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0AC0DD">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F2C273">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9FDB336">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D075F2">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8F1746">
            <w:pPr>
              <w:rPr>
                <w:rFonts w:ascii="Times New Roman" w:hAnsi="Times New Roman" w:cs="Times New Roman" w:eastAsiaTheme="majorEastAsia"/>
              </w:rPr>
            </w:pPr>
          </w:p>
        </w:tc>
      </w:tr>
      <w:tr w14:paraId="78E4B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48CFC4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一、上年期末余额</w:t>
            </w:r>
          </w:p>
        </w:tc>
        <w:tc>
          <w:tcPr>
            <w:tcW w:w="0" w:type="auto"/>
            <w:tcBorders>
              <w:top w:val="single" w:color="auto" w:sz="2" w:space="0"/>
              <w:left w:val="single" w:color="auto" w:sz="2" w:space="0"/>
              <w:bottom w:val="single" w:color="auto" w:sz="2" w:space="0"/>
              <w:right w:val="single" w:color="auto" w:sz="2" w:space="0"/>
            </w:tcBorders>
            <w:vAlign w:val="center"/>
          </w:tcPr>
          <w:p w14:paraId="568D3B9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65,956,800.00</w:t>
            </w:r>
          </w:p>
        </w:tc>
        <w:tc>
          <w:tcPr>
            <w:tcW w:w="0" w:type="auto"/>
            <w:tcBorders>
              <w:top w:val="single" w:color="auto" w:sz="2" w:space="0"/>
              <w:left w:val="single" w:color="auto" w:sz="2" w:space="0"/>
              <w:bottom w:val="single" w:color="auto" w:sz="2" w:space="0"/>
              <w:right w:val="single" w:color="auto" w:sz="2" w:space="0"/>
            </w:tcBorders>
            <w:vAlign w:val="center"/>
          </w:tcPr>
          <w:p w14:paraId="524DA6D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DEE04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28374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478D4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572,219,716.72</w:t>
            </w:r>
          </w:p>
        </w:tc>
        <w:tc>
          <w:tcPr>
            <w:tcW w:w="0" w:type="auto"/>
            <w:tcBorders>
              <w:top w:val="single" w:color="auto" w:sz="2" w:space="0"/>
              <w:left w:val="single" w:color="auto" w:sz="2" w:space="0"/>
              <w:bottom w:val="single" w:color="auto" w:sz="2" w:space="0"/>
              <w:right w:val="single" w:color="auto" w:sz="2" w:space="0"/>
            </w:tcBorders>
            <w:vAlign w:val="center"/>
          </w:tcPr>
          <w:p w14:paraId="2A4C761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60FCA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131,462.27</w:t>
            </w:r>
          </w:p>
        </w:tc>
        <w:tc>
          <w:tcPr>
            <w:tcW w:w="0" w:type="auto"/>
            <w:tcBorders>
              <w:top w:val="single" w:color="auto" w:sz="2" w:space="0"/>
              <w:left w:val="single" w:color="auto" w:sz="2" w:space="0"/>
              <w:bottom w:val="single" w:color="auto" w:sz="2" w:space="0"/>
              <w:right w:val="single" w:color="auto" w:sz="2" w:space="0"/>
            </w:tcBorders>
            <w:vAlign w:val="center"/>
          </w:tcPr>
          <w:p w14:paraId="12E695E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4F7EA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0C6BFCC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CA181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175,333,930.42</w:t>
            </w:r>
          </w:p>
        </w:tc>
        <w:tc>
          <w:tcPr>
            <w:tcW w:w="0" w:type="auto"/>
            <w:tcBorders>
              <w:top w:val="single" w:color="auto" w:sz="2" w:space="0"/>
              <w:left w:val="single" w:color="auto" w:sz="2" w:space="0"/>
              <w:bottom w:val="single" w:color="auto" w:sz="2" w:space="0"/>
              <w:right w:val="single" w:color="auto" w:sz="2" w:space="0"/>
            </w:tcBorders>
            <w:vAlign w:val="center"/>
          </w:tcPr>
          <w:p w14:paraId="35FD52E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C5AFA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839,546,349.74</w:t>
            </w:r>
          </w:p>
        </w:tc>
        <w:tc>
          <w:tcPr>
            <w:tcW w:w="0" w:type="auto"/>
            <w:tcBorders>
              <w:top w:val="single" w:color="auto" w:sz="2" w:space="0"/>
              <w:left w:val="single" w:color="auto" w:sz="2" w:space="0"/>
              <w:bottom w:val="single" w:color="auto" w:sz="2" w:space="0"/>
              <w:right w:val="single" w:color="auto" w:sz="2" w:space="0"/>
            </w:tcBorders>
            <w:vAlign w:val="center"/>
          </w:tcPr>
          <w:p w14:paraId="63A307C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-317,521.39</w:t>
            </w:r>
          </w:p>
        </w:tc>
        <w:tc>
          <w:tcPr>
            <w:tcW w:w="0" w:type="auto"/>
            <w:tcBorders>
              <w:top w:val="single" w:color="auto" w:sz="2" w:space="0"/>
              <w:left w:val="single" w:color="auto" w:sz="2" w:space="0"/>
              <w:bottom w:val="single" w:color="auto" w:sz="2" w:space="0"/>
              <w:right w:val="single" w:color="auto" w:sz="2" w:space="0"/>
            </w:tcBorders>
            <w:vAlign w:val="center"/>
          </w:tcPr>
          <w:p w14:paraId="126C7EB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839,228,828.35</w:t>
            </w:r>
          </w:p>
        </w:tc>
      </w:tr>
      <w:tr w14:paraId="18278F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134268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加：会计政策变更</w:t>
            </w:r>
          </w:p>
        </w:tc>
        <w:tc>
          <w:tcPr>
            <w:tcW w:w="0" w:type="auto"/>
            <w:tcBorders>
              <w:top w:val="single" w:color="auto" w:sz="2" w:space="0"/>
              <w:left w:val="single" w:color="auto" w:sz="2" w:space="0"/>
              <w:bottom w:val="single" w:color="auto" w:sz="2" w:space="0"/>
              <w:right w:val="single" w:color="auto" w:sz="2" w:space="0"/>
            </w:tcBorders>
            <w:vAlign w:val="center"/>
          </w:tcPr>
          <w:p w14:paraId="2681A8D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77734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5C305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8F8EB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CBFE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6B44D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EB277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0158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54E8A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E5AF6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78813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6887C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EEDB7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AD687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926D48">
            <w:pPr>
              <w:spacing w:line="240" w:lineRule="exact"/>
              <w:jc w:val="right"/>
              <w:rPr>
                <w:rFonts w:ascii="Times New Roman" w:hAnsi="Times New Roman" w:cs="Times New Roman" w:eastAsiaTheme="majorEastAsia"/>
                <w:sz w:val="15"/>
                <w:szCs w:val="15"/>
              </w:rPr>
            </w:pPr>
          </w:p>
        </w:tc>
      </w:tr>
      <w:tr w14:paraId="0956AF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E14D96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前期差错更正</w:t>
            </w:r>
          </w:p>
        </w:tc>
        <w:tc>
          <w:tcPr>
            <w:tcW w:w="0" w:type="auto"/>
            <w:tcBorders>
              <w:top w:val="single" w:color="auto" w:sz="2" w:space="0"/>
              <w:left w:val="single" w:color="auto" w:sz="2" w:space="0"/>
              <w:bottom w:val="single" w:color="auto" w:sz="2" w:space="0"/>
              <w:right w:val="single" w:color="auto" w:sz="2" w:space="0"/>
            </w:tcBorders>
            <w:vAlign w:val="center"/>
          </w:tcPr>
          <w:p w14:paraId="44C97D3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3536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DF2C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98D5B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7D5EE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60D0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68630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90477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4B52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65731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99182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21C07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9C654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ADBA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1E049A">
            <w:pPr>
              <w:spacing w:line="240" w:lineRule="exact"/>
              <w:jc w:val="right"/>
              <w:rPr>
                <w:rFonts w:ascii="Times New Roman" w:hAnsi="Times New Roman" w:cs="Times New Roman" w:eastAsiaTheme="majorEastAsia"/>
                <w:sz w:val="15"/>
                <w:szCs w:val="15"/>
              </w:rPr>
            </w:pPr>
          </w:p>
        </w:tc>
      </w:tr>
      <w:tr w14:paraId="2D192B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EDA151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tcBorders>
              <w:top w:val="single" w:color="auto" w:sz="2" w:space="0"/>
              <w:left w:val="single" w:color="auto" w:sz="2" w:space="0"/>
              <w:bottom w:val="single" w:color="auto" w:sz="2" w:space="0"/>
              <w:right w:val="single" w:color="auto" w:sz="2" w:space="0"/>
            </w:tcBorders>
            <w:vAlign w:val="center"/>
          </w:tcPr>
          <w:p w14:paraId="302970B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BE36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AEB9C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4C306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E79A9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E1B83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9C265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8C7CF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42C5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2196D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671CB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79F5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7C12E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D14DF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5E8E69">
            <w:pPr>
              <w:spacing w:line="240" w:lineRule="exact"/>
              <w:jc w:val="right"/>
              <w:rPr>
                <w:rFonts w:ascii="Times New Roman" w:hAnsi="Times New Roman" w:cs="Times New Roman" w:eastAsiaTheme="majorEastAsia"/>
                <w:sz w:val="15"/>
                <w:szCs w:val="15"/>
              </w:rPr>
            </w:pPr>
          </w:p>
        </w:tc>
      </w:tr>
      <w:tr w14:paraId="1538D3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C8E1113">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二、本年期初余额</w:t>
            </w:r>
          </w:p>
        </w:tc>
        <w:tc>
          <w:tcPr>
            <w:tcW w:w="0" w:type="auto"/>
            <w:tcBorders>
              <w:top w:val="single" w:color="auto" w:sz="2" w:space="0"/>
              <w:left w:val="single" w:color="auto" w:sz="2" w:space="0"/>
              <w:bottom w:val="single" w:color="auto" w:sz="2" w:space="0"/>
              <w:right w:val="single" w:color="auto" w:sz="2" w:space="0"/>
            </w:tcBorders>
            <w:vAlign w:val="center"/>
          </w:tcPr>
          <w:p w14:paraId="7E6DB6F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65,956,800.00</w:t>
            </w:r>
          </w:p>
        </w:tc>
        <w:tc>
          <w:tcPr>
            <w:tcW w:w="0" w:type="auto"/>
            <w:tcBorders>
              <w:top w:val="single" w:color="auto" w:sz="2" w:space="0"/>
              <w:left w:val="single" w:color="auto" w:sz="2" w:space="0"/>
              <w:bottom w:val="single" w:color="auto" w:sz="2" w:space="0"/>
              <w:right w:val="single" w:color="auto" w:sz="2" w:space="0"/>
            </w:tcBorders>
            <w:vAlign w:val="center"/>
          </w:tcPr>
          <w:p w14:paraId="59EC3A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4BBC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76B37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9FD35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572,219,716.72</w:t>
            </w:r>
          </w:p>
        </w:tc>
        <w:tc>
          <w:tcPr>
            <w:tcW w:w="0" w:type="auto"/>
            <w:tcBorders>
              <w:top w:val="single" w:color="auto" w:sz="2" w:space="0"/>
              <w:left w:val="single" w:color="auto" w:sz="2" w:space="0"/>
              <w:bottom w:val="single" w:color="auto" w:sz="2" w:space="0"/>
              <w:right w:val="single" w:color="auto" w:sz="2" w:space="0"/>
            </w:tcBorders>
            <w:vAlign w:val="center"/>
          </w:tcPr>
          <w:p w14:paraId="45DD8AF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4544E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131,462.27</w:t>
            </w:r>
          </w:p>
        </w:tc>
        <w:tc>
          <w:tcPr>
            <w:tcW w:w="0" w:type="auto"/>
            <w:tcBorders>
              <w:top w:val="single" w:color="auto" w:sz="2" w:space="0"/>
              <w:left w:val="single" w:color="auto" w:sz="2" w:space="0"/>
              <w:bottom w:val="single" w:color="auto" w:sz="2" w:space="0"/>
              <w:right w:val="single" w:color="auto" w:sz="2" w:space="0"/>
            </w:tcBorders>
            <w:vAlign w:val="center"/>
          </w:tcPr>
          <w:p w14:paraId="46A0026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34E1A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0F86F82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75C5E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175,333,930.42</w:t>
            </w:r>
          </w:p>
        </w:tc>
        <w:tc>
          <w:tcPr>
            <w:tcW w:w="0" w:type="auto"/>
            <w:tcBorders>
              <w:top w:val="single" w:color="auto" w:sz="2" w:space="0"/>
              <w:left w:val="single" w:color="auto" w:sz="2" w:space="0"/>
              <w:bottom w:val="single" w:color="auto" w:sz="2" w:space="0"/>
              <w:right w:val="single" w:color="auto" w:sz="2" w:space="0"/>
            </w:tcBorders>
            <w:vAlign w:val="center"/>
          </w:tcPr>
          <w:p w14:paraId="4C5A6F0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66FB0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839,546,349.74</w:t>
            </w:r>
          </w:p>
        </w:tc>
        <w:tc>
          <w:tcPr>
            <w:tcW w:w="0" w:type="auto"/>
            <w:tcBorders>
              <w:top w:val="single" w:color="auto" w:sz="2" w:space="0"/>
              <w:left w:val="single" w:color="auto" w:sz="2" w:space="0"/>
              <w:bottom w:val="single" w:color="auto" w:sz="2" w:space="0"/>
              <w:right w:val="single" w:color="auto" w:sz="2" w:space="0"/>
            </w:tcBorders>
            <w:vAlign w:val="center"/>
          </w:tcPr>
          <w:p w14:paraId="42A88CD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-317,521.39</w:t>
            </w:r>
          </w:p>
        </w:tc>
        <w:tc>
          <w:tcPr>
            <w:tcW w:w="0" w:type="auto"/>
            <w:tcBorders>
              <w:top w:val="single" w:color="auto" w:sz="2" w:space="0"/>
              <w:left w:val="single" w:color="auto" w:sz="2" w:space="0"/>
              <w:bottom w:val="single" w:color="auto" w:sz="2" w:space="0"/>
              <w:right w:val="single" w:color="auto" w:sz="2" w:space="0"/>
            </w:tcBorders>
            <w:vAlign w:val="center"/>
          </w:tcPr>
          <w:p w14:paraId="7CB368D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839,228,828.35</w:t>
            </w:r>
          </w:p>
        </w:tc>
      </w:tr>
      <w:tr w14:paraId="41248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ADB62BB">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三、本期增减变动金额（减少以“－”号填列）</w:t>
            </w:r>
          </w:p>
        </w:tc>
        <w:tc>
          <w:tcPr>
            <w:tcW w:w="0" w:type="auto"/>
            <w:tcBorders>
              <w:top w:val="single" w:color="auto" w:sz="2" w:space="0"/>
              <w:left w:val="single" w:color="auto" w:sz="2" w:space="0"/>
              <w:bottom w:val="single" w:color="auto" w:sz="2" w:space="0"/>
              <w:right w:val="single" w:color="auto" w:sz="2" w:space="0"/>
            </w:tcBorders>
            <w:vAlign w:val="center"/>
          </w:tcPr>
          <w:p w14:paraId="3C3FEAA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2D129F4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6938A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40F2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A4FF8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18,474,373.05</w:t>
            </w:r>
          </w:p>
        </w:tc>
        <w:tc>
          <w:tcPr>
            <w:tcW w:w="0" w:type="auto"/>
            <w:tcBorders>
              <w:top w:val="single" w:color="auto" w:sz="2" w:space="0"/>
              <w:left w:val="single" w:color="auto" w:sz="2" w:space="0"/>
              <w:bottom w:val="single" w:color="auto" w:sz="2" w:space="0"/>
              <w:right w:val="single" w:color="auto" w:sz="2" w:space="0"/>
            </w:tcBorders>
            <w:vAlign w:val="center"/>
          </w:tcPr>
          <w:p w14:paraId="41BB29C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60B4672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-804,539.20</w:t>
            </w:r>
          </w:p>
        </w:tc>
        <w:tc>
          <w:tcPr>
            <w:tcW w:w="0" w:type="auto"/>
            <w:tcBorders>
              <w:top w:val="single" w:color="auto" w:sz="2" w:space="0"/>
              <w:left w:val="single" w:color="auto" w:sz="2" w:space="0"/>
              <w:bottom w:val="single" w:color="auto" w:sz="2" w:space="0"/>
              <w:right w:val="single" w:color="auto" w:sz="2" w:space="0"/>
            </w:tcBorders>
            <w:vAlign w:val="center"/>
          </w:tcPr>
          <w:p w14:paraId="675C744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2F8E5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38A83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F3817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1,112,511.92</w:t>
            </w:r>
          </w:p>
        </w:tc>
        <w:tc>
          <w:tcPr>
            <w:tcW w:w="0" w:type="auto"/>
            <w:tcBorders>
              <w:top w:val="single" w:color="auto" w:sz="2" w:space="0"/>
              <w:left w:val="single" w:color="auto" w:sz="2" w:space="0"/>
              <w:bottom w:val="single" w:color="auto" w:sz="2" w:space="0"/>
              <w:right w:val="single" w:color="auto" w:sz="2" w:space="0"/>
            </w:tcBorders>
            <w:vAlign w:val="center"/>
          </w:tcPr>
          <w:p w14:paraId="0D7E3DC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00E3B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-7,818,338.23</w:t>
            </w:r>
          </w:p>
        </w:tc>
        <w:tc>
          <w:tcPr>
            <w:tcW w:w="0" w:type="auto"/>
            <w:tcBorders>
              <w:top w:val="single" w:color="auto" w:sz="2" w:space="0"/>
              <w:left w:val="single" w:color="auto" w:sz="2" w:space="0"/>
              <w:bottom w:val="single" w:color="auto" w:sz="2" w:space="0"/>
              <w:right w:val="single" w:color="auto" w:sz="2" w:space="0"/>
            </w:tcBorders>
            <w:vAlign w:val="center"/>
          </w:tcPr>
          <w:p w14:paraId="2C56BB9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4,869,244.08</w:t>
            </w:r>
          </w:p>
        </w:tc>
        <w:tc>
          <w:tcPr>
            <w:tcW w:w="0" w:type="auto"/>
            <w:tcBorders>
              <w:top w:val="single" w:color="auto" w:sz="2" w:space="0"/>
              <w:left w:val="single" w:color="auto" w:sz="2" w:space="0"/>
              <w:bottom w:val="single" w:color="auto" w:sz="2" w:space="0"/>
              <w:right w:val="single" w:color="auto" w:sz="2" w:space="0"/>
            </w:tcBorders>
            <w:vAlign w:val="center"/>
          </w:tcPr>
          <w:p w14:paraId="01A28B0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-2,949,094.15</w:t>
            </w:r>
          </w:p>
        </w:tc>
      </w:tr>
      <w:tr w14:paraId="43D275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A80958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（一）综合收益总额</w:t>
            </w:r>
          </w:p>
        </w:tc>
        <w:tc>
          <w:tcPr>
            <w:tcW w:w="0" w:type="auto"/>
            <w:tcBorders>
              <w:top w:val="single" w:color="auto" w:sz="2" w:space="0"/>
              <w:left w:val="single" w:color="auto" w:sz="2" w:space="0"/>
              <w:bottom w:val="single" w:color="auto" w:sz="2" w:space="0"/>
              <w:right w:val="single" w:color="auto" w:sz="2" w:space="0"/>
            </w:tcBorders>
            <w:vAlign w:val="center"/>
          </w:tcPr>
          <w:p w14:paraId="0E09276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6652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CA6B9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6C453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C906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FC1F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76F42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-804,539.20</w:t>
            </w:r>
          </w:p>
        </w:tc>
        <w:tc>
          <w:tcPr>
            <w:tcW w:w="0" w:type="auto"/>
            <w:tcBorders>
              <w:top w:val="single" w:color="auto" w:sz="2" w:space="0"/>
              <w:left w:val="single" w:color="auto" w:sz="2" w:space="0"/>
              <w:bottom w:val="single" w:color="auto" w:sz="2" w:space="0"/>
              <w:right w:val="single" w:color="auto" w:sz="2" w:space="0"/>
            </w:tcBorders>
            <w:vAlign w:val="center"/>
          </w:tcPr>
          <w:p w14:paraId="505B3CA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94C07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0EA5B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AF306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6,389,000.49</w:t>
            </w:r>
          </w:p>
        </w:tc>
        <w:tc>
          <w:tcPr>
            <w:tcW w:w="0" w:type="auto"/>
            <w:tcBorders>
              <w:top w:val="single" w:color="auto" w:sz="2" w:space="0"/>
              <w:left w:val="single" w:color="auto" w:sz="2" w:space="0"/>
              <w:bottom w:val="single" w:color="auto" w:sz="2" w:space="0"/>
              <w:right w:val="single" w:color="auto" w:sz="2" w:space="0"/>
            </w:tcBorders>
            <w:vAlign w:val="center"/>
          </w:tcPr>
          <w:p w14:paraId="1376BDB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4A9E3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5,584,461.29</w:t>
            </w:r>
          </w:p>
        </w:tc>
        <w:tc>
          <w:tcPr>
            <w:tcW w:w="0" w:type="auto"/>
            <w:tcBorders>
              <w:top w:val="single" w:color="auto" w:sz="2" w:space="0"/>
              <w:left w:val="single" w:color="auto" w:sz="2" w:space="0"/>
              <w:bottom w:val="single" w:color="auto" w:sz="2" w:space="0"/>
              <w:right w:val="single" w:color="auto" w:sz="2" w:space="0"/>
            </w:tcBorders>
            <w:vAlign w:val="center"/>
          </w:tcPr>
          <w:p w14:paraId="52EBD62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-2,001,204.58</w:t>
            </w:r>
          </w:p>
        </w:tc>
        <w:tc>
          <w:tcPr>
            <w:tcW w:w="0" w:type="auto"/>
            <w:tcBorders>
              <w:top w:val="single" w:color="auto" w:sz="2" w:space="0"/>
              <w:left w:val="single" w:color="auto" w:sz="2" w:space="0"/>
              <w:bottom w:val="single" w:color="auto" w:sz="2" w:space="0"/>
              <w:right w:val="single" w:color="auto" w:sz="2" w:space="0"/>
            </w:tcBorders>
            <w:vAlign w:val="center"/>
          </w:tcPr>
          <w:p w14:paraId="6A423E7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3,583,256.71</w:t>
            </w:r>
          </w:p>
        </w:tc>
      </w:tr>
      <w:tr w14:paraId="4C6031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0B268BE">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（二）所有者投入和减少资本</w:t>
            </w:r>
          </w:p>
        </w:tc>
        <w:tc>
          <w:tcPr>
            <w:tcW w:w="0" w:type="auto"/>
            <w:tcBorders>
              <w:top w:val="single" w:color="auto" w:sz="2" w:space="0"/>
              <w:left w:val="single" w:color="auto" w:sz="2" w:space="0"/>
              <w:bottom w:val="single" w:color="auto" w:sz="2" w:space="0"/>
              <w:right w:val="single" w:color="auto" w:sz="2" w:space="0"/>
            </w:tcBorders>
            <w:vAlign w:val="center"/>
          </w:tcPr>
          <w:p w14:paraId="446B9BD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2113455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154EA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C52D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3B6C8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18,474,373.05</w:t>
            </w:r>
          </w:p>
        </w:tc>
        <w:tc>
          <w:tcPr>
            <w:tcW w:w="0" w:type="auto"/>
            <w:tcBorders>
              <w:top w:val="single" w:color="auto" w:sz="2" w:space="0"/>
              <w:left w:val="single" w:color="auto" w:sz="2" w:space="0"/>
              <w:bottom w:val="single" w:color="auto" w:sz="2" w:space="0"/>
              <w:right w:val="single" w:color="auto" w:sz="2" w:space="0"/>
            </w:tcBorders>
            <w:vAlign w:val="center"/>
          </w:tcPr>
          <w:p w14:paraId="23D378D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2678660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4CA7E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57DD6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B6E1A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8ED67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39323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0C8AA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-8,126,310.95</w:t>
            </w:r>
          </w:p>
        </w:tc>
        <w:tc>
          <w:tcPr>
            <w:tcW w:w="0" w:type="auto"/>
            <w:tcBorders>
              <w:top w:val="single" w:color="auto" w:sz="2" w:space="0"/>
              <w:left w:val="single" w:color="auto" w:sz="2" w:space="0"/>
              <w:bottom w:val="single" w:color="auto" w:sz="2" w:space="0"/>
              <w:right w:val="single" w:color="auto" w:sz="2" w:space="0"/>
            </w:tcBorders>
            <w:vAlign w:val="center"/>
          </w:tcPr>
          <w:p w14:paraId="518D727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6,870,448.66</w:t>
            </w:r>
          </w:p>
        </w:tc>
        <w:tc>
          <w:tcPr>
            <w:tcW w:w="0" w:type="auto"/>
            <w:tcBorders>
              <w:top w:val="single" w:color="auto" w:sz="2" w:space="0"/>
              <w:left w:val="single" w:color="auto" w:sz="2" w:space="0"/>
              <w:bottom w:val="single" w:color="auto" w:sz="2" w:space="0"/>
              <w:right w:val="single" w:color="auto" w:sz="2" w:space="0"/>
            </w:tcBorders>
            <w:vAlign w:val="center"/>
          </w:tcPr>
          <w:p w14:paraId="05A6408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-1,255,862.29</w:t>
            </w:r>
          </w:p>
        </w:tc>
      </w:tr>
      <w:tr w14:paraId="2EADA9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C97228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1．所有者投入的普通股</w:t>
            </w:r>
          </w:p>
        </w:tc>
        <w:tc>
          <w:tcPr>
            <w:tcW w:w="0" w:type="auto"/>
            <w:tcBorders>
              <w:top w:val="single" w:color="auto" w:sz="2" w:space="0"/>
              <w:left w:val="single" w:color="auto" w:sz="2" w:space="0"/>
              <w:bottom w:val="single" w:color="auto" w:sz="2" w:space="0"/>
              <w:right w:val="single" w:color="auto" w:sz="2" w:space="0"/>
            </w:tcBorders>
            <w:vAlign w:val="center"/>
          </w:tcPr>
          <w:p w14:paraId="1B6B521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390509E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EA65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5AC2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05B29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19,055,358.29</w:t>
            </w:r>
          </w:p>
        </w:tc>
        <w:tc>
          <w:tcPr>
            <w:tcW w:w="0" w:type="auto"/>
            <w:tcBorders>
              <w:top w:val="single" w:color="auto" w:sz="2" w:space="0"/>
              <w:left w:val="single" w:color="auto" w:sz="2" w:space="0"/>
              <w:bottom w:val="single" w:color="auto" w:sz="2" w:space="0"/>
              <w:right w:val="single" w:color="auto" w:sz="2" w:space="0"/>
            </w:tcBorders>
            <w:vAlign w:val="center"/>
          </w:tcPr>
          <w:p w14:paraId="51E505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941F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6F1DB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7594F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29EAC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73FA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B5CFD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275BB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20,335,358.29</w:t>
            </w:r>
          </w:p>
        </w:tc>
        <w:tc>
          <w:tcPr>
            <w:tcW w:w="0" w:type="auto"/>
            <w:tcBorders>
              <w:top w:val="single" w:color="auto" w:sz="2" w:space="0"/>
              <w:left w:val="single" w:color="auto" w:sz="2" w:space="0"/>
              <w:bottom w:val="single" w:color="auto" w:sz="2" w:space="0"/>
              <w:right w:val="single" w:color="auto" w:sz="2" w:space="0"/>
            </w:tcBorders>
            <w:vAlign w:val="center"/>
          </w:tcPr>
          <w:p w14:paraId="253026F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6,870,448.66</w:t>
            </w:r>
          </w:p>
        </w:tc>
        <w:tc>
          <w:tcPr>
            <w:tcW w:w="0" w:type="auto"/>
            <w:tcBorders>
              <w:top w:val="single" w:color="auto" w:sz="2" w:space="0"/>
              <w:left w:val="single" w:color="auto" w:sz="2" w:space="0"/>
              <w:bottom w:val="single" w:color="auto" w:sz="2" w:space="0"/>
              <w:right w:val="single" w:color="auto" w:sz="2" w:space="0"/>
            </w:tcBorders>
            <w:vAlign w:val="center"/>
          </w:tcPr>
          <w:p w14:paraId="52545F1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27,205,806.95</w:t>
            </w:r>
          </w:p>
        </w:tc>
      </w:tr>
      <w:tr w14:paraId="1E7185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B432D9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2．其他权益工具持有者投入资本</w:t>
            </w:r>
          </w:p>
        </w:tc>
        <w:tc>
          <w:tcPr>
            <w:tcW w:w="0" w:type="auto"/>
            <w:tcBorders>
              <w:top w:val="single" w:color="auto" w:sz="2" w:space="0"/>
              <w:left w:val="single" w:color="auto" w:sz="2" w:space="0"/>
              <w:bottom w:val="single" w:color="auto" w:sz="2" w:space="0"/>
              <w:right w:val="single" w:color="auto" w:sz="2" w:space="0"/>
            </w:tcBorders>
            <w:vAlign w:val="center"/>
          </w:tcPr>
          <w:p w14:paraId="498E6B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DB90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7042F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1880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6D61F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B57B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AEC5E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58591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F0B91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C8E58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D17FE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05C9D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30B73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31E05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772334">
            <w:pPr>
              <w:spacing w:line="240" w:lineRule="exact"/>
              <w:jc w:val="right"/>
              <w:rPr>
                <w:rFonts w:ascii="Times New Roman" w:hAnsi="Times New Roman" w:cs="Times New Roman" w:eastAsiaTheme="majorEastAsia"/>
                <w:sz w:val="15"/>
                <w:szCs w:val="15"/>
              </w:rPr>
            </w:pPr>
          </w:p>
        </w:tc>
      </w:tr>
      <w:tr w14:paraId="43F9AC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A4EB24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3．股份支付计入所有者权益的金额</w:t>
            </w:r>
          </w:p>
        </w:tc>
        <w:tc>
          <w:tcPr>
            <w:tcW w:w="0" w:type="auto"/>
            <w:tcBorders>
              <w:top w:val="single" w:color="auto" w:sz="2" w:space="0"/>
              <w:left w:val="single" w:color="auto" w:sz="2" w:space="0"/>
              <w:bottom w:val="single" w:color="auto" w:sz="2" w:space="0"/>
              <w:right w:val="single" w:color="auto" w:sz="2" w:space="0"/>
            </w:tcBorders>
            <w:vAlign w:val="center"/>
          </w:tcPr>
          <w:p w14:paraId="7DB4ACE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E4746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1BA7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C33A9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74C7C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5,165,633.96</w:t>
            </w:r>
          </w:p>
        </w:tc>
        <w:tc>
          <w:tcPr>
            <w:tcW w:w="0" w:type="auto"/>
            <w:tcBorders>
              <w:top w:val="single" w:color="auto" w:sz="2" w:space="0"/>
              <w:left w:val="single" w:color="auto" w:sz="2" w:space="0"/>
              <w:bottom w:val="single" w:color="auto" w:sz="2" w:space="0"/>
              <w:right w:val="single" w:color="auto" w:sz="2" w:space="0"/>
            </w:tcBorders>
            <w:vAlign w:val="center"/>
          </w:tcPr>
          <w:p w14:paraId="4798276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537EAC4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8542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E5FB7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ED62D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ED528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1E093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7F314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-22,715,050.04</w:t>
            </w:r>
          </w:p>
        </w:tc>
        <w:tc>
          <w:tcPr>
            <w:tcW w:w="0" w:type="auto"/>
            <w:tcBorders>
              <w:top w:val="single" w:color="auto" w:sz="2" w:space="0"/>
              <w:left w:val="single" w:color="auto" w:sz="2" w:space="0"/>
              <w:bottom w:val="single" w:color="auto" w:sz="2" w:space="0"/>
              <w:right w:val="single" w:color="auto" w:sz="2" w:space="0"/>
            </w:tcBorders>
            <w:vAlign w:val="center"/>
          </w:tcPr>
          <w:p w14:paraId="757C260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C94B6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-22,715,050.04</w:t>
            </w:r>
          </w:p>
        </w:tc>
      </w:tr>
      <w:tr w14:paraId="7CCAE5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1AC4D0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0" w:type="auto"/>
            <w:tcBorders>
              <w:top w:val="single" w:color="auto" w:sz="2" w:space="0"/>
              <w:left w:val="single" w:color="auto" w:sz="2" w:space="0"/>
              <w:bottom w:val="single" w:color="auto" w:sz="2" w:space="0"/>
              <w:right w:val="single" w:color="auto" w:sz="2" w:space="0"/>
            </w:tcBorders>
            <w:vAlign w:val="center"/>
          </w:tcPr>
          <w:p w14:paraId="4067945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87D1F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B848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6860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9BB06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-5,746,619.20</w:t>
            </w:r>
          </w:p>
        </w:tc>
        <w:tc>
          <w:tcPr>
            <w:tcW w:w="0" w:type="auto"/>
            <w:tcBorders>
              <w:top w:val="single" w:color="auto" w:sz="2" w:space="0"/>
              <w:left w:val="single" w:color="auto" w:sz="2" w:space="0"/>
              <w:bottom w:val="single" w:color="auto" w:sz="2" w:space="0"/>
              <w:right w:val="single" w:color="auto" w:sz="2" w:space="0"/>
            </w:tcBorders>
            <w:vAlign w:val="center"/>
          </w:tcPr>
          <w:p w14:paraId="0F5932A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DE1E5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C1DD2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1939F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1808D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6CC8C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2A66D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0B2F8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-5,746,619.20</w:t>
            </w:r>
          </w:p>
        </w:tc>
        <w:tc>
          <w:tcPr>
            <w:tcW w:w="0" w:type="auto"/>
            <w:tcBorders>
              <w:top w:val="single" w:color="auto" w:sz="2" w:space="0"/>
              <w:left w:val="single" w:color="auto" w:sz="2" w:space="0"/>
              <w:bottom w:val="single" w:color="auto" w:sz="2" w:space="0"/>
              <w:right w:val="single" w:color="auto" w:sz="2" w:space="0"/>
            </w:tcBorders>
            <w:vAlign w:val="center"/>
          </w:tcPr>
          <w:p w14:paraId="2FE4792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28D15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-5,746,619.20</w:t>
            </w:r>
          </w:p>
        </w:tc>
      </w:tr>
      <w:tr w14:paraId="4D285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C0834FF">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（三）利润分配</w:t>
            </w:r>
          </w:p>
        </w:tc>
        <w:tc>
          <w:tcPr>
            <w:tcW w:w="0" w:type="auto"/>
            <w:tcBorders>
              <w:top w:val="single" w:color="auto" w:sz="2" w:space="0"/>
              <w:left w:val="single" w:color="auto" w:sz="2" w:space="0"/>
              <w:bottom w:val="single" w:color="auto" w:sz="2" w:space="0"/>
              <w:right w:val="single" w:color="auto" w:sz="2" w:space="0"/>
            </w:tcBorders>
            <w:vAlign w:val="center"/>
          </w:tcPr>
          <w:p w14:paraId="79778BC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1E79C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E8755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A12E1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41E80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911F3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02DB0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36F13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17FB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40B7D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7DC35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5FB5D21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43D5A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0ADA57C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070C4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r>
      <w:tr w14:paraId="0A3E5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4C52DE8">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1．提取盈余公积</w:t>
            </w:r>
          </w:p>
        </w:tc>
        <w:tc>
          <w:tcPr>
            <w:tcW w:w="0" w:type="auto"/>
            <w:tcBorders>
              <w:top w:val="single" w:color="auto" w:sz="2" w:space="0"/>
              <w:left w:val="single" w:color="auto" w:sz="2" w:space="0"/>
              <w:bottom w:val="single" w:color="auto" w:sz="2" w:space="0"/>
              <w:right w:val="single" w:color="auto" w:sz="2" w:space="0"/>
            </w:tcBorders>
            <w:vAlign w:val="center"/>
          </w:tcPr>
          <w:p w14:paraId="30E2C42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C6F96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D81E9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7EE29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BDEE1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F1A04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7050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D4D19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83A7D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6B49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8CA30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F653E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28F48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BE3E1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61DE57E">
            <w:pPr>
              <w:spacing w:line="240" w:lineRule="exact"/>
              <w:jc w:val="right"/>
              <w:rPr>
                <w:rFonts w:ascii="Times New Roman" w:hAnsi="Times New Roman" w:cs="Times New Roman" w:eastAsiaTheme="majorEastAsia"/>
                <w:sz w:val="15"/>
                <w:szCs w:val="15"/>
              </w:rPr>
            </w:pPr>
          </w:p>
        </w:tc>
      </w:tr>
      <w:tr w14:paraId="7EE46B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82C48D7">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2．提取一般风险准备</w:t>
            </w:r>
          </w:p>
        </w:tc>
        <w:tc>
          <w:tcPr>
            <w:tcW w:w="0" w:type="auto"/>
            <w:tcBorders>
              <w:top w:val="single" w:color="auto" w:sz="2" w:space="0"/>
              <w:left w:val="single" w:color="auto" w:sz="2" w:space="0"/>
              <w:bottom w:val="single" w:color="auto" w:sz="2" w:space="0"/>
              <w:right w:val="single" w:color="auto" w:sz="2" w:space="0"/>
            </w:tcBorders>
            <w:vAlign w:val="center"/>
          </w:tcPr>
          <w:p w14:paraId="627937D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6A950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FB5C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F277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389C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1D1C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C5A6E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D3DC5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D8C93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EF842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EF7C7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1A21B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B2396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F8C1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2252C7">
            <w:pPr>
              <w:spacing w:line="240" w:lineRule="exact"/>
              <w:jc w:val="right"/>
              <w:rPr>
                <w:rFonts w:ascii="Times New Roman" w:hAnsi="Times New Roman" w:cs="Times New Roman" w:eastAsiaTheme="majorEastAsia"/>
                <w:sz w:val="15"/>
                <w:szCs w:val="15"/>
              </w:rPr>
            </w:pPr>
          </w:p>
        </w:tc>
      </w:tr>
      <w:tr w14:paraId="246C2A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637EE78">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3．对所有者（或股东）的分配</w:t>
            </w:r>
          </w:p>
        </w:tc>
        <w:tc>
          <w:tcPr>
            <w:tcW w:w="0" w:type="auto"/>
            <w:tcBorders>
              <w:top w:val="single" w:color="auto" w:sz="2" w:space="0"/>
              <w:left w:val="single" w:color="auto" w:sz="2" w:space="0"/>
              <w:bottom w:val="single" w:color="auto" w:sz="2" w:space="0"/>
              <w:right w:val="single" w:color="auto" w:sz="2" w:space="0"/>
            </w:tcBorders>
            <w:vAlign w:val="center"/>
          </w:tcPr>
          <w:p w14:paraId="1A9CCBA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370B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469E8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2297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48232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FBF62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F9098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C08E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C90F6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A92C5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6C734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7CA9F8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82538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479626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8D91D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r>
      <w:tr w14:paraId="28DF1A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59074F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0" w:type="auto"/>
            <w:tcBorders>
              <w:top w:val="single" w:color="auto" w:sz="2" w:space="0"/>
              <w:left w:val="single" w:color="auto" w:sz="2" w:space="0"/>
              <w:bottom w:val="single" w:color="auto" w:sz="2" w:space="0"/>
              <w:right w:val="single" w:color="auto" w:sz="2" w:space="0"/>
            </w:tcBorders>
            <w:vAlign w:val="center"/>
          </w:tcPr>
          <w:p w14:paraId="603698F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A799F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DC9B3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32ADF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A90AD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AE703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BE7E5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2BBC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B031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0C0A5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B6DC5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670D0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984B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8B559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BA3E23">
            <w:pPr>
              <w:spacing w:line="240" w:lineRule="exact"/>
              <w:jc w:val="right"/>
              <w:rPr>
                <w:rFonts w:ascii="Times New Roman" w:hAnsi="Times New Roman" w:cs="Times New Roman" w:eastAsiaTheme="majorEastAsia"/>
                <w:sz w:val="15"/>
                <w:szCs w:val="15"/>
              </w:rPr>
            </w:pPr>
          </w:p>
        </w:tc>
      </w:tr>
      <w:tr w14:paraId="79AF26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2CAD60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（四）所有者权益内部结转</w:t>
            </w:r>
          </w:p>
        </w:tc>
        <w:tc>
          <w:tcPr>
            <w:tcW w:w="0" w:type="auto"/>
            <w:tcBorders>
              <w:top w:val="single" w:color="auto" w:sz="2" w:space="0"/>
              <w:left w:val="single" w:color="auto" w:sz="2" w:space="0"/>
              <w:bottom w:val="single" w:color="auto" w:sz="2" w:space="0"/>
              <w:right w:val="single" w:color="auto" w:sz="2" w:space="0"/>
            </w:tcBorders>
            <w:vAlign w:val="center"/>
          </w:tcPr>
          <w:p w14:paraId="681BEF2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47A63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29C43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87F68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125AE2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C4C5E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AC29E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4771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CB3D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32AD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FDA49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4E1B2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DBF82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329DA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D547BC">
            <w:pPr>
              <w:spacing w:line="240" w:lineRule="exact"/>
              <w:jc w:val="right"/>
              <w:rPr>
                <w:rFonts w:ascii="Times New Roman" w:hAnsi="Times New Roman" w:cs="Times New Roman" w:eastAsiaTheme="majorEastAsia"/>
                <w:sz w:val="15"/>
                <w:szCs w:val="15"/>
              </w:rPr>
            </w:pPr>
          </w:p>
        </w:tc>
      </w:tr>
      <w:tr w14:paraId="31F9C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AD1636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1．资本公积转增资本（或股本）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6A9D26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CDCB9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E9E32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C0717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674D3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F1C9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75A51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A9EDD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CDE57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64BF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2F4761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B4104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42F08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0EEAA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1BA893">
            <w:pPr>
              <w:spacing w:line="240" w:lineRule="exact"/>
              <w:jc w:val="right"/>
              <w:rPr>
                <w:rFonts w:ascii="Times New Roman" w:hAnsi="Times New Roman" w:cs="Times New Roman" w:eastAsiaTheme="majorEastAsia"/>
                <w:sz w:val="15"/>
                <w:szCs w:val="15"/>
              </w:rPr>
            </w:pPr>
          </w:p>
        </w:tc>
      </w:tr>
      <w:tr w14:paraId="5EF8BE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175BDDA">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2．盈余公积转增资本（或股本）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16B09C5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A9F0E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50EF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7C993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91494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79ED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846A2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C243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2C143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49436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6D28F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97416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B9910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793E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5B7CEA">
            <w:pPr>
              <w:spacing w:line="240" w:lineRule="exact"/>
              <w:jc w:val="right"/>
              <w:rPr>
                <w:rFonts w:ascii="Times New Roman" w:hAnsi="Times New Roman" w:cs="Times New Roman" w:eastAsiaTheme="majorEastAsia"/>
                <w:sz w:val="15"/>
                <w:szCs w:val="15"/>
              </w:rPr>
            </w:pPr>
          </w:p>
        </w:tc>
      </w:tr>
      <w:tr w14:paraId="1A69FD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EB0275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3．盈余公积弥补亏损</w:t>
            </w:r>
          </w:p>
        </w:tc>
        <w:tc>
          <w:tcPr>
            <w:tcW w:w="0" w:type="auto"/>
            <w:tcBorders>
              <w:top w:val="single" w:color="auto" w:sz="2" w:space="0"/>
              <w:left w:val="single" w:color="auto" w:sz="2" w:space="0"/>
              <w:bottom w:val="single" w:color="auto" w:sz="2" w:space="0"/>
              <w:right w:val="single" w:color="auto" w:sz="2" w:space="0"/>
            </w:tcBorders>
            <w:vAlign w:val="center"/>
          </w:tcPr>
          <w:p w14:paraId="3F87F0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BE80C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817B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2A2F5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A80A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50D7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DF1E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A4AAE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79F69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A319B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9F556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846F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0D87A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3A8B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6D1E61">
            <w:pPr>
              <w:spacing w:line="240" w:lineRule="exact"/>
              <w:jc w:val="right"/>
              <w:rPr>
                <w:rFonts w:ascii="Times New Roman" w:hAnsi="Times New Roman" w:cs="Times New Roman" w:eastAsiaTheme="majorEastAsia"/>
                <w:sz w:val="15"/>
                <w:szCs w:val="15"/>
              </w:rPr>
            </w:pPr>
          </w:p>
        </w:tc>
      </w:tr>
      <w:tr w14:paraId="6F01F0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0085F5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4．设定受益计划变动额结转留存收益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09EDB6C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4022C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3E28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54779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E60D2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6C3DF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D8B33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5FEE7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D7287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15327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067A9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A19BC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D5C7B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6E4E2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69DA3B">
            <w:pPr>
              <w:spacing w:line="240" w:lineRule="exact"/>
              <w:jc w:val="right"/>
              <w:rPr>
                <w:rFonts w:ascii="Times New Roman" w:hAnsi="Times New Roman" w:cs="Times New Roman" w:eastAsiaTheme="majorEastAsia"/>
                <w:sz w:val="15"/>
                <w:szCs w:val="15"/>
              </w:rPr>
            </w:pPr>
          </w:p>
        </w:tc>
      </w:tr>
      <w:tr w14:paraId="5ECC24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A056AAE">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5．其他综合收益结转留存收益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5E4170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8BCFF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15961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17CC66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03C7D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8011C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6EBB5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042CE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713C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9532D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4D93F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AF8F6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7B362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3938B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7404C2">
            <w:pPr>
              <w:spacing w:line="240" w:lineRule="exact"/>
              <w:jc w:val="right"/>
              <w:rPr>
                <w:rFonts w:ascii="Times New Roman" w:hAnsi="Times New Roman" w:cs="Times New Roman" w:eastAsiaTheme="majorEastAsia"/>
                <w:sz w:val="15"/>
                <w:szCs w:val="15"/>
              </w:rPr>
            </w:pPr>
          </w:p>
        </w:tc>
      </w:tr>
      <w:tr w14:paraId="55E220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E0733E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6．其他</w:t>
            </w:r>
          </w:p>
        </w:tc>
        <w:tc>
          <w:tcPr>
            <w:tcW w:w="0" w:type="auto"/>
            <w:tcBorders>
              <w:top w:val="single" w:color="auto" w:sz="2" w:space="0"/>
              <w:left w:val="single" w:color="auto" w:sz="2" w:space="0"/>
              <w:bottom w:val="single" w:color="auto" w:sz="2" w:space="0"/>
              <w:right w:val="single" w:color="auto" w:sz="2" w:space="0"/>
            </w:tcBorders>
            <w:vAlign w:val="center"/>
          </w:tcPr>
          <w:p w14:paraId="4202A9B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9B87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05022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B056F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14649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765AA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A82A4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49188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29C79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D8B58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9F7E5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0B348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5F82D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FC932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C6F483">
            <w:pPr>
              <w:spacing w:line="240" w:lineRule="exact"/>
              <w:jc w:val="right"/>
              <w:rPr>
                <w:rFonts w:ascii="Times New Roman" w:hAnsi="Times New Roman" w:cs="Times New Roman" w:eastAsiaTheme="majorEastAsia"/>
                <w:sz w:val="15"/>
                <w:szCs w:val="15"/>
              </w:rPr>
            </w:pPr>
          </w:p>
        </w:tc>
      </w:tr>
      <w:tr w14:paraId="686E83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AFB20C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（五）专项储备</w:t>
            </w:r>
          </w:p>
        </w:tc>
        <w:tc>
          <w:tcPr>
            <w:tcW w:w="0" w:type="auto"/>
            <w:tcBorders>
              <w:top w:val="single" w:color="auto" w:sz="2" w:space="0"/>
              <w:left w:val="single" w:color="auto" w:sz="2" w:space="0"/>
              <w:bottom w:val="single" w:color="auto" w:sz="2" w:space="0"/>
              <w:right w:val="single" w:color="auto" w:sz="2" w:space="0"/>
            </w:tcBorders>
            <w:vAlign w:val="center"/>
          </w:tcPr>
          <w:p w14:paraId="4DE7993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583E9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B528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2736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32CC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E2A4E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D89B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74ED8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B3159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38319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3A21C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0BE6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6F06F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FE6FF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AE5DDE">
            <w:pPr>
              <w:spacing w:line="240" w:lineRule="exact"/>
              <w:jc w:val="right"/>
              <w:rPr>
                <w:rFonts w:ascii="Times New Roman" w:hAnsi="Times New Roman" w:cs="Times New Roman" w:eastAsiaTheme="majorEastAsia"/>
                <w:sz w:val="15"/>
                <w:szCs w:val="15"/>
              </w:rPr>
            </w:pPr>
          </w:p>
        </w:tc>
      </w:tr>
      <w:tr w14:paraId="299808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EF8197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1．本期提取</w:t>
            </w:r>
          </w:p>
        </w:tc>
        <w:tc>
          <w:tcPr>
            <w:tcW w:w="0" w:type="auto"/>
            <w:tcBorders>
              <w:top w:val="single" w:color="auto" w:sz="2" w:space="0"/>
              <w:left w:val="single" w:color="auto" w:sz="2" w:space="0"/>
              <w:bottom w:val="single" w:color="auto" w:sz="2" w:space="0"/>
              <w:right w:val="single" w:color="auto" w:sz="2" w:space="0"/>
            </w:tcBorders>
            <w:vAlign w:val="center"/>
          </w:tcPr>
          <w:p w14:paraId="3EA145D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D128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C0DAB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26B33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FD92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3CF16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479E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574F1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E3A86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5C1B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15FB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E85B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9A40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0F9F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377750">
            <w:pPr>
              <w:spacing w:line="240" w:lineRule="exact"/>
              <w:jc w:val="right"/>
              <w:rPr>
                <w:rFonts w:ascii="Times New Roman" w:hAnsi="Times New Roman" w:cs="Times New Roman" w:eastAsiaTheme="majorEastAsia"/>
                <w:sz w:val="15"/>
                <w:szCs w:val="15"/>
              </w:rPr>
            </w:pPr>
          </w:p>
        </w:tc>
      </w:tr>
      <w:tr w14:paraId="7409C9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99B17B2">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2．本期使用</w:t>
            </w:r>
          </w:p>
        </w:tc>
        <w:tc>
          <w:tcPr>
            <w:tcW w:w="0" w:type="auto"/>
            <w:tcBorders>
              <w:top w:val="single" w:color="auto" w:sz="2" w:space="0"/>
              <w:left w:val="single" w:color="auto" w:sz="2" w:space="0"/>
              <w:bottom w:val="single" w:color="auto" w:sz="2" w:space="0"/>
              <w:right w:val="single" w:color="auto" w:sz="2" w:space="0"/>
            </w:tcBorders>
            <w:vAlign w:val="center"/>
          </w:tcPr>
          <w:p w14:paraId="58F899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EFDB5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8743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989EE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8D3C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52E1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5C4FE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83A40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A5C43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94095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F55E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191B2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BD57B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97E76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D9134B">
            <w:pPr>
              <w:spacing w:line="240" w:lineRule="exact"/>
              <w:jc w:val="right"/>
              <w:rPr>
                <w:rFonts w:ascii="Times New Roman" w:hAnsi="Times New Roman" w:cs="Times New Roman" w:eastAsiaTheme="majorEastAsia"/>
                <w:sz w:val="15"/>
                <w:szCs w:val="15"/>
              </w:rPr>
            </w:pPr>
          </w:p>
        </w:tc>
      </w:tr>
      <w:tr w14:paraId="4C9954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A0D123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（六）其他</w:t>
            </w:r>
          </w:p>
        </w:tc>
        <w:tc>
          <w:tcPr>
            <w:tcW w:w="0" w:type="auto"/>
            <w:tcBorders>
              <w:top w:val="single" w:color="auto" w:sz="2" w:space="0"/>
              <w:left w:val="single" w:color="auto" w:sz="2" w:space="0"/>
              <w:bottom w:val="single" w:color="auto" w:sz="2" w:space="0"/>
              <w:right w:val="single" w:color="auto" w:sz="2" w:space="0"/>
            </w:tcBorders>
            <w:vAlign w:val="center"/>
          </w:tcPr>
          <w:p w14:paraId="27BB1F3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71B2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8D1C5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819FB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09D98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46648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963DE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3B703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B08F1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2BB9B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3E6B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45171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F5165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C8270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142140">
            <w:pPr>
              <w:spacing w:line="240" w:lineRule="exact"/>
              <w:jc w:val="right"/>
              <w:rPr>
                <w:rFonts w:ascii="Times New Roman" w:hAnsi="Times New Roman" w:cs="Times New Roman" w:eastAsiaTheme="majorEastAsia"/>
                <w:sz w:val="15"/>
                <w:szCs w:val="15"/>
              </w:rPr>
            </w:pPr>
          </w:p>
        </w:tc>
      </w:tr>
      <w:tr w14:paraId="43DD94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9EEAB6">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四、本期期末余额</w:t>
            </w:r>
          </w:p>
        </w:tc>
        <w:tc>
          <w:tcPr>
            <w:tcW w:w="0" w:type="auto"/>
            <w:tcBorders>
              <w:top w:val="single" w:color="auto" w:sz="2" w:space="0"/>
              <w:left w:val="single" w:color="auto" w:sz="2" w:space="0"/>
              <w:bottom w:val="single" w:color="auto" w:sz="2" w:space="0"/>
              <w:right w:val="single" w:color="auto" w:sz="2" w:space="0"/>
            </w:tcBorders>
            <w:vAlign w:val="center"/>
          </w:tcPr>
          <w:p w14:paraId="24C3586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4AB712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5939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4E12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3A271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590,694,089.77</w:t>
            </w:r>
          </w:p>
        </w:tc>
        <w:tc>
          <w:tcPr>
            <w:tcW w:w="0" w:type="auto"/>
            <w:tcBorders>
              <w:top w:val="single" w:color="auto" w:sz="2" w:space="0"/>
              <w:left w:val="single" w:color="auto" w:sz="2" w:space="0"/>
              <w:bottom w:val="single" w:color="auto" w:sz="2" w:space="0"/>
              <w:right w:val="single" w:color="auto" w:sz="2" w:space="0"/>
            </w:tcBorders>
            <w:vAlign w:val="center"/>
          </w:tcPr>
          <w:p w14:paraId="37D7D8B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1E96F62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-673,076.93</w:t>
            </w:r>
          </w:p>
        </w:tc>
        <w:tc>
          <w:tcPr>
            <w:tcW w:w="0" w:type="auto"/>
            <w:tcBorders>
              <w:top w:val="single" w:color="auto" w:sz="2" w:space="0"/>
              <w:left w:val="single" w:color="auto" w:sz="2" w:space="0"/>
              <w:bottom w:val="single" w:color="auto" w:sz="2" w:space="0"/>
              <w:right w:val="single" w:color="auto" w:sz="2" w:space="0"/>
            </w:tcBorders>
            <w:vAlign w:val="center"/>
          </w:tcPr>
          <w:p w14:paraId="096D564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151F6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36B6A25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15F01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176,446,442.34</w:t>
            </w:r>
          </w:p>
        </w:tc>
        <w:tc>
          <w:tcPr>
            <w:tcW w:w="0" w:type="auto"/>
            <w:tcBorders>
              <w:top w:val="single" w:color="auto" w:sz="2" w:space="0"/>
              <w:left w:val="single" w:color="auto" w:sz="2" w:space="0"/>
              <w:bottom w:val="single" w:color="auto" w:sz="2" w:space="0"/>
              <w:right w:val="single" w:color="auto" w:sz="2" w:space="0"/>
            </w:tcBorders>
            <w:vAlign w:val="center"/>
          </w:tcPr>
          <w:p w14:paraId="2829CD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F76C2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831,728,011.51</w:t>
            </w:r>
          </w:p>
        </w:tc>
        <w:tc>
          <w:tcPr>
            <w:tcW w:w="0" w:type="auto"/>
            <w:tcBorders>
              <w:top w:val="single" w:color="auto" w:sz="2" w:space="0"/>
              <w:left w:val="single" w:color="auto" w:sz="2" w:space="0"/>
              <w:bottom w:val="single" w:color="auto" w:sz="2" w:space="0"/>
              <w:right w:val="single" w:color="auto" w:sz="2" w:space="0"/>
            </w:tcBorders>
            <w:vAlign w:val="center"/>
          </w:tcPr>
          <w:p w14:paraId="17BA419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4,551,722.69</w:t>
            </w:r>
          </w:p>
        </w:tc>
        <w:tc>
          <w:tcPr>
            <w:tcW w:w="0" w:type="auto"/>
            <w:tcBorders>
              <w:top w:val="single" w:color="auto" w:sz="2" w:space="0"/>
              <w:left w:val="single" w:color="auto" w:sz="2" w:space="0"/>
              <w:bottom w:val="single" w:color="auto" w:sz="2" w:space="0"/>
              <w:right w:val="single" w:color="auto" w:sz="2" w:space="0"/>
            </w:tcBorders>
            <w:vAlign w:val="center"/>
          </w:tcPr>
          <w:p w14:paraId="51D29C7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836,279,734.20</w:t>
            </w:r>
          </w:p>
        </w:tc>
      </w:tr>
    </w:tbl>
    <w:p w14:paraId="5EF9AA2C">
      <w:pPr>
        <w:rPr>
          <w:rFonts w:ascii="Times New Roman" w:hAnsi="Times New Roman" w:cs="Times New Roman" w:eastAsiaTheme="majorEastAsia"/>
          <w:sz w:val="18"/>
          <w:szCs w:val="18"/>
        </w:rPr>
      </w:pPr>
      <w:bookmarkStart w:id="161" w:name="_Toc989050"/>
    </w:p>
    <w:p w14:paraId="413B63DB">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法定代表人：林明玲                                                                                              主管会计工作负责人：陈焕盛                                                                       会计机构负责人：赖宏伟</w:t>
      </w:r>
    </w:p>
    <w:p w14:paraId="3E1072D3">
      <w:pPr>
        <w:widowControl/>
        <w:rPr>
          <w:rFonts w:ascii="Times New Roman" w:hAnsi="Times New Roman" w:cs="Times New Roman" w:eastAsiaTheme="majorEastAsia"/>
          <w:b/>
          <w:bCs/>
          <w:szCs w:val="21"/>
        </w:rPr>
      </w:pPr>
      <w:r>
        <w:rPr>
          <w:rFonts w:ascii="Times New Roman" w:hAnsi="Times New Roman" w:cs="Times New Roman" w:eastAsiaTheme="majorEastAsia"/>
          <w:b/>
          <w:bCs/>
        </w:rPr>
        <w:br w:type="page"/>
      </w:r>
    </w:p>
    <w:p w14:paraId="34A4D82A">
      <w:pPr>
        <w:pStyle w:val="3"/>
        <w:spacing w:line="280" w:lineRule="exact"/>
        <w:jc w:val="left"/>
        <w:rPr>
          <w:rFonts w:ascii="Times New Roman" w:hAnsi="Times New Roman" w:cs="Times New Roman" w:eastAsiaTheme="majorEastAsia"/>
          <w:b/>
          <w:bCs/>
        </w:rPr>
      </w:pPr>
      <w:r>
        <w:rPr>
          <w:rFonts w:ascii="Times New Roman" w:hAnsi="Times New Roman" w:cs="Times New Roman" w:eastAsiaTheme="majorEastAsia"/>
          <w:b/>
          <w:bCs/>
        </w:rPr>
        <w:t>8、母公司所有者权益变动表</w:t>
      </w:r>
      <w:bookmarkEnd w:id="161"/>
    </w:p>
    <w:p w14:paraId="7DA1020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本期金额</w:t>
      </w:r>
    </w:p>
    <w:p w14:paraId="3F44F45A">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31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3093"/>
        <w:gridCol w:w="1079"/>
        <w:gridCol w:w="673"/>
        <w:gridCol w:w="673"/>
        <w:gridCol w:w="534"/>
        <w:gridCol w:w="1154"/>
        <w:gridCol w:w="1107"/>
        <w:gridCol w:w="1201"/>
        <w:gridCol w:w="811"/>
        <w:gridCol w:w="1079"/>
        <w:gridCol w:w="1154"/>
        <w:gridCol w:w="534"/>
        <w:gridCol w:w="1402"/>
      </w:tblGrid>
      <w:tr w14:paraId="09886F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4F0F44">
            <w:pPr>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620CF86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2024年度</w:t>
            </w:r>
          </w:p>
        </w:tc>
      </w:tr>
      <w:tr w14:paraId="0F8F5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52DA774">
            <w:pPr>
              <w:rPr>
                <w:rFonts w:ascii="Times New Roman" w:hAnsi="Times New Roman" w:cs="Times New Roman" w:eastAsiaTheme="majorEastAsia"/>
              </w:rPr>
            </w:pP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8A7E7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EF0A6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97718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E7E1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80D4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A47F3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EDFB8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1F5E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A0C7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AA6B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r>
      <w:tr w14:paraId="7C1A2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59F811B">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7C4001">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D80FE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优先股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DCFCED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6D83C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5185A6">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F82B42D">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2DBAD81">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6D5ED46D">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C9D69E">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509BB91">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3935E720">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C6EFFF">
            <w:pPr>
              <w:rPr>
                <w:rFonts w:ascii="Times New Roman" w:hAnsi="Times New Roman" w:cs="Times New Roman" w:eastAsiaTheme="majorEastAsia"/>
              </w:rPr>
            </w:pPr>
          </w:p>
        </w:tc>
      </w:tr>
      <w:tr w14:paraId="2D8742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140970C">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一、上年期末余额</w:t>
            </w:r>
          </w:p>
        </w:tc>
        <w:tc>
          <w:tcPr>
            <w:tcW w:w="0" w:type="auto"/>
            <w:tcBorders>
              <w:top w:val="single" w:color="auto" w:sz="2" w:space="0"/>
              <w:left w:val="single" w:color="auto" w:sz="2" w:space="0"/>
              <w:bottom w:val="single" w:color="auto" w:sz="2" w:space="0"/>
              <w:right w:val="single" w:color="auto" w:sz="2" w:space="0"/>
            </w:tcBorders>
            <w:vAlign w:val="center"/>
          </w:tcPr>
          <w:p w14:paraId="3171AAC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1B2429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75AB4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15533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0AAAB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590,701,200.39</w:t>
            </w:r>
          </w:p>
        </w:tc>
        <w:tc>
          <w:tcPr>
            <w:tcW w:w="0" w:type="auto"/>
            <w:tcBorders>
              <w:top w:val="single" w:color="auto" w:sz="2" w:space="0"/>
              <w:left w:val="single" w:color="auto" w:sz="2" w:space="0"/>
              <w:bottom w:val="single" w:color="auto" w:sz="2" w:space="0"/>
              <w:right w:val="single" w:color="auto" w:sz="2" w:space="0"/>
            </w:tcBorders>
            <w:vAlign w:val="center"/>
          </w:tcPr>
          <w:p w14:paraId="7DE44EC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52D0B07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62F3534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3A0C1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1505AAC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141,116,877.21</w:t>
            </w:r>
          </w:p>
        </w:tc>
        <w:tc>
          <w:tcPr>
            <w:tcW w:w="0" w:type="auto"/>
            <w:tcBorders>
              <w:top w:val="single" w:color="auto" w:sz="2" w:space="0"/>
              <w:left w:val="single" w:color="auto" w:sz="2" w:space="0"/>
              <w:bottom w:val="single" w:color="auto" w:sz="2" w:space="0"/>
              <w:right w:val="single" w:color="auto" w:sz="2" w:space="0"/>
            </w:tcBorders>
            <w:vAlign w:val="center"/>
          </w:tcPr>
          <w:p w14:paraId="232DF46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64970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796,809,523.93</w:t>
            </w:r>
          </w:p>
        </w:tc>
      </w:tr>
      <w:tr w14:paraId="2A2F01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4AA5C1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加：会计政策变更</w:t>
            </w:r>
          </w:p>
        </w:tc>
        <w:tc>
          <w:tcPr>
            <w:tcW w:w="0" w:type="auto"/>
            <w:tcBorders>
              <w:top w:val="single" w:color="auto" w:sz="2" w:space="0"/>
              <w:left w:val="single" w:color="auto" w:sz="2" w:space="0"/>
              <w:bottom w:val="single" w:color="auto" w:sz="2" w:space="0"/>
              <w:right w:val="single" w:color="auto" w:sz="2" w:space="0"/>
            </w:tcBorders>
            <w:vAlign w:val="center"/>
          </w:tcPr>
          <w:p w14:paraId="62745F0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EEAE2F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219B1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0646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2A0A8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9886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F5587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5DBDF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CDE5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DB935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75BD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A7C652">
            <w:pPr>
              <w:spacing w:line="240" w:lineRule="exact"/>
              <w:jc w:val="right"/>
              <w:rPr>
                <w:rFonts w:ascii="Times New Roman" w:hAnsi="Times New Roman" w:cs="Times New Roman" w:eastAsiaTheme="majorEastAsia"/>
                <w:sz w:val="15"/>
                <w:szCs w:val="15"/>
              </w:rPr>
            </w:pPr>
          </w:p>
        </w:tc>
      </w:tr>
      <w:tr w14:paraId="76FC30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B07B8C3">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前期差错更正</w:t>
            </w:r>
          </w:p>
        </w:tc>
        <w:tc>
          <w:tcPr>
            <w:tcW w:w="0" w:type="auto"/>
            <w:tcBorders>
              <w:top w:val="single" w:color="auto" w:sz="2" w:space="0"/>
              <w:left w:val="single" w:color="auto" w:sz="2" w:space="0"/>
              <w:bottom w:val="single" w:color="auto" w:sz="2" w:space="0"/>
              <w:right w:val="single" w:color="auto" w:sz="2" w:space="0"/>
            </w:tcBorders>
            <w:vAlign w:val="center"/>
          </w:tcPr>
          <w:p w14:paraId="627199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E94FC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94A45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92A2D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A040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FCCE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6CFCC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31F78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BA367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2A26F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716C2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20A8C0">
            <w:pPr>
              <w:spacing w:line="240" w:lineRule="exact"/>
              <w:jc w:val="right"/>
              <w:rPr>
                <w:rFonts w:ascii="Times New Roman" w:hAnsi="Times New Roman" w:cs="Times New Roman" w:eastAsiaTheme="majorEastAsia"/>
                <w:sz w:val="15"/>
                <w:szCs w:val="15"/>
              </w:rPr>
            </w:pPr>
          </w:p>
        </w:tc>
      </w:tr>
      <w:tr w14:paraId="04F8F8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BFEAED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tcBorders>
              <w:top w:val="single" w:color="auto" w:sz="2" w:space="0"/>
              <w:left w:val="single" w:color="auto" w:sz="2" w:space="0"/>
              <w:bottom w:val="single" w:color="auto" w:sz="2" w:space="0"/>
              <w:right w:val="single" w:color="auto" w:sz="2" w:space="0"/>
            </w:tcBorders>
            <w:vAlign w:val="center"/>
          </w:tcPr>
          <w:p w14:paraId="1273C3D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F6CB0C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96C35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1A9F6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5362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8F279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0C6AC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79004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FDD23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22726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CAE25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24000A">
            <w:pPr>
              <w:spacing w:line="240" w:lineRule="exact"/>
              <w:jc w:val="right"/>
              <w:rPr>
                <w:rFonts w:ascii="Times New Roman" w:hAnsi="Times New Roman" w:cs="Times New Roman" w:eastAsiaTheme="majorEastAsia"/>
                <w:sz w:val="15"/>
                <w:szCs w:val="15"/>
              </w:rPr>
            </w:pPr>
          </w:p>
        </w:tc>
      </w:tr>
      <w:tr w14:paraId="35FF86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DFF3DC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二、本年期初余额</w:t>
            </w:r>
          </w:p>
        </w:tc>
        <w:tc>
          <w:tcPr>
            <w:tcW w:w="0" w:type="auto"/>
            <w:tcBorders>
              <w:top w:val="single" w:color="auto" w:sz="2" w:space="0"/>
              <w:left w:val="single" w:color="auto" w:sz="2" w:space="0"/>
              <w:bottom w:val="single" w:color="auto" w:sz="2" w:space="0"/>
              <w:right w:val="single" w:color="auto" w:sz="2" w:space="0"/>
            </w:tcBorders>
            <w:vAlign w:val="center"/>
          </w:tcPr>
          <w:p w14:paraId="76BF98A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2BFD2A9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C0D2D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6D056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67DC8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590,701,200.39</w:t>
            </w:r>
          </w:p>
        </w:tc>
        <w:tc>
          <w:tcPr>
            <w:tcW w:w="0" w:type="auto"/>
            <w:tcBorders>
              <w:top w:val="single" w:color="auto" w:sz="2" w:space="0"/>
              <w:left w:val="single" w:color="auto" w:sz="2" w:space="0"/>
              <w:bottom w:val="single" w:color="auto" w:sz="2" w:space="0"/>
              <w:right w:val="single" w:color="auto" w:sz="2" w:space="0"/>
            </w:tcBorders>
            <w:vAlign w:val="center"/>
          </w:tcPr>
          <w:p w14:paraId="1F0337B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14EBD57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7393906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01A98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247A22A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141,116,877.21</w:t>
            </w:r>
          </w:p>
        </w:tc>
        <w:tc>
          <w:tcPr>
            <w:tcW w:w="0" w:type="auto"/>
            <w:tcBorders>
              <w:top w:val="single" w:color="auto" w:sz="2" w:space="0"/>
              <w:left w:val="single" w:color="auto" w:sz="2" w:space="0"/>
              <w:bottom w:val="single" w:color="auto" w:sz="2" w:space="0"/>
              <w:right w:val="single" w:color="auto" w:sz="2" w:space="0"/>
            </w:tcBorders>
            <w:vAlign w:val="center"/>
          </w:tcPr>
          <w:p w14:paraId="3D2E01A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A998C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796,809,523.93</w:t>
            </w:r>
          </w:p>
        </w:tc>
      </w:tr>
      <w:tr w14:paraId="40E642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5AB195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三、本期增减变动金额（减少以“－”号填列）</w:t>
            </w:r>
          </w:p>
        </w:tc>
        <w:tc>
          <w:tcPr>
            <w:tcW w:w="0" w:type="auto"/>
            <w:tcBorders>
              <w:top w:val="single" w:color="auto" w:sz="2" w:space="0"/>
              <w:left w:val="single" w:color="auto" w:sz="2" w:space="0"/>
              <w:bottom w:val="single" w:color="auto" w:sz="2" w:space="0"/>
              <w:right w:val="single" w:color="auto" w:sz="2" w:space="0"/>
            </w:tcBorders>
            <w:vAlign w:val="center"/>
          </w:tcPr>
          <w:p w14:paraId="4661D6E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1E40F3C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E820C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0E8F7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E82F3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7,135,682.19</w:t>
            </w:r>
          </w:p>
        </w:tc>
        <w:tc>
          <w:tcPr>
            <w:tcW w:w="0" w:type="auto"/>
            <w:tcBorders>
              <w:top w:val="single" w:color="auto" w:sz="2" w:space="0"/>
              <w:left w:val="single" w:color="auto" w:sz="2" w:space="0"/>
              <w:bottom w:val="single" w:color="auto" w:sz="2" w:space="0"/>
              <w:right w:val="single" w:color="auto" w:sz="2" w:space="0"/>
            </w:tcBorders>
            <w:vAlign w:val="center"/>
          </w:tcPr>
          <w:p w14:paraId="14B3F61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24,859,888.07</w:t>
            </w:r>
          </w:p>
        </w:tc>
        <w:tc>
          <w:tcPr>
            <w:tcW w:w="0" w:type="auto"/>
            <w:tcBorders>
              <w:top w:val="single" w:color="auto" w:sz="2" w:space="0"/>
              <w:left w:val="single" w:color="auto" w:sz="2" w:space="0"/>
              <w:bottom w:val="single" w:color="auto" w:sz="2" w:space="0"/>
              <w:right w:val="single" w:color="auto" w:sz="2" w:space="0"/>
            </w:tcBorders>
            <w:vAlign w:val="center"/>
          </w:tcPr>
          <w:p w14:paraId="335045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2C7D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8E1B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98DDA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-39,033,920.88</w:t>
            </w:r>
          </w:p>
        </w:tc>
        <w:tc>
          <w:tcPr>
            <w:tcW w:w="0" w:type="auto"/>
            <w:tcBorders>
              <w:top w:val="single" w:color="auto" w:sz="2" w:space="0"/>
              <w:left w:val="single" w:color="auto" w:sz="2" w:space="0"/>
              <w:bottom w:val="single" w:color="auto" w:sz="2" w:space="0"/>
              <w:right w:val="single" w:color="auto" w:sz="2" w:space="0"/>
            </w:tcBorders>
            <w:vAlign w:val="center"/>
          </w:tcPr>
          <w:p w14:paraId="38EA91D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7BA2C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-56,886,126.76</w:t>
            </w:r>
          </w:p>
        </w:tc>
      </w:tr>
      <w:tr w14:paraId="5CA9C9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371707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（一）综合收益总额</w:t>
            </w:r>
          </w:p>
        </w:tc>
        <w:tc>
          <w:tcPr>
            <w:tcW w:w="0" w:type="auto"/>
            <w:tcBorders>
              <w:top w:val="single" w:color="auto" w:sz="2" w:space="0"/>
              <w:left w:val="single" w:color="auto" w:sz="2" w:space="0"/>
              <w:bottom w:val="single" w:color="auto" w:sz="2" w:space="0"/>
              <w:right w:val="single" w:color="auto" w:sz="2" w:space="0"/>
            </w:tcBorders>
            <w:vAlign w:val="center"/>
          </w:tcPr>
          <w:p w14:paraId="59512E0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8AFBD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CA4C7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82AF1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3B94C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7AFE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A18EE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AB361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3F69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25F1A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-32,423,654.88</w:t>
            </w:r>
          </w:p>
        </w:tc>
        <w:tc>
          <w:tcPr>
            <w:tcW w:w="0" w:type="auto"/>
            <w:tcBorders>
              <w:top w:val="single" w:color="auto" w:sz="2" w:space="0"/>
              <w:left w:val="single" w:color="auto" w:sz="2" w:space="0"/>
              <w:bottom w:val="single" w:color="auto" w:sz="2" w:space="0"/>
              <w:right w:val="single" w:color="auto" w:sz="2" w:space="0"/>
            </w:tcBorders>
            <w:vAlign w:val="center"/>
          </w:tcPr>
          <w:p w14:paraId="3B9290E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6D1EB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-32,423,654.88</w:t>
            </w:r>
          </w:p>
        </w:tc>
      </w:tr>
      <w:tr w14:paraId="00638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72AAB4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（二）所有者投入和减少资本</w:t>
            </w:r>
          </w:p>
        </w:tc>
        <w:tc>
          <w:tcPr>
            <w:tcW w:w="0" w:type="auto"/>
            <w:tcBorders>
              <w:top w:val="single" w:color="auto" w:sz="2" w:space="0"/>
              <w:left w:val="single" w:color="auto" w:sz="2" w:space="0"/>
              <w:bottom w:val="single" w:color="auto" w:sz="2" w:space="0"/>
              <w:right w:val="single" w:color="auto" w:sz="2" w:space="0"/>
            </w:tcBorders>
            <w:vAlign w:val="center"/>
          </w:tcPr>
          <w:p w14:paraId="7105BF3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6A37696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A93CF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4EE72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A2697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7,135,682.19</w:t>
            </w:r>
          </w:p>
        </w:tc>
        <w:tc>
          <w:tcPr>
            <w:tcW w:w="0" w:type="auto"/>
            <w:tcBorders>
              <w:top w:val="single" w:color="auto" w:sz="2" w:space="0"/>
              <w:left w:val="single" w:color="auto" w:sz="2" w:space="0"/>
              <w:bottom w:val="single" w:color="auto" w:sz="2" w:space="0"/>
              <w:right w:val="single" w:color="auto" w:sz="2" w:space="0"/>
            </w:tcBorders>
            <w:vAlign w:val="center"/>
          </w:tcPr>
          <w:p w14:paraId="0F2EEFA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24,859,888.07</w:t>
            </w:r>
          </w:p>
        </w:tc>
        <w:tc>
          <w:tcPr>
            <w:tcW w:w="0" w:type="auto"/>
            <w:tcBorders>
              <w:top w:val="single" w:color="auto" w:sz="2" w:space="0"/>
              <w:left w:val="single" w:color="auto" w:sz="2" w:space="0"/>
              <w:bottom w:val="single" w:color="auto" w:sz="2" w:space="0"/>
              <w:right w:val="single" w:color="auto" w:sz="2" w:space="0"/>
            </w:tcBorders>
            <w:vAlign w:val="center"/>
          </w:tcPr>
          <w:p w14:paraId="44AF446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FFC8A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453B1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B532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2397C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6402A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-17,852,205.88</w:t>
            </w:r>
          </w:p>
        </w:tc>
      </w:tr>
      <w:tr w14:paraId="0798F7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558AA0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1．所有者投入的普通股</w:t>
            </w:r>
          </w:p>
        </w:tc>
        <w:tc>
          <w:tcPr>
            <w:tcW w:w="0" w:type="auto"/>
            <w:tcBorders>
              <w:top w:val="single" w:color="auto" w:sz="2" w:space="0"/>
              <w:left w:val="single" w:color="auto" w:sz="2" w:space="0"/>
              <w:bottom w:val="single" w:color="auto" w:sz="2" w:space="0"/>
              <w:right w:val="single" w:color="auto" w:sz="2" w:space="0"/>
            </w:tcBorders>
            <w:vAlign w:val="center"/>
          </w:tcPr>
          <w:p w14:paraId="3770693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w:t>
            </w:r>
          </w:p>
        </w:tc>
        <w:tc>
          <w:tcPr>
            <w:tcW w:w="0" w:type="auto"/>
            <w:tcBorders>
              <w:top w:val="single" w:color="auto" w:sz="2" w:space="0"/>
              <w:left w:val="single" w:color="auto" w:sz="2" w:space="0"/>
              <w:bottom w:val="single" w:color="auto" w:sz="2" w:space="0"/>
              <w:right w:val="single" w:color="auto" w:sz="2" w:space="0"/>
            </w:tcBorders>
            <w:vAlign w:val="center"/>
          </w:tcPr>
          <w:p w14:paraId="4921094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6731D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6FED2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D9C1E4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-1,908,480.00</w:t>
            </w:r>
          </w:p>
        </w:tc>
        <w:tc>
          <w:tcPr>
            <w:tcW w:w="0" w:type="auto"/>
            <w:tcBorders>
              <w:top w:val="single" w:color="auto" w:sz="2" w:space="0"/>
              <w:left w:val="single" w:color="auto" w:sz="2" w:space="0"/>
              <w:bottom w:val="single" w:color="auto" w:sz="2" w:space="0"/>
              <w:right w:val="single" w:color="auto" w:sz="2" w:space="0"/>
            </w:tcBorders>
            <w:vAlign w:val="center"/>
          </w:tcPr>
          <w:p w14:paraId="2760F9D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-2,036,480.00</w:t>
            </w:r>
          </w:p>
        </w:tc>
        <w:tc>
          <w:tcPr>
            <w:tcW w:w="0" w:type="auto"/>
            <w:tcBorders>
              <w:top w:val="single" w:color="auto" w:sz="2" w:space="0"/>
              <w:left w:val="single" w:color="auto" w:sz="2" w:space="0"/>
              <w:bottom w:val="single" w:color="auto" w:sz="2" w:space="0"/>
              <w:right w:val="single" w:color="auto" w:sz="2" w:space="0"/>
            </w:tcBorders>
            <w:vAlign w:val="center"/>
          </w:tcPr>
          <w:p w14:paraId="240D808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3456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2909B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C0C4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3C8C1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7D5CD7">
            <w:pPr>
              <w:spacing w:line="240" w:lineRule="exact"/>
              <w:jc w:val="right"/>
              <w:rPr>
                <w:rFonts w:ascii="Times New Roman" w:hAnsi="Times New Roman" w:cs="Times New Roman" w:eastAsiaTheme="majorEastAsia"/>
                <w:sz w:val="15"/>
                <w:szCs w:val="15"/>
              </w:rPr>
            </w:pPr>
          </w:p>
        </w:tc>
      </w:tr>
      <w:tr w14:paraId="5C0214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D1DE04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2．其他权益工具持有者投入资本</w:t>
            </w:r>
          </w:p>
        </w:tc>
        <w:tc>
          <w:tcPr>
            <w:tcW w:w="0" w:type="auto"/>
            <w:tcBorders>
              <w:top w:val="single" w:color="auto" w:sz="2" w:space="0"/>
              <w:left w:val="single" w:color="auto" w:sz="2" w:space="0"/>
              <w:bottom w:val="single" w:color="auto" w:sz="2" w:space="0"/>
              <w:right w:val="single" w:color="auto" w:sz="2" w:space="0"/>
            </w:tcBorders>
            <w:vAlign w:val="center"/>
          </w:tcPr>
          <w:p w14:paraId="481DFD7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FB44F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0571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04EDD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3F19C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085F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80B67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28E4E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0D455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34ACF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31062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42D366">
            <w:pPr>
              <w:spacing w:line="240" w:lineRule="exact"/>
              <w:jc w:val="right"/>
              <w:rPr>
                <w:rFonts w:ascii="Times New Roman" w:hAnsi="Times New Roman" w:cs="Times New Roman" w:eastAsiaTheme="majorEastAsia"/>
                <w:sz w:val="15"/>
                <w:szCs w:val="15"/>
              </w:rPr>
            </w:pPr>
          </w:p>
        </w:tc>
      </w:tr>
      <w:tr w14:paraId="0A130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324A59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3．股份支付计入所有者权益的金额</w:t>
            </w:r>
          </w:p>
        </w:tc>
        <w:tc>
          <w:tcPr>
            <w:tcW w:w="0" w:type="auto"/>
            <w:tcBorders>
              <w:top w:val="single" w:color="auto" w:sz="2" w:space="0"/>
              <w:left w:val="single" w:color="auto" w:sz="2" w:space="0"/>
              <w:bottom w:val="single" w:color="auto" w:sz="2" w:space="0"/>
              <w:right w:val="single" w:color="auto" w:sz="2" w:space="0"/>
            </w:tcBorders>
            <w:vAlign w:val="center"/>
          </w:tcPr>
          <w:p w14:paraId="024C1A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051C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6A5870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A0C03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9BB47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9,044,162.19</w:t>
            </w:r>
          </w:p>
        </w:tc>
        <w:tc>
          <w:tcPr>
            <w:tcW w:w="0" w:type="auto"/>
            <w:tcBorders>
              <w:top w:val="single" w:color="auto" w:sz="2" w:space="0"/>
              <w:left w:val="single" w:color="auto" w:sz="2" w:space="0"/>
              <w:bottom w:val="single" w:color="auto" w:sz="2" w:space="0"/>
              <w:right w:val="single" w:color="auto" w:sz="2" w:space="0"/>
            </w:tcBorders>
            <w:vAlign w:val="center"/>
          </w:tcPr>
          <w:p w14:paraId="2DACF9F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27,011,568.07</w:t>
            </w:r>
          </w:p>
        </w:tc>
        <w:tc>
          <w:tcPr>
            <w:tcW w:w="0" w:type="auto"/>
            <w:tcBorders>
              <w:top w:val="single" w:color="auto" w:sz="2" w:space="0"/>
              <w:left w:val="single" w:color="auto" w:sz="2" w:space="0"/>
              <w:bottom w:val="single" w:color="auto" w:sz="2" w:space="0"/>
              <w:right w:val="single" w:color="auto" w:sz="2" w:space="0"/>
            </w:tcBorders>
            <w:vAlign w:val="center"/>
          </w:tcPr>
          <w:p w14:paraId="5DC40C5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5D3CE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70762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12E79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513DF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5E37B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-17,967,405.88</w:t>
            </w:r>
          </w:p>
        </w:tc>
      </w:tr>
      <w:tr w14:paraId="572219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AB8F0D">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0" w:type="auto"/>
            <w:tcBorders>
              <w:top w:val="single" w:color="auto" w:sz="2" w:space="0"/>
              <w:left w:val="single" w:color="auto" w:sz="2" w:space="0"/>
              <w:bottom w:val="single" w:color="auto" w:sz="2" w:space="0"/>
              <w:right w:val="single" w:color="auto" w:sz="2" w:space="0"/>
            </w:tcBorders>
            <w:vAlign w:val="center"/>
          </w:tcPr>
          <w:p w14:paraId="11E3B0F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F0B4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7B290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6A30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09FDC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B45EC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-115,200.00</w:t>
            </w:r>
          </w:p>
        </w:tc>
        <w:tc>
          <w:tcPr>
            <w:tcW w:w="0" w:type="auto"/>
            <w:tcBorders>
              <w:top w:val="single" w:color="auto" w:sz="2" w:space="0"/>
              <w:left w:val="single" w:color="auto" w:sz="2" w:space="0"/>
              <w:bottom w:val="single" w:color="auto" w:sz="2" w:space="0"/>
              <w:right w:val="single" w:color="auto" w:sz="2" w:space="0"/>
            </w:tcBorders>
            <w:vAlign w:val="center"/>
          </w:tcPr>
          <w:p w14:paraId="5B38621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850E0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ABC4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BECEF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5823C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AB9C4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115,200.00</w:t>
            </w:r>
          </w:p>
        </w:tc>
      </w:tr>
      <w:tr w14:paraId="188B69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E72F61">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（三）利润分配</w:t>
            </w:r>
          </w:p>
        </w:tc>
        <w:tc>
          <w:tcPr>
            <w:tcW w:w="0" w:type="auto"/>
            <w:tcBorders>
              <w:top w:val="single" w:color="auto" w:sz="2" w:space="0"/>
              <w:left w:val="single" w:color="auto" w:sz="2" w:space="0"/>
              <w:bottom w:val="single" w:color="auto" w:sz="2" w:space="0"/>
              <w:right w:val="single" w:color="auto" w:sz="2" w:space="0"/>
            </w:tcBorders>
            <w:vAlign w:val="center"/>
          </w:tcPr>
          <w:p w14:paraId="6C62259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2D47A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4BBBB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E10C7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03733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CF2CB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2F97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7D83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A72E3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DA504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175191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922A3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r>
      <w:tr w14:paraId="0A119A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EEA64CF">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1．提取盈余公积</w:t>
            </w:r>
          </w:p>
        </w:tc>
        <w:tc>
          <w:tcPr>
            <w:tcW w:w="0" w:type="auto"/>
            <w:tcBorders>
              <w:top w:val="single" w:color="auto" w:sz="2" w:space="0"/>
              <w:left w:val="single" w:color="auto" w:sz="2" w:space="0"/>
              <w:bottom w:val="single" w:color="auto" w:sz="2" w:space="0"/>
              <w:right w:val="single" w:color="auto" w:sz="2" w:space="0"/>
            </w:tcBorders>
            <w:vAlign w:val="center"/>
          </w:tcPr>
          <w:p w14:paraId="2BA094D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136F8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F8F8F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9E545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DFDA4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22B34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FBD5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8CBE7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7DC2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D96A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584F7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F60432">
            <w:pPr>
              <w:spacing w:line="240" w:lineRule="exact"/>
              <w:jc w:val="right"/>
              <w:rPr>
                <w:rFonts w:ascii="Times New Roman" w:hAnsi="Times New Roman" w:cs="Times New Roman" w:eastAsiaTheme="majorEastAsia"/>
                <w:sz w:val="15"/>
                <w:szCs w:val="15"/>
              </w:rPr>
            </w:pPr>
          </w:p>
        </w:tc>
      </w:tr>
      <w:tr w14:paraId="2A7813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327B26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2．对所有者（或股东）的分配</w:t>
            </w:r>
          </w:p>
        </w:tc>
        <w:tc>
          <w:tcPr>
            <w:tcW w:w="0" w:type="auto"/>
            <w:tcBorders>
              <w:top w:val="single" w:color="auto" w:sz="2" w:space="0"/>
              <w:left w:val="single" w:color="auto" w:sz="2" w:space="0"/>
              <w:bottom w:val="single" w:color="auto" w:sz="2" w:space="0"/>
              <w:right w:val="single" w:color="auto" w:sz="2" w:space="0"/>
            </w:tcBorders>
            <w:vAlign w:val="center"/>
          </w:tcPr>
          <w:p w14:paraId="6E07064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10B0F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59234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A385E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A391D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A841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3A7A2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DA4A0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66740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28D8A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c>
          <w:tcPr>
            <w:tcW w:w="0" w:type="auto"/>
            <w:tcBorders>
              <w:top w:val="single" w:color="auto" w:sz="2" w:space="0"/>
              <w:left w:val="single" w:color="auto" w:sz="2" w:space="0"/>
              <w:bottom w:val="single" w:color="auto" w:sz="2" w:space="0"/>
              <w:right w:val="single" w:color="auto" w:sz="2" w:space="0"/>
            </w:tcBorders>
            <w:vAlign w:val="center"/>
          </w:tcPr>
          <w:p w14:paraId="5A4D9D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1A677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-6,610,266.00</w:t>
            </w:r>
          </w:p>
        </w:tc>
      </w:tr>
      <w:tr w14:paraId="6A23D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437B4D8">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3．其他</w:t>
            </w:r>
          </w:p>
        </w:tc>
        <w:tc>
          <w:tcPr>
            <w:tcW w:w="0" w:type="auto"/>
            <w:tcBorders>
              <w:top w:val="single" w:color="auto" w:sz="2" w:space="0"/>
              <w:left w:val="single" w:color="auto" w:sz="2" w:space="0"/>
              <w:bottom w:val="single" w:color="auto" w:sz="2" w:space="0"/>
              <w:right w:val="single" w:color="auto" w:sz="2" w:space="0"/>
            </w:tcBorders>
            <w:vAlign w:val="center"/>
          </w:tcPr>
          <w:p w14:paraId="58FA71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3FBD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E6FC4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430E9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1C3CF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251C3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0D9A0A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3C254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8C0F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B498F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B814B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874BFC">
            <w:pPr>
              <w:spacing w:line="240" w:lineRule="exact"/>
              <w:jc w:val="right"/>
              <w:rPr>
                <w:rFonts w:ascii="Times New Roman" w:hAnsi="Times New Roman" w:cs="Times New Roman" w:eastAsiaTheme="majorEastAsia"/>
                <w:sz w:val="15"/>
                <w:szCs w:val="15"/>
              </w:rPr>
            </w:pPr>
          </w:p>
        </w:tc>
      </w:tr>
      <w:tr w14:paraId="60378E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9ADC83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（四）所有者权益内部结转</w:t>
            </w:r>
          </w:p>
        </w:tc>
        <w:tc>
          <w:tcPr>
            <w:tcW w:w="0" w:type="auto"/>
            <w:tcBorders>
              <w:top w:val="single" w:color="auto" w:sz="2" w:space="0"/>
              <w:left w:val="single" w:color="auto" w:sz="2" w:space="0"/>
              <w:bottom w:val="single" w:color="auto" w:sz="2" w:space="0"/>
              <w:right w:val="single" w:color="auto" w:sz="2" w:space="0"/>
            </w:tcBorders>
            <w:vAlign w:val="center"/>
          </w:tcPr>
          <w:p w14:paraId="2BDE607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1857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6E463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83D4C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55EB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219A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CF35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D8575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88AC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85FDF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71AD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E4B809">
            <w:pPr>
              <w:spacing w:line="240" w:lineRule="exact"/>
              <w:jc w:val="right"/>
              <w:rPr>
                <w:rFonts w:ascii="Times New Roman" w:hAnsi="Times New Roman" w:cs="Times New Roman" w:eastAsiaTheme="majorEastAsia"/>
                <w:sz w:val="15"/>
                <w:szCs w:val="15"/>
              </w:rPr>
            </w:pPr>
          </w:p>
        </w:tc>
      </w:tr>
      <w:tr w14:paraId="05D99E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EBE843F">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1．资本公积转增资本（或股本）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15321EF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0B945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DC35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931A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CDEBE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480F6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4213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FF544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24E9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1400E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3102C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24440D2">
            <w:pPr>
              <w:spacing w:line="240" w:lineRule="exact"/>
              <w:jc w:val="right"/>
              <w:rPr>
                <w:rFonts w:ascii="Times New Roman" w:hAnsi="Times New Roman" w:cs="Times New Roman" w:eastAsiaTheme="majorEastAsia"/>
                <w:sz w:val="15"/>
                <w:szCs w:val="15"/>
              </w:rPr>
            </w:pPr>
          </w:p>
        </w:tc>
      </w:tr>
      <w:tr w14:paraId="575C5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F8C0DDF">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2．盈余公积转增资本（或股本）</w:t>
            </w:r>
          </w:p>
        </w:tc>
        <w:tc>
          <w:tcPr>
            <w:tcW w:w="0" w:type="auto"/>
            <w:tcBorders>
              <w:top w:val="single" w:color="auto" w:sz="2" w:space="0"/>
              <w:left w:val="single" w:color="auto" w:sz="2" w:space="0"/>
              <w:bottom w:val="single" w:color="auto" w:sz="2" w:space="0"/>
              <w:right w:val="single" w:color="auto" w:sz="2" w:space="0"/>
            </w:tcBorders>
            <w:vAlign w:val="center"/>
          </w:tcPr>
          <w:p w14:paraId="5381E6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5E1E6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47859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914C4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96CA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4C346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163C56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011A1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CD229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219D7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1078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54EA9D">
            <w:pPr>
              <w:spacing w:line="240" w:lineRule="exact"/>
              <w:jc w:val="right"/>
              <w:rPr>
                <w:rFonts w:ascii="Times New Roman" w:hAnsi="Times New Roman" w:cs="Times New Roman" w:eastAsiaTheme="majorEastAsia"/>
                <w:sz w:val="15"/>
                <w:szCs w:val="15"/>
              </w:rPr>
            </w:pPr>
          </w:p>
        </w:tc>
      </w:tr>
      <w:tr w14:paraId="648F5D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F78E77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3．盈余公积弥补亏损</w:t>
            </w:r>
          </w:p>
        </w:tc>
        <w:tc>
          <w:tcPr>
            <w:tcW w:w="0" w:type="auto"/>
            <w:tcBorders>
              <w:top w:val="single" w:color="auto" w:sz="2" w:space="0"/>
              <w:left w:val="single" w:color="auto" w:sz="2" w:space="0"/>
              <w:bottom w:val="single" w:color="auto" w:sz="2" w:space="0"/>
              <w:right w:val="single" w:color="auto" w:sz="2" w:space="0"/>
            </w:tcBorders>
            <w:vAlign w:val="center"/>
          </w:tcPr>
          <w:p w14:paraId="2C101CD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5EE34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28D43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23BE1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04248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3E593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5A077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AEAC8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518C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44A72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4FBC3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58D594">
            <w:pPr>
              <w:spacing w:line="240" w:lineRule="exact"/>
              <w:jc w:val="right"/>
              <w:rPr>
                <w:rFonts w:ascii="Times New Roman" w:hAnsi="Times New Roman" w:cs="Times New Roman" w:eastAsiaTheme="majorEastAsia"/>
                <w:sz w:val="15"/>
                <w:szCs w:val="15"/>
              </w:rPr>
            </w:pPr>
          </w:p>
        </w:tc>
      </w:tr>
      <w:tr w14:paraId="26D9A6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D94DD5C">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4．设定受益计划变动额结转留存收益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0457FF6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F022D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E73E1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59AEB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E2EB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D443C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0B69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CF87C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61957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B155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DF4E5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8D513C">
            <w:pPr>
              <w:spacing w:line="240" w:lineRule="exact"/>
              <w:jc w:val="right"/>
              <w:rPr>
                <w:rFonts w:ascii="Times New Roman" w:hAnsi="Times New Roman" w:cs="Times New Roman" w:eastAsiaTheme="majorEastAsia"/>
                <w:sz w:val="15"/>
                <w:szCs w:val="15"/>
              </w:rPr>
            </w:pPr>
          </w:p>
        </w:tc>
      </w:tr>
      <w:tr w14:paraId="0B77BF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85D6BE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5．其他综合收益结转留存收益</w:t>
            </w:r>
          </w:p>
        </w:tc>
        <w:tc>
          <w:tcPr>
            <w:tcW w:w="0" w:type="auto"/>
            <w:tcBorders>
              <w:top w:val="single" w:color="auto" w:sz="2" w:space="0"/>
              <w:left w:val="single" w:color="auto" w:sz="2" w:space="0"/>
              <w:bottom w:val="single" w:color="auto" w:sz="2" w:space="0"/>
              <w:right w:val="single" w:color="auto" w:sz="2" w:space="0"/>
            </w:tcBorders>
            <w:vAlign w:val="center"/>
          </w:tcPr>
          <w:p w14:paraId="6B83211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305E9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4417E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14F18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D45A7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ABEC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BEE59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BBB1D1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DFF0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5FD1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84C90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1A39C7">
            <w:pPr>
              <w:spacing w:line="240" w:lineRule="exact"/>
              <w:jc w:val="right"/>
              <w:rPr>
                <w:rFonts w:ascii="Times New Roman" w:hAnsi="Times New Roman" w:cs="Times New Roman" w:eastAsiaTheme="majorEastAsia"/>
                <w:sz w:val="15"/>
                <w:szCs w:val="15"/>
              </w:rPr>
            </w:pPr>
          </w:p>
        </w:tc>
      </w:tr>
      <w:tr w14:paraId="3C9137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1E3BCE8">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6．其他</w:t>
            </w:r>
          </w:p>
        </w:tc>
        <w:tc>
          <w:tcPr>
            <w:tcW w:w="0" w:type="auto"/>
            <w:tcBorders>
              <w:top w:val="single" w:color="auto" w:sz="2" w:space="0"/>
              <w:left w:val="single" w:color="auto" w:sz="2" w:space="0"/>
              <w:bottom w:val="single" w:color="auto" w:sz="2" w:space="0"/>
              <w:right w:val="single" w:color="auto" w:sz="2" w:space="0"/>
            </w:tcBorders>
            <w:vAlign w:val="center"/>
          </w:tcPr>
          <w:p w14:paraId="1253C0B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9200B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53C01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702F5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14DB2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46EFF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ED31F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EFC1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924CA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D3BF68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B38ACE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8EB2C4">
            <w:pPr>
              <w:spacing w:line="240" w:lineRule="exact"/>
              <w:jc w:val="right"/>
              <w:rPr>
                <w:rFonts w:ascii="Times New Roman" w:hAnsi="Times New Roman" w:cs="Times New Roman" w:eastAsiaTheme="majorEastAsia"/>
                <w:sz w:val="15"/>
                <w:szCs w:val="15"/>
              </w:rPr>
            </w:pPr>
          </w:p>
        </w:tc>
      </w:tr>
      <w:tr w14:paraId="71CAFA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5B863D5">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（五）专项储备</w:t>
            </w:r>
          </w:p>
        </w:tc>
        <w:tc>
          <w:tcPr>
            <w:tcW w:w="0" w:type="auto"/>
            <w:tcBorders>
              <w:top w:val="single" w:color="auto" w:sz="2" w:space="0"/>
              <w:left w:val="single" w:color="auto" w:sz="2" w:space="0"/>
              <w:bottom w:val="single" w:color="auto" w:sz="2" w:space="0"/>
              <w:right w:val="single" w:color="auto" w:sz="2" w:space="0"/>
            </w:tcBorders>
            <w:vAlign w:val="center"/>
          </w:tcPr>
          <w:p w14:paraId="7178D1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9646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3620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D2C71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CFC3D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5E251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F0797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E3AB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6E6F3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819A8F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84CF7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36BA20">
            <w:pPr>
              <w:spacing w:line="240" w:lineRule="exact"/>
              <w:jc w:val="right"/>
              <w:rPr>
                <w:rFonts w:ascii="Times New Roman" w:hAnsi="Times New Roman" w:cs="Times New Roman" w:eastAsiaTheme="majorEastAsia"/>
                <w:sz w:val="15"/>
                <w:szCs w:val="15"/>
              </w:rPr>
            </w:pPr>
          </w:p>
        </w:tc>
      </w:tr>
      <w:tr w14:paraId="0D3B11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A28B184">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1．本期提取</w:t>
            </w:r>
          </w:p>
        </w:tc>
        <w:tc>
          <w:tcPr>
            <w:tcW w:w="0" w:type="auto"/>
            <w:tcBorders>
              <w:top w:val="single" w:color="auto" w:sz="2" w:space="0"/>
              <w:left w:val="single" w:color="auto" w:sz="2" w:space="0"/>
              <w:bottom w:val="single" w:color="auto" w:sz="2" w:space="0"/>
              <w:right w:val="single" w:color="auto" w:sz="2" w:space="0"/>
            </w:tcBorders>
            <w:vAlign w:val="center"/>
          </w:tcPr>
          <w:p w14:paraId="024D525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65F77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AE82E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44683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6E2A98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A07B0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0682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04D71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7E8D3F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B72FB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307F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EE3A0F7">
            <w:pPr>
              <w:spacing w:line="240" w:lineRule="exact"/>
              <w:jc w:val="right"/>
              <w:rPr>
                <w:rFonts w:ascii="Times New Roman" w:hAnsi="Times New Roman" w:cs="Times New Roman" w:eastAsiaTheme="majorEastAsia"/>
                <w:sz w:val="15"/>
                <w:szCs w:val="15"/>
              </w:rPr>
            </w:pPr>
          </w:p>
        </w:tc>
      </w:tr>
      <w:tr w14:paraId="48A3C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A771F3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2．本期使用</w:t>
            </w:r>
          </w:p>
        </w:tc>
        <w:tc>
          <w:tcPr>
            <w:tcW w:w="0" w:type="auto"/>
            <w:tcBorders>
              <w:top w:val="single" w:color="auto" w:sz="2" w:space="0"/>
              <w:left w:val="single" w:color="auto" w:sz="2" w:space="0"/>
              <w:bottom w:val="single" w:color="auto" w:sz="2" w:space="0"/>
              <w:right w:val="single" w:color="auto" w:sz="2" w:space="0"/>
            </w:tcBorders>
            <w:vAlign w:val="center"/>
          </w:tcPr>
          <w:p w14:paraId="3F18A8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1B0F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22F81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0C2B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787C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7C65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469A0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D2B78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0893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84903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C9DCA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6C3A28">
            <w:pPr>
              <w:spacing w:line="240" w:lineRule="exact"/>
              <w:jc w:val="right"/>
              <w:rPr>
                <w:rFonts w:ascii="Times New Roman" w:hAnsi="Times New Roman" w:cs="Times New Roman" w:eastAsiaTheme="majorEastAsia"/>
                <w:sz w:val="15"/>
                <w:szCs w:val="15"/>
              </w:rPr>
            </w:pPr>
          </w:p>
        </w:tc>
      </w:tr>
      <w:tr w14:paraId="3C4CF8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B99BC49">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（六）其他</w:t>
            </w:r>
          </w:p>
        </w:tc>
        <w:tc>
          <w:tcPr>
            <w:tcW w:w="0" w:type="auto"/>
            <w:tcBorders>
              <w:top w:val="single" w:color="auto" w:sz="2" w:space="0"/>
              <w:left w:val="single" w:color="auto" w:sz="2" w:space="0"/>
              <w:bottom w:val="single" w:color="auto" w:sz="2" w:space="0"/>
              <w:right w:val="single" w:color="auto" w:sz="2" w:space="0"/>
            </w:tcBorders>
            <w:vAlign w:val="center"/>
          </w:tcPr>
          <w:p w14:paraId="6A186BE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BBB6B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4566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D638E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06827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AC47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EDCC7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24AE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0763D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9C47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EDEA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D505B4">
            <w:pPr>
              <w:spacing w:line="240" w:lineRule="exact"/>
              <w:jc w:val="right"/>
              <w:rPr>
                <w:rFonts w:ascii="Times New Roman" w:hAnsi="Times New Roman" w:cs="Times New Roman" w:eastAsiaTheme="majorEastAsia"/>
                <w:sz w:val="15"/>
                <w:szCs w:val="15"/>
              </w:rPr>
            </w:pPr>
          </w:p>
        </w:tc>
      </w:tr>
      <w:tr w14:paraId="5C46DB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F7BD7F0">
            <w:pPr>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四、本期期末余额</w:t>
            </w:r>
          </w:p>
        </w:tc>
        <w:tc>
          <w:tcPr>
            <w:tcW w:w="0" w:type="auto"/>
            <w:tcBorders>
              <w:top w:val="single" w:color="auto" w:sz="2" w:space="0"/>
              <w:left w:val="single" w:color="auto" w:sz="2" w:space="0"/>
              <w:bottom w:val="single" w:color="auto" w:sz="2" w:space="0"/>
              <w:right w:val="single" w:color="auto" w:sz="2" w:space="0"/>
            </w:tcBorders>
            <w:vAlign w:val="center"/>
          </w:tcPr>
          <w:p w14:paraId="5543548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67,108,800.00</w:t>
            </w:r>
          </w:p>
        </w:tc>
        <w:tc>
          <w:tcPr>
            <w:tcW w:w="0" w:type="auto"/>
            <w:tcBorders>
              <w:top w:val="single" w:color="auto" w:sz="2" w:space="0"/>
              <w:left w:val="single" w:color="auto" w:sz="2" w:space="0"/>
              <w:bottom w:val="single" w:color="auto" w:sz="2" w:space="0"/>
              <w:right w:val="single" w:color="auto" w:sz="2" w:space="0"/>
            </w:tcBorders>
            <w:vAlign w:val="center"/>
          </w:tcPr>
          <w:p w14:paraId="4774734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3BA78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9BAB2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BC31A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597,836,882.58</w:t>
            </w:r>
          </w:p>
        </w:tc>
        <w:tc>
          <w:tcPr>
            <w:tcW w:w="0" w:type="auto"/>
            <w:tcBorders>
              <w:top w:val="single" w:color="auto" w:sz="2" w:space="0"/>
              <w:left w:val="single" w:color="auto" w:sz="2" w:space="0"/>
              <w:bottom w:val="single" w:color="auto" w:sz="2" w:space="0"/>
              <w:right w:val="single" w:color="auto" w:sz="2" w:space="0"/>
            </w:tcBorders>
            <w:vAlign w:val="center"/>
          </w:tcPr>
          <w:p w14:paraId="1422029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52,740,572.07</w:t>
            </w:r>
          </w:p>
        </w:tc>
        <w:tc>
          <w:tcPr>
            <w:tcW w:w="0" w:type="auto"/>
            <w:tcBorders>
              <w:top w:val="single" w:color="auto" w:sz="2" w:space="0"/>
              <w:left w:val="single" w:color="auto" w:sz="2" w:space="0"/>
              <w:bottom w:val="single" w:color="auto" w:sz="2" w:space="0"/>
              <w:right w:val="single" w:color="auto" w:sz="2" w:space="0"/>
            </w:tcBorders>
            <w:vAlign w:val="center"/>
          </w:tcPr>
          <w:p w14:paraId="769E548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587FC14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9CC64E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3A2CDE7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102,082,956.33</w:t>
            </w:r>
          </w:p>
        </w:tc>
        <w:tc>
          <w:tcPr>
            <w:tcW w:w="0" w:type="auto"/>
            <w:tcBorders>
              <w:top w:val="single" w:color="auto" w:sz="2" w:space="0"/>
              <w:left w:val="single" w:color="auto" w:sz="2" w:space="0"/>
              <w:bottom w:val="single" w:color="auto" w:sz="2" w:space="0"/>
              <w:right w:val="single" w:color="auto" w:sz="2" w:space="0"/>
            </w:tcBorders>
            <w:vAlign w:val="center"/>
          </w:tcPr>
          <w:p w14:paraId="41C9161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A7273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739,923,397.17</w:t>
            </w:r>
          </w:p>
        </w:tc>
      </w:tr>
    </w:tbl>
    <w:p w14:paraId="1A4EFCC4">
      <w:pPr>
        <w:rPr>
          <w:rFonts w:ascii="Times New Roman" w:hAnsi="Times New Roman" w:cs="Times New Roman" w:eastAsiaTheme="majorEastAsia"/>
          <w:sz w:val="18"/>
          <w:szCs w:val="18"/>
        </w:rPr>
      </w:pPr>
    </w:p>
    <w:p w14:paraId="0C6E2090">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法定代表人：林明玲                                                                                              主管会计工作负责人：陈焕盛                                                                       会计机构负责人：赖宏伟</w:t>
      </w:r>
    </w:p>
    <w:p w14:paraId="0656B780">
      <w:pPr>
        <w:widowControl/>
        <w:rPr>
          <w:rFonts w:ascii="Times New Roman" w:hAnsi="Times New Roman" w:cs="Times New Roman" w:eastAsiaTheme="majorEastAsia"/>
          <w:sz w:val="18"/>
          <w:szCs w:val="18"/>
        </w:rPr>
      </w:pPr>
    </w:p>
    <w:p w14:paraId="2509774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上期金额</w:t>
      </w:r>
    </w:p>
    <w:p w14:paraId="1CFE6409">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318"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54"/>
        <w:gridCol w:w="1356"/>
        <w:gridCol w:w="712"/>
        <w:gridCol w:w="712"/>
        <w:gridCol w:w="554"/>
        <w:gridCol w:w="1154"/>
        <w:gridCol w:w="1111"/>
        <w:gridCol w:w="1247"/>
        <w:gridCol w:w="870"/>
        <w:gridCol w:w="1079"/>
        <w:gridCol w:w="1154"/>
        <w:gridCol w:w="554"/>
        <w:gridCol w:w="1437"/>
      </w:tblGrid>
      <w:tr w14:paraId="75F94F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55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3C63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1941" w:type="dxa"/>
            <w:gridSpan w:val="12"/>
            <w:tcBorders>
              <w:top w:val="single" w:color="auto" w:sz="2" w:space="0"/>
              <w:left w:val="single" w:color="auto" w:sz="2" w:space="0"/>
              <w:bottom w:val="single" w:color="auto" w:sz="2" w:space="0"/>
              <w:right w:val="single" w:color="auto" w:sz="2" w:space="0"/>
            </w:tcBorders>
            <w:shd w:val="clear" w:color="auto" w:fill="D3D3D3"/>
            <w:vAlign w:val="center"/>
          </w:tcPr>
          <w:p w14:paraId="06FF79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2023年度</w:t>
            </w:r>
          </w:p>
        </w:tc>
      </w:tr>
      <w:tr w14:paraId="54F79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55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7690A5C">
            <w:pPr>
              <w:rPr>
                <w:rFonts w:ascii="Times New Roman" w:hAnsi="Times New Roman" w:cs="Times New Roman" w:eastAsiaTheme="majorEastAsia"/>
              </w:rPr>
            </w:pPr>
          </w:p>
        </w:tc>
        <w:tc>
          <w:tcPr>
            <w:tcW w:w="135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179F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股本</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0D06ED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6F6CC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C2E7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减：库存股</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196B6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A7CE7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专项储备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05F7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D26E9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未分配利润</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7016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7EB80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所有者权益合计</w:t>
            </w:r>
          </w:p>
        </w:tc>
      </w:tr>
      <w:tr w14:paraId="58F31D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55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99E65F">
            <w:pPr>
              <w:rPr>
                <w:rFonts w:ascii="Times New Roman" w:hAnsi="Times New Roman" w:cs="Times New Roman" w:eastAsiaTheme="majorEastAsia"/>
              </w:rPr>
            </w:pPr>
          </w:p>
        </w:tc>
        <w:tc>
          <w:tcPr>
            <w:tcW w:w="135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8C927AF">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9C028D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优先股</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C8108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永续债</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609F0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6DBFCA">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EFE4D6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F843627">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2EB24360">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19520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AE0D8C">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vAlign w:val="center"/>
          </w:tcPr>
          <w:p w14:paraId="38024952">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D950BB">
            <w:pPr>
              <w:rPr>
                <w:rFonts w:ascii="Times New Roman" w:hAnsi="Times New Roman" w:cs="Times New Roman" w:eastAsiaTheme="majorEastAsia"/>
              </w:rPr>
            </w:pPr>
          </w:p>
        </w:tc>
      </w:tr>
      <w:tr w14:paraId="313CF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161966F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一、上年期末余额</w:t>
            </w:r>
          </w:p>
        </w:tc>
        <w:tc>
          <w:tcPr>
            <w:tcW w:w="1356" w:type="dxa"/>
            <w:tcBorders>
              <w:top w:val="single" w:color="auto" w:sz="2" w:space="0"/>
              <w:left w:val="single" w:color="auto" w:sz="2" w:space="0"/>
              <w:bottom w:val="single" w:color="auto" w:sz="2" w:space="0"/>
              <w:right w:val="single" w:color="auto" w:sz="2" w:space="0"/>
            </w:tcBorders>
            <w:vAlign w:val="center"/>
          </w:tcPr>
          <w:p w14:paraId="594C9FD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65,956,800.00</w:t>
            </w:r>
          </w:p>
        </w:tc>
        <w:tc>
          <w:tcPr>
            <w:tcW w:w="0" w:type="auto"/>
            <w:tcBorders>
              <w:top w:val="single" w:color="auto" w:sz="2" w:space="0"/>
              <w:left w:val="single" w:color="auto" w:sz="2" w:space="0"/>
              <w:bottom w:val="single" w:color="auto" w:sz="2" w:space="0"/>
              <w:right w:val="single" w:color="auto" w:sz="2" w:space="0"/>
            </w:tcBorders>
            <w:vAlign w:val="center"/>
          </w:tcPr>
          <w:p w14:paraId="34CF43B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FFF3C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8A8AE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B1FD6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572,226,827.34</w:t>
            </w:r>
          </w:p>
        </w:tc>
        <w:tc>
          <w:tcPr>
            <w:tcW w:w="0" w:type="auto"/>
            <w:tcBorders>
              <w:top w:val="single" w:color="auto" w:sz="2" w:space="0"/>
              <w:left w:val="single" w:color="auto" w:sz="2" w:space="0"/>
              <w:bottom w:val="single" w:color="auto" w:sz="2" w:space="0"/>
              <w:right w:val="single" w:color="auto" w:sz="2" w:space="0"/>
            </w:tcBorders>
            <w:vAlign w:val="center"/>
          </w:tcPr>
          <w:p w14:paraId="6A8A914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DC543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510,000.00</w:t>
            </w:r>
          </w:p>
        </w:tc>
        <w:tc>
          <w:tcPr>
            <w:tcW w:w="0" w:type="auto"/>
            <w:tcBorders>
              <w:top w:val="single" w:color="auto" w:sz="2" w:space="0"/>
              <w:left w:val="single" w:color="auto" w:sz="2" w:space="0"/>
              <w:bottom w:val="single" w:color="auto" w:sz="2" w:space="0"/>
              <w:right w:val="single" w:color="auto" w:sz="2" w:space="0"/>
            </w:tcBorders>
            <w:vAlign w:val="center"/>
          </w:tcPr>
          <w:p w14:paraId="79598C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566C2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533646C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150,588,123.33</w:t>
            </w:r>
          </w:p>
        </w:tc>
        <w:tc>
          <w:tcPr>
            <w:tcW w:w="0" w:type="auto"/>
            <w:tcBorders>
              <w:top w:val="single" w:color="auto" w:sz="2" w:space="0"/>
              <w:left w:val="single" w:color="auto" w:sz="2" w:space="0"/>
              <w:bottom w:val="single" w:color="auto" w:sz="2" w:space="0"/>
              <w:right w:val="single" w:color="auto" w:sz="2" w:space="0"/>
            </w:tcBorders>
            <w:vAlign w:val="center"/>
          </w:tcPr>
          <w:p w14:paraId="2A4515D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AEDD0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815,186,191.00</w:t>
            </w:r>
          </w:p>
        </w:tc>
      </w:tr>
      <w:tr w14:paraId="66D27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A5D5E0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加：会计政策变更</w:t>
            </w:r>
          </w:p>
        </w:tc>
        <w:tc>
          <w:tcPr>
            <w:tcW w:w="1356" w:type="dxa"/>
            <w:tcBorders>
              <w:top w:val="single" w:color="auto" w:sz="2" w:space="0"/>
              <w:left w:val="single" w:color="auto" w:sz="2" w:space="0"/>
              <w:bottom w:val="single" w:color="auto" w:sz="2" w:space="0"/>
              <w:right w:val="single" w:color="auto" w:sz="2" w:space="0"/>
            </w:tcBorders>
            <w:vAlign w:val="center"/>
          </w:tcPr>
          <w:p w14:paraId="6F156A1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3F729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F5865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C994F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3B028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0051D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E69A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50985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3E769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61CE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AE697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68904F">
            <w:pPr>
              <w:spacing w:line="240" w:lineRule="exact"/>
              <w:jc w:val="right"/>
              <w:rPr>
                <w:rFonts w:ascii="Times New Roman" w:hAnsi="Times New Roman" w:cs="Times New Roman" w:eastAsiaTheme="majorEastAsia"/>
                <w:sz w:val="15"/>
                <w:szCs w:val="15"/>
              </w:rPr>
            </w:pPr>
          </w:p>
        </w:tc>
      </w:tr>
      <w:tr w14:paraId="5E9EDD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04D48DFD">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前期差错更正</w:t>
            </w:r>
          </w:p>
        </w:tc>
        <w:tc>
          <w:tcPr>
            <w:tcW w:w="1356" w:type="dxa"/>
            <w:tcBorders>
              <w:top w:val="single" w:color="auto" w:sz="2" w:space="0"/>
              <w:left w:val="single" w:color="auto" w:sz="2" w:space="0"/>
              <w:bottom w:val="single" w:color="auto" w:sz="2" w:space="0"/>
              <w:right w:val="single" w:color="auto" w:sz="2" w:space="0"/>
            </w:tcBorders>
            <w:vAlign w:val="center"/>
          </w:tcPr>
          <w:p w14:paraId="3D3ED07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DA7D2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7D82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B607B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307EE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B5049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20860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9C48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1936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C5233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44EA4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0B0E77">
            <w:pPr>
              <w:spacing w:line="240" w:lineRule="exact"/>
              <w:jc w:val="right"/>
              <w:rPr>
                <w:rFonts w:ascii="Times New Roman" w:hAnsi="Times New Roman" w:cs="Times New Roman" w:eastAsiaTheme="majorEastAsia"/>
                <w:sz w:val="15"/>
                <w:szCs w:val="15"/>
              </w:rPr>
            </w:pPr>
          </w:p>
        </w:tc>
      </w:tr>
      <w:tr w14:paraId="7AA9F9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24898C8">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56" w:type="dxa"/>
            <w:tcBorders>
              <w:top w:val="single" w:color="auto" w:sz="2" w:space="0"/>
              <w:left w:val="single" w:color="auto" w:sz="2" w:space="0"/>
              <w:bottom w:val="single" w:color="auto" w:sz="2" w:space="0"/>
              <w:right w:val="single" w:color="auto" w:sz="2" w:space="0"/>
            </w:tcBorders>
            <w:vAlign w:val="center"/>
          </w:tcPr>
          <w:p w14:paraId="7E4951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6D875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640F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20A6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D786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7445D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6753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136A1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EA0C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E113D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40B44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F41975">
            <w:pPr>
              <w:spacing w:line="240" w:lineRule="exact"/>
              <w:jc w:val="right"/>
              <w:rPr>
                <w:rFonts w:ascii="Times New Roman" w:hAnsi="Times New Roman" w:cs="Times New Roman" w:eastAsiaTheme="majorEastAsia"/>
                <w:sz w:val="15"/>
                <w:szCs w:val="15"/>
              </w:rPr>
            </w:pPr>
          </w:p>
        </w:tc>
      </w:tr>
      <w:tr w14:paraId="1FD905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AC848C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二、本年期初余额</w:t>
            </w:r>
          </w:p>
        </w:tc>
        <w:tc>
          <w:tcPr>
            <w:tcW w:w="1356" w:type="dxa"/>
            <w:tcBorders>
              <w:top w:val="single" w:color="auto" w:sz="2" w:space="0"/>
              <w:left w:val="single" w:color="auto" w:sz="2" w:space="0"/>
              <w:bottom w:val="single" w:color="auto" w:sz="2" w:space="0"/>
              <w:right w:val="single" w:color="auto" w:sz="2" w:space="0"/>
            </w:tcBorders>
            <w:vAlign w:val="center"/>
          </w:tcPr>
          <w:p w14:paraId="05C8D19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65,956,800.00</w:t>
            </w:r>
          </w:p>
        </w:tc>
        <w:tc>
          <w:tcPr>
            <w:tcW w:w="0" w:type="auto"/>
            <w:tcBorders>
              <w:top w:val="single" w:color="auto" w:sz="2" w:space="0"/>
              <w:left w:val="single" w:color="auto" w:sz="2" w:space="0"/>
              <w:bottom w:val="single" w:color="auto" w:sz="2" w:space="0"/>
              <w:right w:val="single" w:color="auto" w:sz="2" w:space="0"/>
            </w:tcBorders>
            <w:vAlign w:val="center"/>
          </w:tcPr>
          <w:p w14:paraId="1C2C114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C478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95C72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2EF3F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572,226,827.34</w:t>
            </w:r>
          </w:p>
        </w:tc>
        <w:tc>
          <w:tcPr>
            <w:tcW w:w="0" w:type="auto"/>
            <w:tcBorders>
              <w:top w:val="single" w:color="auto" w:sz="2" w:space="0"/>
              <w:left w:val="single" w:color="auto" w:sz="2" w:space="0"/>
              <w:bottom w:val="single" w:color="auto" w:sz="2" w:space="0"/>
              <w:right w:val="single" w:color="auto" w:sz="2" w:space="0"/>
            </w:tcBorders>
            <w:vAlign w:val="center"/>
          </w:tcPr>
          <w:p w14:paraId="536D4EB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272FF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510,000.00</w:t>
            </w:r>
          </w:p>
        </w:tc>
        <w:tc>
          <w:tcPr>
            <w:tcW w:w="0" w:type="auto"/>
            <w:tcBorders>
              <w:top w:val="single" w:color="auto" w:sz="2" w:space="0"/>
              <w:left w:val="single" w:color="auto" w:sz="2" w:space="0"/>
              <w:bottom w:val="single" w:color="auto" w:sz="2" w:space="0"/>
              <w:right w:val="single" w:color="auto" w:sz="2" w:space="0"/>
            </w:tcBorders>
            <w:vAlign w:val="center"/>
          </w:tcPr>
          <w:p w14:paraId="7B1933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E9054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24EFDA2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150,588,123.33</w:t>
            </w:r>
          </w:p>
        </w:tc>
        <w:tc>
          <w:tcPr>
            <w:tcW w:w="0" w:type="auto"/>
            <w:tcBorders>
              <w:top w:val="single" w:color="auto" w:sz="2" w:space="0"/>
              <w:left w:val="single" w:color="auto" w:sz="2" w:space="0"/>
              <w:bottom w:val="single" w:color="auto" w:sz="2" w:space="0"/>
              <w:right w:val="single" w:color="auto" w:sz="2" w:space="0"/>
            </w:tcBorders>
            <w:vAlign w:val="center"/>
          </w:tcPr>
          <w:p w14:paraId="5F75327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00E23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815,186,191.00</w:t>
            </w:r>
          </w:p>
        </w:tc>
      </w:tr>
      <w:tr w14:paraId="41B3E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6816F3C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三、本期增减变动金额（减少以“－”号填列）</w:t>
            </w:r>
          </w:p>
        </w:tc>
        <w:tc>
          <w:tcPr>
            <w:tcW w:w="1356" w:type="dxa"/>
            <w:tcBorders>
              <w:top w:val="single" w:color="auto" w:sz="2" w:space="0"/>
              <w:left w:val="single" w:color="auto" w:sz="2" w:space="0"/>
              <w:bottom w:val="single" w:color="auto" w:sz="2" w:space="0"/>
              <w:right w:val="single" w:color="auto" w:sz="2" w:space="0"/>
            </w:tcBorders>
            <w:vAlign w:val="center"/>
          </w:tcPr>
          <w:p w14:paraId="2CFFE34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6CBA623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43E9C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642C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D4D0B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18,474,373.05</w:t>
            </w:r>
          </w:p>
        </w:tc>
        <w:tc>
          <w:tcPr>
            <w:tcW w:w="0" w:type="auto"/>
            <w:tcBorders>
              <w:top w:val="single" w:color="auto" w:sz="2" w:space="0"/>
              <w:left w:val="single" w:color="auto" w:sz="2" w:space="0"/>
              <w:bottom w:val="single" w:color="auto" w:sz="2" w:space="0"/>
              <w:right w:val="single" w:color="auto" w:sz="2" w:space="0"/>
            </w:tcBorders>
            <w:vAlign w:val="center"/>
          </w:tcPr>
          <w:p w14:paraId="1ADB8A7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4A40EA2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-779,110.00</w:t>
            </w:r>
          </w:p>
        </w:tc>
        <w:tc>
          <w:tcPr>
            <w:tcW w:w="0" w:type="auto"/>
            <w:tcBorders>
              <w:top w:val="single" w:color="auto" w:sz="2" w:space="0"/>
              <w:left w:val="single" w:color="auto" w:sz="2" w:space="0"/>
              <w:bottom w:val="single" w:color="auto" w:sz="2" w:space="0"/>
              <w:right w:val="single" w:color="auto" w:sz="2" w:space="0"/>
            </w:tcBorders>
            <w:vAlign w:val="center"/>
          </w:tcPr>
          <w:p w14:paraId="5C209D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4FF8E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3F5A4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-9,471,246.12</w:t>
            </w:r>
          </w:p>
        </w:tc>
        <w:tc>
          <w:tcPr>
            <w:tcW w:w="0" w:type="auto"/>
            <w:tcBorders>
              <w:top w:val="single" w:color="auto" w:sz="2" w:space="0"/>
              <w:left w:val="single" w:color="auto" w:sz="2" w:space="0"/>
              <w:bottom w:val="single" w:color="auto" w:sz="2" w:space="0"/>
              <w:right w:val="single" w:color="auto" w:sz="2" w:space="0"/>
            </w:tcBorders>
            <w:vAlign w:val="center"/>
          </w:tcPr>
          <w:p w14:paraId="5959C9E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F9B6F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-18,376,667.07</w:t>
            </w:r>
          </w:p>
        </w:tc>
      </w:tr>
      <w:tr w14:paraId="5E8205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6A1A2F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（一）综合收益总额</w:t>
            </w:r>
          </w:p>
        </w:tc>
        <w:tc>
          <w:tcPr>
            <w:tcW w:w="1356" w:type="dxa"/>
            <w:tcBorders>
              <w:top w:val="single" w:color="auto" w:sz="2" w:space="0"/>
              <w:left w:val="single" w:color="auto" w:sz="2" w:space="0"/>
              <w:bottom w:val="single" w:color="auto" w:sz="2" w:space="0"/>
              <w:right w:val="single" w:color="auto" w:sz="2" w:space="0"/>
            </w:tcBorders>
            <w:vAlign w:val="center"/>
          </w:tcPr>
          <w:p w14:paraId="1B6492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0A89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6215E7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76D7A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F4D7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F2BC0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41A067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-779,110.00</w:t>
            </w:r>
          </w:p>
        </w:tc>
        <w:tc>
          <w:tcPr>
            <w:tcW w:w="0" w:type="auto"/>
            <w:tcBorders>
              <w:top w:val="single" w:color="auto" w:sz="2" w:space="0"/>
              <w:left w:val="single" w:color="auto" w:sz="2" w:space="0"/>
              <w:bottom w:val="single" w:color="auto" w:sz="2" w:space="0"/>
              <w:right w:val="single" w:color="auto" w:sz="2" w:space="0"/>
            </w:tcBorders>
            <w:vAlign w:val="center"/>
          </w:tcPr>
          <w:p w14:paraId="24B03CF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8EFB5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F3D47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-4,194,757.55</w:t>
            </w:r>
          </w:p>
        </w:tc>
        <w:tc>
          <w:tcPr>
            <w:tcW w:w="0" w:type="auto"/>
            <w:tcBorders>
              <w:top w:val="single" w:color="auto" w:sz="2" w:space="0"/>
              <w:left w:val="single" w:color="auto" w:sz="2" w:space="0"/>
              <w:bottom w:val="single" w:color="auto" w:sz="2" w:space="0"/>
              <w:right w:val="single" w:color="auto" w:sz="2" w:space="0"/>
            </w:tcBorders>
            <w:vAlign w:val="center"/>
          </w:tcPr>
          <w:p w14:paraId="4124490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06586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-4,973,867.55</w:t>
            </w:r>
          </w:p>
        </w:tc>
      </w:tr>
      <w:tr w14:paraId="517AFD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233667F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（二）所有者投入和减少资本</w:t>
            </w:r>
          </w:p>
        </w:tc>
        <w:tc>
          <w:tcPr>
            <w:tcW w:w="1356" w:type="dxa"/>
            <w:tcBorders>
              <w:top w:val="single" w:color="auto" w:sz="2" w:space="0"/>
              <w:left w:val="single" w:color="auto" w:sz="2" w:space="0"/>
              <w:bottom w:val="single" w:color="auto" w:sz="2" w:space="0"/>
              <w:right w:val="single" w:color="auto" w:sz="2" w:space="0"/>
            </w:tcBorders>
            <w:vAlign w:val="center"/>
          </w:tcPr>
          <w:p w14:paraId="7A5FCF7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6DFE85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332A6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8A808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8061B5">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18,474,373.05</w:t>
            </w:r>
          </w:p>
        </w:tc>
        <w:tc>
          <w:tcPr>
            <w:tcW w:w="0" w:type="auto"/>
            <w:tcBorders>
              <w:top w:val="single" w:color="auto" w:sz="2" w:space="0"/>
              <w:left w:val="single" w:color="auto" w:sz="2" w:space="0"/>
              <w:bottom w:val="single" w:color="auto" w:sz="2" w:space="0"/>
              <w:right w:val="single" w:color="auto" w:sz="2" w:space="0"/>
            </w:tcBorders>
            <w:vAlign w:val="center"/>
          </w:tcPr>
          <w:p w14:paraId="4AA3264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2F14172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82A8D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AB064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E930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28926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D7F05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-8,126,310.95</w:t>
            </w:r>
          </w:p>
        </w:tc>
      </w:tr>
      <w:tr w14:paraId="2F267A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0F52EF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1．所有者投入的普通股</w:t>
            </w:r>
          </w:p>
        </w:tc>
        <w:tc>
          <w:tcPr>
            <w:tcW w:w="1356" w:type="dxa"/>
            <w:tcBorders>
              <w:top w:val="single" w:color="auto" w:sz="2" w:space="0"/>
              <w:left w:val="single" w:color="auto" w:sz="2" w:space="0"/>
              <w:bottom w:val="single" w:color="auto" w:sz="2" w:space="0"/>
              <w:right w:val="single" w:color="auto" w:sz="2" w:space="0"/>
            </w:tcBorders>
            <w:vAlign w:val="center"/>
          </w:tcPr>
          <w:p w14:paraId="2DEE394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1,280,000.00</w:t>
            </w:r>
          </w:p>
        </w:tc>
        <w:tc>
          <w:tcPr>
            <w:tcW w:w="0" w:type="auto"/>
            <w:tcBorders>
              <w:top w:val="single" w:color="auto" w:sz="2" w:space="0"/>
              <w:left w:val="single" w:color="auto" w:sz="2" w:space="0"/>
              <w:bottom w:val="single" w:color="auto" w:sz="2" w:space="0"/>
              <w:right w:val="single" w:color="auto" w:sz="2" w:space="0"/>
            </w:tcBorders>
            <w:vAlign w:val="center"/>
          </w:tcPr>
          <w:p w14:paraId="1F3B47A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539A3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F267E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AA03C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19,066,611.32</w:t>
            </w:r>
          </w:p>
        </w:tc>
        <w:tc>
          <w:tcPr>
            <w:tcW w:w="0" w:type="auto"/>
            <w:tcBorders>
              <w:top w:val="single" w:color="auto" w:sz="2" w:space="0"/>
              <w:left w:val="single" w:color="auto" w:sz="2" w:space="0"/>
              <w:bottom w:val="single" w:color="auto" w:sz="2" w:space="0"/>
              <w:right w:val="single" w:color="auto" w:sz="2" w:space="0"/>
            </w:tcBorders>
            <w:vAlign w:val="center"/>
          </w:tcPr>
          <w:p w14:paraId="64860F9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16A20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86317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FD433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E1564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E681F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91A03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20,346,611.32</w:t>
            </w:r>
          </w:p>
        </w:tc>
      </w:tr>
      <w:tr w14:paraId="5A791A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4A98D1E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2．其他权益工具持有者投入资本</w:t>
            </w:r>
          </w:p>
        </w:tc>
        <w:tc>
          <w:tcPr>
            <w:tcW w:w="1356" w:type="dxa"/>
            <w:tcBorders>
              <w:top w:val="single" w:color="auto" w:sz="2" w:space="0"/>
              <w:left w:val="single" w:color="auto" w:sz="2" w:space="0"/>
              <w:bottom w:val="single" w:color="auto" w:sz="2" w:space="0"/>
              <w:right w:val="single" w:color="auto" w:sz="2" w:space="0"/>
            </w:tcBorders>
            <w:vAlign w:val="center"/>
          </w:tcPr>
          <w:p w14:paraId="439E376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BDB4A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A223A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003D27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88C5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32E6B0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02BF2D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FFAC3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F9C65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707B42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743741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E967EE6">
            <w:pPr>
              <w:spacing w:line="240" w:lineRule="exact"/>
              <w:jc w:val="right"/>
              <w:rPr>
                <w:rFonts w:ascii="Times New Roman" w:hAnsi="Times New Roman" w:cs="Times New Roman" w:eastAsiaTheme="majorEastAsia"/>
                <w:sz w:val="15"/>
                <w:szCs w:val="15"/>
              </w:rPr>
            </w:pPr>
          </w:p>
        </w:tc>
      </w:tr>
      <w:tr w14:paraId="726011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17188DD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3．股份支付计入所有者权益的金额</w:t>
            </w:r>
          </w:p>
        </w:tc>
        <w:tc>
          <w:tcPr>
            <w:tcW w:w="1356" w:type="dxa"/>
            <w:tcBorders>
              <w:top w:val="single" w:color="auto" w:sz="2" w:space="0"/>
              <w:left w:val="single" w:color="auto" w:sz="2" w:space="0"/>
              <w:bottom w:val="single" w:color="auto" w:sz="2" w:space="0"/>
              <w:right w:val="single" w:color="auto" w:sz="2" w:space="0"/>
            </w:tcBorders>
            <w:vAlign w:val="center"/>
          </w:tcPr>
          <w:p w14:paraId="21D2D15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A130D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8ABBF8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6B1844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A2A95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5,165,633.96</w:t>
            </w:r>
          </w:p>
        </w:tc>
        <w:tc>
          <w:tcPr>
            <w:tcW w:w="0" w:type="auto"/>
            <w:tcBorders>
              <w:top w:val="single" w:color="auto" w:sz="2" w:space="0"/>
              <w:left w:val="single" w:color="auto" w:sz="2" w:space="0"/>
              <w:bottom w:val="single" w:color="auto" w:sz="2" w:space="0"/>
              <w:right w:val="single" w:color="auto" w:sz="2" w:space="0"/>
            </w:tcBorders>
            <w:vAlign w:val="center"/>
          </w:tcPr>
          <w:p w14:paraId="338F28A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057240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915CB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C0DD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EA0B8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CAD71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B4080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-22,715,050.04</w:t>
            </w:r>
          </w:p>
        </w:tc>
      </w:tr>
      <w:tr w14:paraId="52ECD4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445626C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4．其他</w:t>
            </w:r>
          </w:p>
        </w:tc>
        <w:tc>
          <w:tcPr>
            <w:tcW w:w="1356" w:type="dxa"/>
            <w:tcBorders>
              <w:top w:val="single" w:color="auto" w:sz="2" w:space="0"/>
              <w:left w:val="single" w:color="auto" w:sz="2" w:space="0"/>
              <w:bottom w:val="single" w:color="auto" w:sz="2" w:space="0"/>
              <w:right w:val="single" w:color="auto" w:sz="2" w:space="0"/>
            </w:tcBorders>
            <w:vAlign w:val="center"/>
          </w:tcPr>
          <w:p w14:paraId="584222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3CE70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82682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C8196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E088A1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-5,757,872.23</w:t>
            </w:r>
          </w:p>
        </w:tc>
        <w:tc>
          <w:tcPr>
            <w:tcW w:w="0" w:type="auto"/>
            <w:tcBorders>
              <w:top w:val="single" w:color="auto" w:sz="2" w:space="0"/>
              <w:left w:val="single" w:color="auto" w:sz="2" w:space="0"/>
              <w:bottom w:val="single" w:color="auto" w:sz="2" w:space="0"/>
              <w:right w:val="single" w:color="auto" w:sz="2" w:space="0"/>
            </w:tcBorders>
            <w:vAlign w:val="center"/>
          </w:tcPr>
          <w:p w14:paraId="243AA38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2C39A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E560D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3749B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A4B09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207C4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2C96A4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-5,757,872.23</w:t>
            </w:r>
          </w:p>
        </w:tc>
      </w:tr>
      <w:tr w14:paraId="0DBEA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38133E1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（三）利润分配</w:t>
            </w:r>
          </w:p>
        </w:tc>
        <w:tc>
          <w:tcPr>
            <w:tcW w:w="1356" w:type="dxa"/>
            <w:tcBorders>
              <w:top w:val="single" w:color="auto" w:sz="2" w:space="0"/>
              <w:left w:val="single" w:color="auto" w:sz="2" w:space="0"/>
              <w:bottom w:val="single" w:color="auto" w:sz="2" w:space="0"/>
              <w:right w:val="single" w:color="auto" w:sz="2" w:space="0"/>
            </w:tcBorders>
            <w:vAlign w:val="center"/>
          </w:tcPr>
          <w:p w14:paraId="65C146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80A2B6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DCA58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3C689E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9EC918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DFD818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EF178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61EC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A3626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2BD730">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5EE7351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B3D2E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r>
      <w:tr w14:paraId="654397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726BFEA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1．提取盈余公积</w:t>
            </w:r>
          </w:p>
        </w:tc>
        <w:tc>
          <w:tcPr>
            <w:tcW w:w="1356" w:type="dxa"/>
            <w:tcBorders>
              <w:top w:val="single" w:color="auto" w:sz="2" w:space="0"/>
              <w:left w:val="single" w:color="auto" w:sz="2" w:space="0"/>
              <w:bottom w:val="single" w:color="auto" w:sz="2" w:space="0"/>
              <w:right w:val="single" w:color="auto" w:sz="2" w:space="0"/>
            </w:tcBorders>
            <w:vAlign w:val="center"/>
          </w:tcPr>
          <w:p w14:paraId="5C0112C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5E2550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623631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E61E6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45407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C98C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AB7F01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302D0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B57DCC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21960B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5EA55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D7ED18">
            <w:pPr>
              <w:spacing w:line="240" w:lineRule="exact"/>
              <w:jc w:val="right"/>
              <w:rPr>
                <w:rFonts w:ascii="Times New Roman" w:hAnsi="Times New Roman" w:cs="Times New Roman" w:eastAsiaTheme="majorEastAsia"/>
                <w:sz w:val="15"/>
                <w:szCs w:val="15"/>
              </w:rPr>
            </w:pPr>
          </w:p>
        </w:tc>
      </w:tr>
      <w:tr w14:paraId="6B973F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0BACF62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2．对所有者（或股东）的分配</w:t>
            </w:r>
          </w:p>
        </w:tc>
        <w:tc>
          <w:tcPr>
            <w:tcW w:w="1356" w:type="dxa"/>
            <w:tcBorders>
              <w:top w:val="single" w:color="auto" w:sz="2" w:space="0"/>
              <w:left w:val="single" w:color="auto" w:sz="2" w:space="0"/>
              <w:bottom w:val="single" w:color="auto" w:sz="2" w:space="0"/>
              <w:right w:val="single" w:color="auto" w:sz="2" w:space="0"/>
            </w:tcBorders>
            <w:vAlign w:val="center"/>
          </w:tcPr>
          <w:p w14:paraId="56EC31D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AD5DED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DFDD92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42BF35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6E491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C10C4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44C16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9477B6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1E81E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491DE0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c>
          <w:tcPr>
            <w:tcW w:w="0" w:type="auto"/>
            <w:tcBorders>
              <w:top w:val="single" w:color="auto" w:sz="2" w:space="0"/>
              <w:left w:val="single" w:color="auto" w:sz="2" w:space="0"/>
              <w:bottom w:val="single" w:color="auto" w:sz="2" w:space="0"/>
              <w:right w:val="single" w:color="auto" w:sz="2" w:space="0"/>
            </w:tcBorders>
            <w:vAlign w:val="center"/>
          </w:tcPr>
          <w:p w14:paraId="3B357B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F7FD5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-5,276,488.57</w:t>
            </w:r>
          </w:p>
        </w:tc>
      </w:tr>
      <w:tr w14:paraId="43313B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3107351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3．其他</w:t>
            </w:r>
          </w:p>
        </w:tc>
        <w:tc>
          <w:tcPr>
            <w:tcW w:w="1356" w:type="dxa"/>
            <w:tcBorders>
              <w:top w:val="single" w:color="auto" w:sz="2" w:space="0"/>
              <w:left w:val="single" w:color="auto" w:sz="2" w:space="0"/>
              <w:bottom w:val="single" w:color="auto" w:sz="2" w:space="0"/>
              <w:right w:val="single" w:color="auto" w:sz="2" w:space="0"/>
            </w:tcBorders>
            <w:vAlign w:val="center"/>
          </w:tcPr>
          <w:p w14:paraId="00B5B76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3DE0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5524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D655EE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8253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44B7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5FB46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BBD8C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633E51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2D9F7B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9402AF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01B284">
            <w:pPr>
              <w:spacing w:line="240" w:lineRule="exact"/>
              <w:jc w:val="right"/>
              <w:rPr>
                <w:rFonts w:ascii="Times New Roman" w:hAnsi="Times New Roman" w:cs="Times New Roman" w:eastAsiaTheme="majorEastAsia"/>
                <w:sz w:val="15"/>
                <w:szCs w:val="15"/>
              </w:rPr>
            </w:pPr>
          </w:p>
        </w:tc>
      </w:tr>
      <w:tr w14:paraId="6A1F39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2916910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（四）所有者权益内部结转</w:t>
            </w:r>
          </w:p>
        </w:tc>
        <w:tc>
          <w:tcPr>
            <w:tcW w:w="1356" w:type="dxa"/>
            <w:tcBorders>
              <w:top w:val="single" w:color="auto" w:sz="2" w:space="0"/>
              <w:left w:val="single" w:color="auto" w:sz="2" w:space="0"/>
              <w:bottom w:val="single" w:color="auto" w:sz="2" w:space="0"/>
              <w:right w:val="single" w:color="auto" w:sz="2" w:space="0"/>
            </w:tcBorders>
            <w:vAlign w:val="center"/>
          </w:tcPr>
          <w:p w14:paraId="62701FC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D13262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26C05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3FBE9F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4C746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92F5B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D8E81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BBFE6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EA9F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F2CD61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3911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5EF7378">
            <w:pPr>
              <w:spacing w:line="240" w:lineRule="exact"/>
              <w:jc w:val="right"/>
              <w:rPr>
                <w:rFonts w:ascii="Times New Roman" w:hAnsi="Times New Roman" w:cs="Times New Roman" w:eastAsiaTheme="majorEastAsia"/>
                <w:sz w:val="15"/>
                <w:szCs w:val="15"/>
              </w:rPr>
            </w:pPr>
          </w:p>
        </w:tc>
      </w:tr>
      <w:tr w14:paraId="3A6F4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7977F66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1．资本公积转增资本（或股本）</w:t>
            </w:r>
          </w:p>
        </w:tc>
        <w:tc>
          <w:tcPr>
            <w:tcW w:w="1356" w:type="dxa"/>
            <w:tcBorders>
              <w:top w:val="single" w:color="auto" w:sz="2" w:space="0"/>
              <w:left w:val="single" w:color="auto" w:sz="2" w:space="0"/>
              <w:bottom w:val="single" w:color="auto" w:sz="2" w:space="0"/>
              <w:right w:val="single" w:color="auto" w:sz="2" w:space="0"/>
            </w:tcBorders>
            <w:vAlign w:val="center"/>
          </w:tcPr>
          <w:p w14:paraId="351B38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F23FED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F2C64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8D594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7E66A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D7936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EC2CF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CA332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BB3B8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7407B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E0A3E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22F64A5">
            <w:pPr>
              <w:spacing w:line="240" w:lineRule="exact"/>
              <w:jc w:val="right"/>
              <w:rPr>
                <w:rFonts w:ascii="Times New Roman" w:hAnsi="Times New Roman" w:cs="Times New Roman" w:eastAsiaTheme="majorEastAsia"/>
                <w:sz w:val="15"/>
                <w:szCs w:val="15"/>
              </w:rPr>
            </w:pPr>
          </w:p>
        </w:tc>
      </w:tr>
      <w:tr w14:paraId="255D42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0F13DB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2．盈余公积转增资本（或股本）</w:t>
            </w:r>
          </w:p>
        </w:tc>
        <w:tc>
          <w:tcPr>
            <w:tcW w:w="1356" w:type="dxa"/>
            <w:tcBorders>
              <w:top w:val="single" w:color="auto" w:sz="2" w:space="0"/>
              <w:left w:val="single" w:color="auto" w:sz="2" w:space="0"/>
              <w:bottom w:val="single" w:color="auto" w:sz="2" w:space="0"/>
              <w:right w:val="single" w:color="auto" w:sz="2" w:space="0"/>
            </w:tcBorders>
            <w:vAlign w:val="center"/>
          </w:tcPr>
          <w:p w14:paraId="7BB82B1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EC82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209907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387E1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551FA0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8F7725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C6BEB5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473AA4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12EDC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856A0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64F025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11C498">
            <w:pPr>
              <w:spacing w:line="240" w:lineRule="exact"/>
              <w:jc w:val="right"/>
              <w:rPr>
                <w:rFonts w:ascii="Times New Roman" w:hAnsi="Times New Roman" w:cs="Times New Roman" w:eastAsiaTheme="majorEastAsia"/>
                <w:sz w:val="15"/>
                <w:szCs w:val="15"/>
              </w:rPr>
            </w:pPr>
          </w:p>
        </w:tc>
      </w:tr>
      <w:tr w14:paraId="2D5085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ADA677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3．盈余公积弥补亏损</w:t>
            </w:r>
          </w:p>
        </w:tc>
        <w:tc>
          <w:tcPr>
            <w:tcW w:w="1356" w:type="dxa"/>
            <w:tcBorders>
              <w:top w:val="single" w:color="auto" w:sz="2" w:space="0"/>
              <w:left w:val="single" w:color="auto" w:sz="2" w:space="0"/>
              <w:bottom w:val="single" w:color="auto" w:sz="2" w:space="0"/>
              <w:right w:val="single" w:color="auto" w:sz="2" w:space="0"/>
            </w:tcBorders>
            <w:vAlign w:val="center"/>
          </w:tcPr>
          <w:p w14:paraId="05E1598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BEE0E0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800F9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4E9A7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B934D4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D1422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456A45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61301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FA739C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8BAC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3DA961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7B8C70">
            <w:pPr>
              <w:spacing w:line="240" w:lineRule="exact"/>
              <w:jc w:val="right"/>
              <w:rPr>
                <w:rFonts w:ascii="Times New Roman" w:hAnsi="Times New Roman" w:cs="Times New Roman" w:eastAsiaTheme="majorEastAsia"/>
                <w:sz w:val="15"/>
                <w:szCs w:val="15"/>
              </w:rPr>
            </w:pPr>
          </w:p>
        </w:tc>
      </w:tr>
      <w:tr w14:paraId="2860B4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90E4FA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4．设定受益计划变动额结转留存收益</w:t>
            </w:r>
          </w:p>
        </w:tc>
        <w:tc>
          <w:tcPr>
            <w:tcW w:w="1356" w:type="dxa"/>
            <w:tcBorders>
              <w:top w:val="single" w:color="auto" w:sz="2" w:space="0"/>
              <w:left w:val="single" w:color="auto" w:sz="2" w:space="0"/>
              <w:bottom w:val="single" w:color="auto" w:sz="2" w:space="0"/>
              <w:right w:val="single" w:color="auto" w:sz="2" w:space="0"/>
            </w:tcBorders>
            <w:vAlign w:val="center"/>
          </w:tcPr>
          <w:p w14:paraId="2973C69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6E27E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5A7350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1133A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B1BE8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1772A9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291F6C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932B75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AA12C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A261DD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CB769A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3DBEADE">
            <w:pPr>
              <w:spacing w:line="240" w:lineRule="exact"/>
              <w:jc w:val="right"/>
              <w:rPr>
                <w:rFonts w:ascii="Times New Roman" w:hAnsi="Times New Roman" w:cs="Times New Roman" w:eastAsiaTheme="majorEastAsia"/>
                <w:sz w:val="15"/>
                <w:szCs w:val="15"/>
              </w:rPr>
            </w:pPr>
          </w:p>
        </w:tc>
      </w:tr>
      <w:tr w14:paraId="72C4DB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448887E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5．其他综合收益结转留存收益</w:t>
            </w:r>
          </w:p>
        </w:tc>
        <w:tc>
          <w:tcPr>
            <w:tcW w:w="1356" w:type="dxa"/>
            <w:tcBorders>
              <w:top w:val="single" w:color="auto" w:sz="2" w:space="0"/>
              <w:left w:val="single" w:color="auto" w:sz="2" w:space="0"/>
              <w:bottom w:val="single" w:color="auto" w:sz="2" w:space="0"/>
              <w:right w:val="single" w:color="auto" w:sz="2" w:space="0"/>
            </w:tcBorders>
            <w:vAlign w:val="center"/>
          </w:tcPr>
          <w:p w14:paraId="6324B5F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A76E6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F7523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2345D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328538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A78B31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E52C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DB9346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A9876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C307B6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108134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53C187D">
            <w:pPr>
              <w:spacing w:line="240" w:lineRule="exact"/>
              <w:jc w:val="right"/>
              <w:rPr>
                <w:rFonts w:ascii="Times New Roman" w:hAnsi="Times New Roman" w:cs="Times New Roman" w:eastAsiaTheme="majorEastAsia"/>
                <w:sz w:val="15"/>
                <w:szCs w:val="15"/>
              </w:rPr>
            </w:pPr>
          </w:p>
        </w:tc>
      </w:tr>
      <w:tr w14:paraId="57FC04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51C10B4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6．其他</w:t>
            </w:r>
          </w:p>
        </w:tc>
        <w:tc>
          <w:tcPr>
            <w:tcW w:w="1356" w:type="dxa"/>
            <w:tcBorders>
              <w:top w:val="single" w:color="auto" w:sz="2" w:space="0"/>
              <w:left w:val="single" w:color="auto" w:sz="2" w:space="0"/>
              <w:bottom w:val="single" w:color="auto" w:sz="2" w:space="0"/>
              <w:right w:val="single" w:color="auto" w:sz="2" w:space="0"/>
            </w:tcBorders>
            <w:vAlign w:val="center"/>
          </w:tcPr>
          <w:p w14:paraId="62C033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5F255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12B9DD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78E8964">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DFA61B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16B283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4337FB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E7FB32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2FD2C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978495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70105A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FB3948C">
            <w:pPr>
              <w:spacing w:line="240" w:lineRule="exact"/>
              <w:jc w:val="right"/>
              <w:rPr>
                <w:rFonts w:ascii="Times New Roman" w:hAnsi="Times New Roman" w:cs="Times New Roman" w:eastAsiaTheme="majorEastAsia"/>
                <w:sz w:val="15"/>
                <w:szCs w:val="15"/>
              </w:rPr>
            </w:pPr>
          </w:p>
        </w:tc>
      </w:tr>
      <w:tr w14:paraId="15B777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6790F33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（五）专项储备</w:t>
            </w:r>
          </w:p>
        </w:tc>
        <w:tc>
          <w:tcPr>
            <w:tcW w:w="1356" w:type="dxa"/>
            <w:tcBorders>
              <w:top w:val="single" w:color="auto" w:sz="2" w:space="0"/>
              <w:left w:val="single" w:color="auto" w:sz="2" w:space="0"/>
              <w:bottom w:val="single" w:color="auto" w:sz="2" w:space="0"/>
              <w:right w:val="single" w:color="auto" w:sz="2" w:space="0"/>
            </w:tcBorders>
            <w:vAlign w:val="center"/>
          </w:tcPr>
          <w:p w14:paraId="7BA8521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4EDACA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D0F3D7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5E63D3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038B46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BA9518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EA192E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2F6C4F">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72422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F5AB24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9B626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1E2DD8">
            <w:pPr>
              <w:spacing w:line="240" w:lineRule="exact"/>
              <w:jc w:val="right"/>
              <w:rPr>
                <w:rFonts w:ascii="Times New Roman" w:hAnsi="Times New Roman" w:cs="Times New Roman" w:eastAsiaTheme="majorEastAsia"/>
                <w:sz w:val="15"/>
                <w:szCs w:val="15"/>
              </w:rPr>
            </w:pPr>
          </w:p>
        </w:tc>
      </w:tr>
      <w:tr w14:paraId="00098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469EBD2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1．本期提取</w:t>
            </w:r>
          </w:p>
        </w:tc>
        <w:tc>
          <w:tcPr>
            <w:tcW w:w="1356" w:type="dxa"/>
            <w:tcBorders>
              <w:top w:val="single" w:color="auto" w:sz="2" w:space="0"/>
              <w:left w:val="single" w:color="auto" w:sz="2" w:space="0"/>
              <w:bottom w:val="single" w:color="auto" w:sz="2" w:space="0"/>
              <w:right w:val="single" w:color="auto" w:sz="2" w:space="0"/>
            </w:tcBorders>
            <w:vAlign w:val="center"/>
          </w:tcPr>
          <w:p w14:paraId="46475D8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67F858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A35D2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6B76AA2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6E1C0D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DE86A5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42F96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7E67ED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27EDF4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7D0D8A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4E4C5A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251172B">
            <w:pPr>
              <w:spacing w:line="240" w:lineRule="exact"/>
              <w:jc w:val="right"/>
              <w:rPr>
                <w:rFonts w:ascii="Times New Roman" w:hAnsi="Times New Roman" w:cs="Times New Roman" w:eastAsiaTheme="majorEastAsia"/>
                <w:sz w:val="15"/>
                <w:szCs w:val="15"/>
              </w:rPr>
            </w:pPr>
          </w:p>
        </w:tc>
      </w:tr>
      <w:tr w14:paraId="162674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490739E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2．本期使用</w:t>
            </w:r>
          </w:p>
        </w:tc>
        <w:tc>
          <w:tcPr>
            <w:tcW w:w="1356" w:type="dxa"/>
            <w:tcBorders>
              <w:top w:val="single" w:color="auto" w:sz="2" w:space="0"/>
              <w:left w:val="single" w:color="auto" w:sz="2" w:space="0"/>
              <w:bottom w:val="single" w:color="auto" w:sz="2" w:space="0"/>
              <w:right w:val="single" w:color="auto" w:sz="2" w:space="0"/>
            </w:tcBorders>
            <w:vAlign w:val="center"/>
          </w:tcPr>
          <w:p w14:paraId="74899135">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B8F9CC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C762DA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3D9C42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14FE1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0AD3250">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9AE4277">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9C55FB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ABE6A6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13F15C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656FF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17EED7B">
            <w:pPr>
              <w:spacing w:line="240" w:lineRule="exact"/>
              <w:jc w:val="right"/>
              <w:rPr>
                <w:rFonts w:ascii="Times New Roman" w:hAnsi="Times New Roman" w:cs="Times New Roman" w:eastAsiaTheme="majorEastAsia"/>
                <w:sz w:val="15"/>
                <w:szCs w:val="15"/>
              </w:rPr>
            </w:pPr>
          </w:p>
        </w:tc>
      </w:tr>
      <w:tr w14:paraId="034908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0F3A7B0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（六）其他</w:t>
            </w:r>
          </w:p>
        </w:tc>
        <w:tc>
          <w:tcPr>
            <w:tcW w:w="1356" w:type="dxa"/>
            <w:tcBorders>
              <w:top w:val="single" w:color="auto" w:sz="2" w:space="0"/>
              <w:left w:val="single" w:color="auto" w:sz="2" w:space="0"/>
              <w:bottom w:val="single" w:color="auto" w:sz="2" w:space="0"/>
              <w:right w:val="single" w:color="auto" w:sz="2" w:space="0"/>
            </w:tcBorders>
            <w:vAlign w:val="center"/>
          </w:tcPr>
          <w:p w14:paraId="5373801A">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C85DAB9">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3C97EF2">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F8CA9F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15D335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ACB87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061BB73">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C53C59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40249421">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7C7740C">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88A6D28">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5AC115C2">
            <w:pPr>
              <w:spacing w:line="240" w:lineRule="exact"/>
              <w:jc w:val="right"/>
              <w:rPr>
                <w:rFonts w:ascii="Times New Roman" w:hAnsi="Times New Roman" w:cs="Times New Roman" w:eastAsiaTheme="majorEastAsia"/>
                <w:sz w:val="15"/>
                <w:szCs w:val="15"/>
              </w:rPr>
            </w:pPr>
          </w:p>
        </w:tc>
      </w:tr>
      <w:tr w14:paraId="67856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553" w:type="dxa"/>
            <w:tcBorders>
              <w:top w:val="single" w:color="auto" w:sz="2" w:space="0"/>
              <w:left w:val="single" w:color="auto" w:sz="2" w:space="0"/>
              <w:bottom w:val="single" w:color="auto" w:sz="2" w:space="0"/>
              <w:right w:val="single" w:color="auto" w:sz="2" w:space="0"/>
            </w:tcBorders>
            <w:shd w:val="clear" w:color="auto" w:fill="D3D3D3"/>
            <w:vAlign w:val="center"/>
          </w:tcPr>
          <w:p w14:paraId="75A9F33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四、本期期末余额</w:t>
            </w:r>
          </w:p>
        </w:tc>
        <w:tc>
          <w:tcPr>
            <w:tcW w:w="1356" w:type="dxa"/>
            <w:tcBorders>
              <w:top w:val="single" w:color="auto" w:sz="2" w:space="0"/>
              <w:left w:val="single" w:color="auto" w:sz="2" w:space="0"/>
              <w:bottom w:val="single" w:color="auto" w:sz="2" w:space="0"/>
              <w:right w:val="single" w:color="auto" w:sz="2" w:space="0"/>
            </w:tcBorders>
            <w:vAlign w:val="center"/>
          </w:tcPr>
          <w:p w14:paraId="1DDDAFF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67,236,800.00</w:t>
            </w:r>
          </w:p>
        </w:tc>
        <w:tc>
          <w:tcPr>
            <w:tcW w:w="0" w:type="auto"/>
            <w:tcBorders>
              <w:top w:val="single" w:color="auto" w:sz="2" w:space="0"/>
              <w:left w:val="single" w:color="auto" w:sz="2" w:space="0"/>
              <w:bottom w:val="single" w:color="auto" w:sz="2" w:space="0"/>
              <w:right w:val="single" w:color="auto" w:sz="2" w:space="0"/>
            </w:tcBorders>
            <w:vAlign w:val="center"/>
          </w:tcPr>
          <w:p w14:paraId="2844167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3C4BBD0E">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05F3D846">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7EF09ADC">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590,701,200.39</w:t>
            </w:r>
          </w:p>
        </w:tc>
        <w:tc>
          <w:tcPr>
            <w:tcW w:w="0" w:type="auto"/>
            <w:tcBorders>
              <w:top w:val="single" w:color="auto" w:sz="2" w:space="0"/>
              <w:left w:val="single" w:color="auto" w:sz="2" w:space="0"/>
              <w:bottom w:val="single" w:color="auto" w:sz="2" w:space="0"/>
              <w:right w:val="single" w:color="auto" w:sz="2" w:space="0"/>
            </w:tcBorders>
            <w:vAlign w:val="center"/>
          </w:tcPr>
          <w:p w14:paraId="423BB768">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27,880,684.00</w:t>
            </w:r>
          </w:p>
        </w:tc>
        <w:tc>
          <w:tcPr>
            <w:tcW w:w="0" w:type="auto"/>
            <w:tcBorders>
              <w:top w:val="single" w:color="auto" w:sz="2" w:space="0"/>
              <w:left w:val="single" w:color="auto" w:sz="2" w:space="0"/>
              <w:bottom w:val="single" w:color="auto" w:sz="2" w:space="0"/>
              <w:right w:val="single" w:color="auto" w:sz="2" w:space="0"/>
            </w:tcBorders>
            <w:vAlign w:val="center"/>
          </w:tcPr>
          <w:p w14:paraId="498DDF1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03EF88AD">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283C79F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25,904,440.33</w:t>
            </w:r>
          </w:p>
        </w:tc>
        <w:tc>
          <w:tcPr>
            <w:tcW w:w="0" w:type="auto"/>
            <w:tcBorders>
              <w:top w:val="single" w:color="auto" w:sz="2" w:space="0"/>
              <w:left w:val="single" w:color="auto" w:sz="2" w:space="0"/>
              <w:bottom w:val="single" w:color="auto" w:sz="2" w:space="0"/>
              <w:right w:val="single" w:color="auto" w:sz="2" w:space="0"/>
            </w:tcBorders>
            <w:vAlign w:val="center"/>
          </w:tcPr>
          <w:p w14:paraId="2F8727E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141,116,877.21</w:t>
            </w:r>
          </w:p>
        </w:tc>
        <w:tc>
          <w:tcPr>
            <w:tcW w:w="0" w:type="auto"/>
            <w:tcBorders>
              <w:top w:val="single" w:color="auto" w:sz="2" w:space="0"/>
              <w:left w:val="single" w:color="auto" w:sz="2" w:space="0"/>
              <w:bottom w:val="single" w:color="auto" w:sz="2" w:space="0"/>
              <w:right w:val="single" w:color="auto" w:sz="2" w:space="0"/>
            </w:tcBorders>
            <w:vAlign w:val="center"/>
          </w:tcPr>
          <w:p w14:paraId="56E32FEB">
            <w:pPr>
              <w:spacing w:line="240" w:lineRule="exact"/>
              <w:jc w:val="right"/>
              <w:rPr>
                <w:rFonts w:ascii="Times New Roman" w:hAnsi="Times New Roman" w:cs="Times New Roman" w:eastAsiaTheme="majorEastAsia"/>
                <w:sz w:val="15"/>
                <w:szCs w:val="15"/>
              </w:rPr>
            </w:pPr>
          </w:p>
        </w:tc>
        <w:tc>
          <w:tcPr>
            <w:tcW w:w="0" w:type="auto"/>
            <w:tcBorders>
              <w:top w:val="single" w:color="auto" w:sz="2" w:space="0"/>
              <w:left w:val="single" w:color="auto" w:sz="2" w:space="0"/>
              <w:bottom w:val="single" w:color="auto" w:sz="2" w:space="0"/>
              <w:right w:val="single" w:color="auto" w:sz="2" w:space="0"/>
            </w:tcBorders>
            <w:vAlign w:val="center"/>
          </w:tcPr>
          <w:p w14:paraId="105F8404">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796,809,523.93</w:t>
            </w:r>
          </w:p>
        </w:tc>
      </w:tr>
    </w:tbl>
    <w:p w14:paraId="01B92D2E">
      <w:pPr>
        <w:rPr>
          <w:rFonts w:ascii="Times New Roman" w:hAnsi="Times New Roman" w:cs="Times New Roman" w:eastAsiaTheme="majorEastAsia"/>
          <w:sz w:val="18"/>
          <w:szCs w:val="18"/>
        </w:rPr>
      </w:pPr>
      <w:bookmarkStart w:id="162" w:name="_Toc989051"/>
    </w:p>
    <w:p w14:paraId="0D03296B">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法定代表人：林明玲                                                                                              主管会计工作负责人：陈焕盛                                                                       会计机构负责人：赖宏伟</w:t>
      </w:r>
    </w:p>
    <w:p w14:paraId="30CD37C8">
      <w:pPr>
        <w:pStyle w:val="2"/>
        <w:spacing w:before="300" w:after="300" w:line="320" w:lineRule="exact"/>
        <w:rPr>
          <w:rFonts w:ascii="Times New Roman" w:hAnsi="Times New Roman" w:cs="Times New Roman" w:eastAsiaTheme="majorEastAsia"/>
          <w:b/>
          <w:bCs/>
          <w:sz w:val="24"/>
          <w:szCs w:val="24"/>
        </w:rPr>
        <w:sectPr>
          <w:pgSz w:w="16840" w:h="11905" w:orient="landscape"/>
          <w:pgMar w:top="1134" w:right="1440" w:bottom="1134" w:left="1440" w:header="850" w:footer="992" w:gutter="0"/>
          <w:cols w:space="720" w:num="1"/>
          <w:docGrid w:type="linesAndChars" w:linePitch="312" w:charSpace="0"/>
        </w:sectPr>
      </w:pPr>
    </w:p>
    <w:p w14:paraId="786485BC">
      <w:pPr>
        <w:pStyle w:val="2"/>
        <w:spacing w:before="300" w:after="300" w:line="320" w:lineRule="exact"/>
        <w:rPr>
          <w:rFonts w:ascii="Times New Roman" w:hAnsi="Times New Roman" w:cs="Times New Roman" w:eastAsiaTheme="majorEastAsia"/>
          <w:b/>
          <w:bCs/>
          <w:sz w:val="24"/>
          <w:szCs w:val="24"/>
        </w:rPr>
      </w:pPr>
      <w:r>
        <w:rPr>
          <w:rFonts w:ascii="Times New Roman" w:hAnsi="Times New Roman" w:cs="Times New Roman" w:eastAsiaTheme="majorEastAsia"/>
          <w:b/>
          <w:bCs/>
          <w:sz w:val="24"/>
          <w:szCs w:val="24"/>
        </w:rPr>
        <w:t>三、公司基本情况</w:t>
      </w:r>
      <w:bookmarkEnd w:id="162"/>
    </w:p>
    <w:p w14:paraId="35F0A3E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1.公司概况</w:t>
      </w:r>
    </w:p>
    <w:p w14:paraId="5CBA332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广东天亿马信息产业股份有限公司（以下简称</w:t>
      </w:r>
      <w:r>
        <w:rPr>
          <w:rFonts w:cs="Times New Roman" w:asciiTheme="minorEastAsia" w:hAnsiTheme="minorEastAsia" w:eastAsiaTheme="minorEastAsia"/>
          <w:sz w:val="21"/>
          <w:szCs w:val="21"/>
        </w:rPr>
        <w:t>“本公司”</w:t>
      </w:r>
      <w:r>
        <w:rPr>
          <w:rFonts w:ascii="Times New Roman" w:hAnsi="Times New Roman" w:cs="Times New Roman" w:eastAsiaTheme="majorEastAsia"/>
          <w:sz w:val="21"/>
          <w:szCs w:val="21"/>
        </w:rPr>
        <w:t>或</w:t>
      </w:r>
      <w:r>
        <w:rPr>
          <w:rFonts w:cs="Times New Roman" w:asciiTheme="minorEastAsia" w:hAnsiTheme="minorEastAsia" w:eastAsiaTheme="minorEastAsia"/>
          <w:sz w:val="21"/>
          <w:szCs w:val="21"/>
        </w:rPr>
        <w:t>“公司”</w:t>
      </w:r>
      <w:r>
        <w:rPr>
          <w:rFonts w:ascii="Times New Roman" w:hAnsi="Times New Roman" w:cs="Times New Roman" w:eastAsiaTheme="majorEastAsia"/>
          <w:sz w:val="21"/>
          <w:szCs w:val="21"/>
        </w:rPr>
        <w:t>）系在广东天亿马信息产业有限公司的基础上整体变更设立，于2015年8月28日在汕头市市场监督管理局登记注册，取得统一社会信用代码914405007080295548的营业执照，登记的注册资本为人民币2,231.1111万元。</w:t>
      </w:r>
    </w:p>
    <w:p w14:paraId="13B04CE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2021年9月，经中国证券监督管理委员会《关于同意广东天亿马信息产业股份有限公司首次公开发行股票注册的批复》（证监许可[2021]2937号文）核准，公司于2021年11月1日采用网上定价方式公开发行人民币普通股（A股）1,177.80万股，变更后公司注册资本为4,711.20万元。</w:t>
      </w:r>
    </w:p>
    <w:p w14:paraId="09319E2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2022年5月，经公司2021年年度股东大会批准，以资本公积金向全体股东每10股转增4股，共计转增18,844,800股，转增后公司总股本为65,956,800股。</w:t>
      </w:r>
    </w:p>
    <w:p w14:paraId="2B3A82E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2023年9月，经公司2023年第四次临时股东大会决议批准，公司实施限制性股票激励计划，2023年10月，公司收到首次授予的激励对象出资，公司注册资本变更为6,723.68万元。</w:t>
      </w:r>
    </w:p>
    <w:p w14:paraId="43A9B6A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2024年9月，经公司2024年第三次临时股东会议以及第三届董事会第二十四次会议决议，因公司层面2023年业绩考核未达标，同意回购并注销首次授予林明玲、马学沛2名激励对象对应当年已获授但尚未解除限售的第一类限制性股票合计128,000股，每股面值1元，回购价格为15.81元/股加上中国人民银行同期存款利息之和。公司减少注册资本人民币128,000.00元，变更后注册资本为人民币6,710.88万元</w:t>
      </w:r>
    </w:p>
    <w:p w14:paraId="1C5B96D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截止2024年12月31日，公司注册资本为人民币6,710.88万元。</w:t>
      </w:r>
    </w:p>
    <w:p w14:paraId="247DA3B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公司法人代表：林明玲</w:t>
      </w:r>
    </w:p>
    <w:p w14:paraId="53E5B25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公司注册地址：广东省汕头市嵩山路南20号天澜国际大厦西塔2111-2112房，</w:t>
      </w:r>
      <w:r>
        <w:rPr>
          <w:rFonts w:ascii="Times New Roman" w:hAnsi="Times New Roman" w:cs="Times New Roman" w:eastAsiaTheme="majorEastAsia"/>
          <w:sz w:val="21"/>
          <w:szCs w:val="21"/>
        </w:rPr>
        <w:t>现总部位于：广东省汕头市金平区海滨路55号海逸投资大厦F4层。</w:t>
      </w:r>
    </w:p>
    <w:p w14:paraId="15F07F4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本公司及子公司的业务性质和主要经营活动：公司所处行业为软件和信息技术服务业；提供的主要产品为计算机软件开发，计算机及信息化配套产品的研发，计算机信息系统集成及服务等。</w:t>
      </w:r>
    </w:p>
    <w:p w14:paraId="76651A1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本财务报表业经本公司董事会于2025年4月18</w:t>
      </w:r>
      <w:r>
        <w:rPr>
          <w:rFonts w:ascii="Times New Roman" w:hAnsi="Times New Roman" w:cs="Times New Roman" w:eastAsiaTheme="majorEastAsia"/>
          <w:color w:val="000000"/>
          <w:sz w:val="21"/>
          <w:szCs w:val="21"/>
        </w:rPr>
        <w:t>日</w:t>
      </w:r>
      <w:r>
        <w:rPr>
          <w:rFonts w:ascii="Times New Roman" w:hAnsi="Times New Roman" w:cs="Times New Roman" w:eastAsiaTheme="majorEastAsia"/>
          <w:sz w:val="21"/>
          <w:szCs w:val="21"/>
        </w:rPr>
        <w:t>决议批准报出。</w:t>
      </w:r>
    </w:p>
    <w:p w14:paraId="2E459D2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2.合并财务报表范围及其变化情况</w:t>
      </w:r>
    </w:p>
    <w:p w14:paraId="2644E75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本公司2024年度纳入合并范围的子公司共25户，详见本</w:t>
      </w:r>
      <w:r>
        <w:rPr>
          <w:rFonts w:cs="Times New Roman" w:asciiTheme="minorEastAsia" w:hAnsiTheme="minorEastAsia" w:eastAsiaTheme="minorEastAsia"/>
          <w:sz w:val="21"/>
          <w:szCs w:val="21"/>
        </w:rPr>
        <w:t>节</w:t>
      </w:r>
      <w:r>
        <w:rPr>
          <w:rFonts w:cs="Times New Roman" w:asciiTheme="minorEastAsia" w:hAnsiTheme="minorEastAsia" w:eastAsiaTheme="minorEastAsia"/>
          <w:color w:val="000000"/>
          <w:sz w:val="21"/>
          <w:szCs w:val="21"/>
        </w:rPr>
        <w:t>“十、</w:t>
      </w:r>
      <w:r>
        <w:rPr>
          <w:rFonts w:ascii="Times New Roman" w:hAnsi="Times New Roman" w:cs="Times New Roman" w:eastAsiaTheme="majorEastAsia"/>
          <w:color w:val="000000"/>
          <w:sz w:val="21"/>
          <w:szCs w:val="21"/>
        </w:rPr>
        <w:t>在其他主体中的</w:t>
      </w:r>
      <w:r>
        <w:rPr>
          <w:rFonts w:cs="Times New Roman" w:asciiTheme="minorEastAsia" w:hAnsiTheme="minorEastAsia" w:eastAsiaTheme="minorEastAsia"/>
          <w:sz w:val="21"/>
          <w:szCs w:val="21"/>
        </w:rPr>
        <w:t>权益”。</w:t>
      </w:r>
      <w:r>
        <w:rPr>
          <w:rFonts w:ascii="Times New Roman" w:hAnsi="Times New Roman" w:cs="Times New Roman" w:eastAsiaTheme="majorEastAsia"/>
          <w:color w:val="000000"/>
          <w:sz w:val="21"/>
          <w:szCs w:val="21"/>
        </w:rPr>
        <w:t>本公司本期合并范围比上期增加13户，减少0户，详见本</w:t>
      </w:r>
      <w:r>
        <w:rPr>
          <w:rFonts w:cs="Times New Roman" w:asciiTheme="minorEastAsia" w:hAnsiTheme="minorEastAsia" w:eastAsiaTheme="minorEastAsia"/>
          <w:sz w:val="21"/>
          <w:szCs w:val="21"/>
        </w:rPr>
        <w:t>节“九、合并范围的变更”。</w:t>
      </w:r>
    </w:p>
    <w:p w14:paraId="51DDC2A1">
      <w:pPr>
        <w:pStyle w:val="2"/>
        <w:spacing w:before="300" w:after="300" w:line="320" w:lineRule="exact"/>
        <w:rPr>
          <w:rFonts w:ascii="Times New Roman" w:hAnsi="Times New Roman" w:cs="Times New Roman" w:eastAsiaTheme="majorEastAsia"/>
          <w:b/>
          <w:bCs/>
          <w:sz w:val="24"/>
          <w:szCs w:val="24"/>
        </w:rPr>
      </w:pPr>
      <w:bookmarkStart w:id="163" w:name="_Toc989052"/>
      <w:r>
        <w:rPr>
          <w:rFonts w:ascii="Times New Roman" w:hAnsi="Times New Roman" w:cs="Times New Roman" w:eastAsiaTheme="majorEastAsia"/>
          <w:b/>
          <w:bCs/>
          <w:sz w:val="24"/>
          <w:szCs w:val="24"/>
        </w:rPr>
        <w:t>四、财务报表的编制基础</w:t>
      </w:r>
      <w:bookmarkEnd w:id="163"/>
    </w:p>
    <w:p w14:paraId="4E65A0E7">
      <w:pPr>
        <w:pStyle w:val="3"/>
        <w:spacing w:line="280" w:lineRule="exact"/>
        <w:jc w:val="left"/>
        <w:rPr>
          <w:rFonts w:ascii="Times New Roman" w:hAnsi="Times New Roman" w:cs="Times New Roman" w:eastAsiaTheme="majorEastAsia"/>
          <w:b/>
          <w:bCs/>
        </w:rPr>
      </w:pPr>
      <w:bookmarkStart w:id="164" w:name="_Toc989053"/>
      <w:r>
        <w:rPr>
          <w:rFonts w:ascii="Times New Roman" w:hAnsi="Times New Roman" w:cs="Times New Roman" w:eastAsiaTheme="majorEastAsia"/>
          <w:b/>
          <w:bCs/>
        </w:rPr>
        <w:t>1、编制基础</w:t>
      </w:r>
      <w:bookmarkEnd w:id="164"/>
    </w:p>
    <w:p w14:paraId="1026F8A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财务报表以持续经营假设为基础，根据实际发生的交易和事项，按照财政部发布的《企业会计准则——基本准则》（财政部令第33号发布、财政部令第76号修订）、于2006年2月15日及其后颁布和修订的41项具体会计准则、企业会计准则应用指南、企业会计准则解释及其他相关规定（以下合称“企业会计准则”），以及中国证券监督管理委员会《公开发行证券的公司信息披露编报规则第15号——财务报告的一般规定》（2023年修订）的披露规定编制。</w:t>
      </w:r>
    </w:p>
    <w:p w14:paraId="6B7D4E3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根据企业会计准则的相关规定，本公司会计核算以权责发生制为基础。除某些金融工具外，本财务报表均以历史成本为计量基础。资产如果发生减值，则按照相关规定计提相应的减值准备。</w:t>
      </w:r>
    </w:p>
    <w:p w14:paraId="07B39903">
      <w:pPr>
        <w:pStyle w:val="3"/>
        <w:spacing w:line="280" w:lineRule="exact"/>
        <w:jc w:val="left"/>
        <w:rPr>
          <w:rFonts w:ascii="Times New Roman" w:hAnsi="Times New Roman" w:cs="Times New Roman" w:eastAsiaTheme="majorEastAsia"/>
          <w:b/>
          <w:bCs/>
        </w:rPr>
      </w:pPr>
      <w:bookmarkStart w:id="165" w:name="_Toc989054"/>
      <w:r>
        <w:rPr>
          <w:rFonts w:ascii="Times New Roman" w:hAnsi="Times New Roman" w:cs="Times New Roman" w:eastAsiaTheme="majorEastAsia"/>
          <w:b/>
          <w:bCs/>
        </w:rPr>
        <w:t>2、持续经营</w:t>
      </w:r>
      <w:bookmarkEnd w:id="165"/>
    </w:p>
    <w:p w14:paraId="54EC6B3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管理层认为公司自本报告期末起12个月内的持续经营能力不存在重大不确定性。</w:t>
      </w:r>
    </w:p>
    <w:p w14:paraId="3888EAEB">
      <w:pPr>
        <w:pStyle w:val="2"/>
        <w:spacing w:before="300" w:after="300" w:line="560" w:lineRule="exact"/>
        <w:rPr>
          <w:rFonts w:ascii="Times New Roman" w:hAnsi="Times New Roman" w:cs="Times New Roman" w:eastAsiaTheme="majorEastAsia"/>
          <w:b/>
          <w:bCs/>
          <w:sz w:val="24"/>
          <w:szCs w:val="24"/>
        </w:rPr>
      </w:pPr>
      <w:bookmarkStart w:id="166" w:name="_Toc989055"/>
      <w:r>
        <w:rPr>
          <w:rFonts w:ascii="Times New Roman" w:hAnsi="Times New Roman" w:cs="Times New Roman" w:eastAsiaTheme="majorEastAsia"/>
          <w:b/>
          <w:bCs/>
          <w:sz w:val="24"/>
          <w:szCs w:val="24"/>
        </w:rPr>
        <w:t>五、重要会计政策及会计估计</w:t>
      </w:r>
      <w:bookmarkEnd w:id="166"/>
    </w:p>
    <w:p w14:paraId="2068F3E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具体会计政策和会计估计提示：</w:t>
      </w:r>
    </w:p>
    <w:p w14:paraId="5FC15F1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本公司下列重要会计政策、会计估计根据企业会计准则制定。未提及的业务按企业会计准则中相关会计政策执行。</w:t>
      </w:r>
    </w:p>
    <w:p w14:paraId="00C6C0E8">
      <w:pPr>
        <w:pStyle w:val="3"/>
        <w:spacing w:line="280" w:lineRule="exact"/>
        <w:jc w:val="left"/>
        <w:rPr>
          <w:rFonts w:ascii="Times New Roman" w:hAnsi="Times New Roman" w:cs="Times New Roman" w:eastAsiaTheme="majorEastAsia"/>
          <w:b/>
          <w:bCs/>
        </w:rPr>
      </w:pPr>
      <w:bookmarkStart w:id="167" w:name="_Toc989056"/>
      <w:r>
        <w:rPr>
          <w:rFonts w:ascii="Times New Roman" w:hAnsi="Times New Roman" w:cs="Times New Roman" w:eastAsiaTheme="majorEastAsia"/>
          <w:b/>
          <w:bCs/>
        </w:rPr>
        <w:t>1、遵循企业会计准则的声明</w:t>
      </w:r>
      <w:bookmarkEnd w:id="167"/>
    </w:p>
    <w:p w14:paraId="44A9ABA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所编制的财务报表符合企业会计准则的要求，真实、完整地反映了报告期合并及公司的财务状况、经营成果、股东权益变动和现金流量等有关信息。此外，本公司的财务报表在所有重大方面符合中国证券监督管理委员会2023年修订的《公开发行证券的公司信息披露编报规则第15号——财务报告的一般规定》有关财务报表及其附注的披露要求。</w:t>
      </w:r>
    </w:p>
    <w:p w14:paraId="5FC92E86">
      <w:pPr>
        <w:pStyle w:val="3"/>
        <w:spacing w:line="280" w:lineRule="exact"/>
        <w:jc w:val="left"/>
        <w:rPr>
          <w:rFonts w:ascii="Times New Roman" w:hAnsi="Times New Roman" w:cs="Times New Roman" w:eastAsiaTheme="majorEastAsia"/>
          <w:b/>
          <w:bCs/>
        </w:rPr>
      </w:pPr>
      <w:bookmarkStart w:id="168" w:name="_Toc989057"/>
      <w:r>
        <w:rPr>
          <w:rFonts w:ascii="Times New Roman" w:hAnsi="Times New Roman" w:cs="Times New Roman" w:eastAsiaTheme="majorEastAsia"/>
          <w:b/>
          <w:bCs/>
        </w:rPr>
        <w:t>2、会计期间</w:t>
      </w:r>
      <w:bookmarkEnd w:id="168"/>
    </w:p>
    <w:p w14:paraId="2478F14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本公司的会计期间分为年度和中期，会计中期指短于一个完整的会计年度的报告期间。本公司会计年度采用公历年度，即每年自1月1日起至12月31日止。</w:t>
      </w:r>
    </w:p>
    <w:p w14:paraId="45373294">
      <w:pPr>
        <w:pStyle w:val="3"/>
        <w:spacing w:line="280" w:lineRule="exact"/>
        <w:jc w:val="left"/>
        <w:rPr>
          <w:rFonts w:ascii="Times New Roman" w:hAnsi="Times New Roman" w:cs="Times New Roman" w:eastAsiaTheme="majorEastAsia"/>
          <w:b/>
          <w:bCs/>
        </w:rPr>
      </w:pPr>
      <w:bookmarkStart w:id="169" w:name="_Toc989058"/>
      <w:r>
        <w:rPr>
          <w:rFonts w:ascii="Times New Roman" w:hAnsi="Times New Roman" w:cs="Times New Roman" w:eastAsiaTheme="majorEastAsia"/>
          <w:b/>
          <w:bCs/>
        </w:rPr>
        <w:t>3、营业周期</w:t>
      </w:r>
      <w:bookmarkEnd w:id="169"/>
    </w:p>
    <w:p w14:paraId="41ECE9F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正常营业周期是指本公司从购买用于加工的资产起至实现现金或现金等价物的期间。本公司以12个月作为一个营业周期，并以其作为资产和负债的流动性划分标准。</w:t>
      </w:r>
    </w:p>
    <w:p w14:paraId="36039C9E">
      <w:pPr>
        <w:pStyle w:val="3"/>
        <w:spacing w:line="280" w:lineRule="exact"/>
        <w:jc w:val="left"/>
        <w:rPr>
          <w:rFonts w:ascii="Times New Roman" w:hAnsi="Times New Roman" w:cs="Times New Roman" w:eastAsiaTheme="majorEastAsia"/>
          <w:b/>
          <w:bCs/>
        </w:rPr>
      </w:pPr>
      <w:bookmarkStart w:id="170" w:name="_Toc989059"/>
      <w:r>
        <w:rPr>
          <w:rFonts w:ascii="Times New Roman" w:hAnsi="Times New Roman" w:cs="Times New Roman" w:eastAsiaTheme="majorEastAsia"/>
          <w:b/>
          <w:bCs/>
        </w:rPr>
        <w:t>4、记账本位币</w:t>
      </w:r>
      <w:bookmarkEnd w:id="170"/>
    </w:p>
    <w:p w14:paraId="192C3CC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人民币为本公司及境内子公司经营所处的主要经济环境中的货币，本公司及境内子公司以人民币为记账本位币。本公司之境外子公司根据其经营所处的主要经济环境中的货币确定港币为其记账本位币。本公司编制本财务报表时所采用的货币为人民币。</w:t>
      </w:r>
    </w:p>
    <w:p w14:paraId="02131F6C">
      <w:pPr>
        <w:pStyle w:val="3"/>
        <w:spacing w:line="280" w:lineRule="exact"/>
        <w:jc w:val="left"/>
        <w:rPr>
          <w:rFonts w:ascii="Times New Roman" w:hAnsi="Times New Roman" w:cs="Times New Roman" w:eastAsiaTheme="majorEastAsia"/>
          <w:b/>
          <w:bCs/>
        </w:rPr>
      </w:pPr>
      <w:bookmarkStart w:id="171" w:name="_Toc989060"/>
      <w:r>
        <w:rPr>
          <w:rFonts w:ascii="Times New Roman" w:hAnsi="Times New Roman" w:cs="Times New Roman" w:eastAsiaTheme="majorEastAsia"/>
          <w:b/>
          <w:bCs/>
        </w:rPr>
        <w:t>5、重要性标准确定方法和选择依据</w:t>
      </w:r>
      <w:bookmarkEnd w:id="171"/>
    </w:p>
    <w:p w14:paraId="4AA6776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B05BC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CDA69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7F994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重要性标准</w:t>
            </w:r>
          </w:p>
        </w:tc>
      </w:tr>
      <w:tr w14:paraId="7774C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4057B4C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重要的应收款项核销</w:t>
            </w:r>
          </w:p>
        </w:tc>
        <w:tc>
          <w:tcPr>
            <w:tcW w:w="4820" w:type="dxa"/>
            <w:tcBorders>
              <w:top w:val="single" w:color="auto" w:sz="2" w:space="0"/>
              <w:left w:val="single" w:color="auto" w:sz="2" w:space="0"/>
              <w:bottom w:val="single" w:color="auto" w:sz="2" w:space="0"/>
              <w:right w:val="single" w:color="auto" w:sz="2" w:space="0"/>
            </w:tcBorders>
            <w:vAlign w:val="center"/>
          </w:tcPr>
          <w:p w14:paraId="1D09DC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金额≥100 万元人民币</w:t>
            </w:r>
          </w:p>
        </w:tc>
      </w:tr>
    </w:tbl>
    <w:p w14:paraId="359B9748">
      <w:pPr>
        <w:pStyle w:val="3"/>
        <w:spacing w:line="280" w:lineRule="exact"/>
        <w:jc w:val="left"/>
        <w:rPr>
          <w:rFonts w:ascii="Times New Roman" w:hAnsi="Times New Roman" w:cs="Times New Roman" w:eastAsiaTheme="majorEastAsia"/>
          <w:b/>
          <w:bCs/>
        </w:rPr>
      </w:pPr>
      <w:bookmarkStart w:id="172" w:name="_Toc989061"/>
      <w:r>
        <w:rPr>
          <w:rFonts w:ascii="Times New Roman" w:hAnsi="Times New Roman" w:cs="Times New Roman" w:eastAsiaTheme="majorEastAsia"/>
          <w:b/>
          <w:bCs/>
        </w:rPr>
        <w:t>6、同一控制下和非同一控制下企业合并的会计处理方法</w:t>
      </w:r>
      <w:bookmarkEnd w:id="172"/>
    </w:p>
    <w:p w14:paraId="23BE975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企业合并，是指将两个或两个以上单独的企业合并形成一个报告主体的交易或事项。企业合并分为同一控制下企业合并和非同一控制下企业合并。</w:t>
      </w:r>
    </w:p>
    <w:p w14:paraId="1971AFF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6.1 同一控制下企业合并</w:t>
      </w:r>
    </w:p>
    <w:p w14:paraId="23EF9FE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同一控制下的企业合并，指参与合并的公司在合并前后均受同一方或相同的多方最终控制且该控制并非暂时性的企业合并。</w:t>
      </w:r>
    </w:p>
    <w:p w14:paraId="193216B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按照被合并方所有者权益在最终控制方合并财务报表中的账面价值计量。被合并方在合并日的净资产账面价值为负数的，长期股权投资成本按零确定。如果被合并方在被合并以前，是最终控制方通过非同一控制下的企业合并所控制的，则合并方长期股权投资的初始投资成本还应包含相关的商誉金额。公司取得的净资产账面价值与支付的合并对价账面价值的差额，应当调整资本公积；资本公积不足冲减的，调整留存收益。</w:t>
      </w:r>
    </w:p>
    <w:p w14:paraId="49122FB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为进行企业合并发生的各项直接相关费用，包括为进行企业合并而支付的审计费用、评估费用、法律服务费用等，应当于发生时计入当期管理费用。与发行权益性工具作为合并对价直接相关的交易费用，冲减资本公积（股本溢价），资本公积（股本溢价）不足冲减的，依次冲减盈余公积和未分配利润。与发行债务性工具作为合并对价直接相关的交易费用，计入债务性工具的初始确认金额。</w:t>
      </w:r>
    </w:p>
    <w:p w14:paraId="79DE4B7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合并财务报表中，合并方在达到合并之前持有的长期股权投资，在取得日与合并方与被合并方向处于同一最终控制之日孰晚日与合并日之间已确认有关损益、其他综合收益和其他所有者权益变动，应分别冲减比较报表期间的期初留存收益或当期损益。</w:t>
      </w:r>
    </w:p>
    <w:p w14:paraId="1D20B66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6.2 非同一控制下企业合并</w:t>
      </w:r>
    </w:p>
    <w:p w14:paraId="0D1CB9B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14:paraId="1177730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非同一控制下的企业合并，合并成本包含购买日购买方为取得对被购买方的控制权而付出的资产、发生或承担的负债以及发行的权益性证券的公允价值，为企业合并发生的审计、法律服务、评估咨询等中介费用以及其他管理费用于发生时计入当期损益。购买方作为合并对价发行的权益性证券或债务性证券的交易费用，计入权益性证券或债务性证券的初始确认金额。所涉及的或有对价按其在购买日的公允价值计入合并成本，购买日后12个月内出现对购买日已存在情况的新的或进一步证据而需要调整或有对价的，相应调整合并商誉。购买方发生的合并成本及在合并中取得的可辨认净资产按购买日的公允价值计量。合并成本大于合并中取得的被购买方于购买日可辨认净资产公允价值份额的差额，确认为商誉。合并成本小于合并中取得的被购买方可辨认净资产公允价值份额的，首先对取得的被购买方各项可辨认资产、负债及或有负债的公允价值以及合并成本的计量进行复核，复核后合并成本仍小于合并中取得的被购买方可辨认净资产公允价值份额的，其差额计入当期损益。</w:t>
      </w:r>
    </w:p>
    <w:p w14:paraId="758ECA0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购买方取得被购买方的可抵扣暂时性差异，在购买日因不符合递延所得税资产确认条件而未予确认的，在购买日后12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14:paraId="08F869E5">
      <w:pPr>
        <w:pStyle w:val="3"/>
        <w:spacing w:line="280" w:lineRule="exact"/>
        <w:jc w:val="left"/>
        <w:rPr>
          <w:rFonts w:ascii="Times New Roman" w:hAnsi="Times New Roman" w:cs="Times New Roman" w:eastAsiaTheme="majorEastAsia"/>
          <w:b/>
          <w:bCs/>
        </w:rPr>
      </w:pPr>
      <w:bookmarkStart w:id="173" w:name="_Toc989062"/>
      <w:r>
        <w:rPr>
          <w:rFonts w:ascii="Times New Roman" w:hAnsi="Times New Roman" w:cs="Times New Roman" w:eastAsiaTheme="majorEastAsia"/>
          <w:b/>
          <w:bCs/>
        </w:rPr>
        <w:t>7、控制的判断标准和合并财务报表的编制方法</w:t>
      </w:r>
      <w:bookmarkEnd w:id="173"/>
    </w:p>
    <w:p w14:paraId="7CD88E30">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7.1合并财务报表范围的确定原则</w:t>
      </w:r>
    </w:p>
    <w:p w14:paraId="16FAD8F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合并财务报表的合并范围以控制为基础予以确定。控制是指本公司拥有对被投资方的权力，通过参与被投资方的相关活动而享有可变回报，并且有能力运用对被投资方的权力影响该回报金额。合并范围包括本公司及全部子公司。子公司，是指被本公司控制的主体。</w:t>
      </w:r>
    </w:p>
    <w:p w14:paraId="799BC6B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一旦相关事实和情况的变化导致上述控制定义涉及的相关要素发生了变化，本公司将进行重新评估。</w:t>
      </w:r>
    </w:p>
    <w:p w14:paraId="609B9573">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7.2合并财务报表编制的方法</w:t>
      </w:r>
    </w:p>
    <w:p w14:paraId="337E3D2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14:paraId="341FDBB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14:paraId="1D8D09A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公司内所有重大往来余额、交易及未实现利润在合并财务报表编制时予以抵销。</w:t>
      </w:r>
    </w:p>
    <w:p w14:paraId="70550E2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少数股东损益”项目列示。少数股东分担的子公司的亏损超过了少数股东在该子公司期初股东权益中所享有的份额，仍冲减少数股东权益。</w:t>
      </w:r>
    </w:p>
    <w:p w14:paraId="7B68D743">
      <w:pPr>
        <w:pStyle w:val="3"/>
        <w:spacing w:line="280" w:lineRule="exact"/>
        <w:jc w:val="left"/>
        <w:rPr>
          <w:rFonts w:ascii="Times New Roman" w:hAnsi="Times New Roman" w:cs="Times New Roman" w:eastAsiaTheme="majorEastAsia"/>
          <w:b/>
          <w:bCs/>
        </w:rPr>
      </w:pPr>
      <w:bookmarkStart w:id="174" w:name="_Toc989063"/>
      <w:r>
        <w:rPr>
          <w:rFonts w:ascii="Times New Roman" w:hAnsi="Times New Roman" w:cs="Times New Roman" w:eastAsiaTheme="majorEastAsia"/>
          <w:b/>
          <w:bCs/>
        </w:rPr>
        <w:t>8、合营安排分类及共同经营会计处理方法</w:t>
      </w:r>
      <w:bookmarkEnd w:id="174"/>
    </w:p>
    <w:p w14:paraId="6F855CF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14:paraId="3466142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本公司对合营企业的投资采用权益法核算，按照本节“五、22 长期股权投资”中所述的会计政策处理。</w:t>
      </w:r>
    </w:p>
    <w:p w14:paraId="15F37C0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14:paraId="54665EE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8号——资产减值》等规定的资产减值损失的，对于由本公司向共同经营投出或出售资产的情况，本公司全额确认该损失；对于本公司自共同经营购买资产的情况，本公司按承担的份额确认该损失。</w:t>
      </w:r>
    </w:p>
    <w:p w14:paraId="2AEB8122">
      <w:pPr>
        <w:pStyle w:val="3"/>
        <w:spacing w:line="280" w:lineRule="exact"/>
        <w:jc w:val="left"/>
        <w:rPr>
          <w:rFonts w:ascii="Times New Roman" w:hAnsi="Times New Roman" w:cs="Times New Roman" w:eastAsiaTheme="majorEastAsia"/>
          <w:b/>
          <w:bCs/>
        </w:rPr>
      </w:pPr>
      <w:bookmarkStart w:id="175" w:name="_Toc989064"/>
      <w:r>
        <w:rPr>
          <w:rFonts w:ascii="Times New Roman" w:hAnsi="Times New Roman" w:cs="Times New Roman" w:eastAsiaTheme="majorEastAsia"/>
          <w:b/>
          <w:bCs/>
        </w:rPr>
        <w:t>9、现金及现金等价物的确定标准</w:t>
      </w:r>
      <w:bookmarkEnd w:id="175"/>
    </w:p>
    <w:p w14:paraId="2F9A220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本公司现金及现金等价物包括库存现金、可以随时用于支付的存款以及本公司持有的期限短（一般为从购买日起三个月内到期）、流动性强、易于转换为已知金额现金、价值变动风险很小的投资。</w:t>
      </w:r>
    </w:p>
    <w:p w14:paraId="26230163">
      <w:pPr>
        <w:pStyle w:val="3"/>
        <w:spacing w:line="280" w:lineRule="exact"/>
        <w:jc w:val="left"/>
        <w:rPr>
          <w:rFonts w:ascii="Times New Roman" w:hAnsi="Times New Roman" w:cs="Times New Roman" w:eastAsiaTheme="majorEastAsia"/>
          <w:b/>
          <w:bCs/>
        </w:rPr>
      </w:pPr>
      <w:bookmarkStart w:id="176" w:name="_Toc989065"/>
      <w:r>
        <w:rPr>
          <w:rFonts w:ascii="Times New Roman" w:hAnsi="Times New Roman" w:cs="Times New Roman" w:eastAsiaTheme="majorEastAsia"/>
          <w:b/>
          <w:bCs/>
        </w:rPr>
        <w:t>10、外币业务和外币报表折算</w:t>
      </w:r>
      <w:bookmarkEnd w:id="176"/>
    </w:p>
    <w:p w14:paraId="64C87D1E">
      <w:pPr>
        <w:pStyle w:val="20"/>
        <w:spacing w:line="360" w:lineRule="auto"/>
        <w:ind w:left="420"/>
        <w:jc w:val="both"/>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10.1外币业务</w:t>
      </w:r>
    </w:p>
    <w:p w14:paraId="1FC12E2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外币业务交易在初始确认时，采用交易发生日的即期汇率作为折算汇率折合成人民币记账。</w:t>
      </w:r>
    </w:p>
    <w:p w14:paraId="657C5A3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资产负债表日，外币货币性项目按资产负债表日即期汇率折算，由此产生的汇兑差额，除属于与购建符合资本化条件的资产相关的外币专门借款产生的汇兑差额按照借款费用资本化的原则处理外，均计入当期损益。以历史成本计量的外币非货币性项目，仍采用交易发生日的即期汇率折算，不改变其记账本位币金额。</w:t>
      </w:r>
    </w:p>
    <w:p w14:paraId="4BB9997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以公允价值计量的外币非货币性项目，采用公允价值确定日的即期汇率折算，折算后的记账本位币金额与原记账本位币金额的差额，作为公允价值变动(含汇率变动)处理，计入当期损益或确认为其他综合收益。</w:t>
      </w:r>
    </w:p>
    <w:p w14:paraId="28340EDF">
      <w:pPr>
        <w:pStyle w:val="21"/>
        <w:spacing w:line="360" w:lineRule="auto"/>
        <w:ind w:firstLine="420"/>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10.2外币财务报表的折算</w:t>
      </w:r>
    </w:p>
    <w:p w14:paraId="33079E7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资产负债表中的资产和负债项目，采用资产负债表日的即期汇率折算；所有者权益项目除</w:t>
      </w:r>
      <w:r>
        <w:rPr>
          <w:rFonts w:cs="Times New Roman" w:asciiTheme="majorEastAsia" w:hAnsiTheme="majorEastAsia" w:eastAsiaTheme="majorEastAsia"/>
          <w:sz w:val="21"/>
          <w:szCs w:val="21"/>
        </w:rPr>
        <w:t>“未分配利润”项目外，其他项目采用发生时的即期汇</w:t>
      </w:r>
      <w:r>
        <w:rPr>
          <w:rFonts w:ascii="Times New Roman" w:hAnsi="Times New Roman" w:cs="Times New Roman" w:eastAsiaTheme="majorEastAsia"/>
          <w:sz w:val="21"/>
          <w:szCs w:val="21"/>
        </w:rPr>
        <w:t>率折算。利润表中的收入和费用项目，采用交易发生日的即期汇率折算。按照上述折算产生的外币财务报表折算差额计入其他综合收益。</w:t>
      </w:r>
    </w:p>
    <w:p w14:paraId="2604249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处置境外经营时，将资产负债表中其他综合收益项目中列示的、与该境外经营相关的外币财务报表折算差额，自其他综合收益项目转入处置当期损益；在处置部分股权投资或其他原因导致持有境外经营权益比例降低但不丧失对境外经营控制权时，与该境外经营处置部分相关的外币报表折算差额将归属于少数股东权益，不转入当期损益。在处置境外经营为联营企业或合营企业的部分股权时，与该境外经营相关的外币报表折算差额，按处置该境外经营的比例转入处置当期损益。</w:t>
      </w:r>
    </w:p>
    <w:p w14:paraId="154D77A4">
      <w:pPr>
        <w:pStyle w:val="3"/>
        <w:spacing w:line="280" w:lineRule="exact"/>
        <w:jc w:val="left"/>
        <w:rPr>
          <w:rFonts w:ascii="Times New Roman" w:hAnsi="Times New Roman" w:cs="Times New Roman" w:eastAsiaTheme="majorEastAsia"/>
          <w:b/>
          <w:bCs/>
        </w:rPr>
      </w:pPr>
      <w:bookmarkStart w:id="177" w:name="_Toc989066"/>
      <w:r>
        <w:rPr>
          <w:rFonts w:ascii="Times New Roman" w:hAnsi="Times New Roman" w:cs="Times New Roman" w:eastAsiaTheme="majorEastAsia"/>
          <w:b/>
          <w:bCs/>
        </w:rPr>
        <w:t>11、金融工具</w:t>
      </w:r>
      <w:bookmarkEnd w:id="177"/>
    </w:p>
    <w:p w14:paraId="79F6DE9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金融工具，是指形成一方的金融资产并形成其他方的金融负债或权益工具的合同。本公司成为金融工具合同的一方时，确认一项金融资产或金融负债。</w:t>
      </w:r>
    </w:p>
    <w:p w14:paraId="6760B5C4">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11.1金融资产的分类和计量</w:t>
      </w:r>
    </w:p>
    <w:p w14:paraId="1C15D2F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根据管理金融资产的业务模式和金融资产的合同现金流量特征，将金融资产划分为：以摊余成本计量的金融资产、以公允价值计量且其变动计入其他综合收益的金融资产及以公允价值计量且其变动计入当期损益的金融资产。</w:t>
      </w:r>
    </w:p>
    <w:p w14:paraId="3874F1A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11.1.1以摊余成本计量的债务工具投资</w:t>
      </w:r>
    </w:p>
    <w:p w14:paraId="3F222B2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资产同时符合以下条件的，分类为以摊余成本计量的金融资产：本公司管理此类金融资产的业务模式为以收取合同现金流量为目标；该金融资产的合同条款规定，在特定日期产生的现金流量，仅为对本金和以未偿付本金金额为基础的利息的支付。</w:t>
      </w:r>
    </w:p>
    <w:p w14:paraId="2846DAC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以摊余成本计量的金融资产包括应收票据及应收账款、其他应收款、长期应收款、债权投资等，按公允价值进行初始计量，相关交易费用计入初始确认金额；不包含重大融资成分的应收账款以及本公司决定不考虑不超过一年的融资成分的应收账款，以合同交易价格进行初始计量。</w:t>
      </w:r>
    </w:p>
    <w:p w14:paraId="0ABE37B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此类金融资产按照实际利率法以摊余成本进行后续计量，持有期间采用实际利率法计算的利息计入当期损益。收回或处置时，将取得的价款与该金融资产账面价值之间的差额计入当期损益。其摊销或减值产生的利得或损失，均计入当期损益。</w:t>
      </w:r>
    </w:p>
    <w:p w14:paraId="68F0C3E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11.1.2以公允价值计量且其变动计入其他综合收益的金融资产</w:t>
      </w:r>
    </w:p>
    <w:p w14:paraId="4F2D268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11.1.2.1以公允价值计量且其变动计入其他综合收益的债务工具投资</w:t>
      </w:r>
    </w:p>
    <w:p w14:paraId="447420E3">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资产同时符合以下条件的，分类为以公允价值计量且其变动计入其他综合收益的金融资产：本公司管理此类金融资产的业务模式为既以收取合同现金流量为目标又以出售为目标；该金融资产的合同条款规定，在特定日期产生的现金流量，仅为对本金和以未偿付本金金额为基础的利息的支付。</w:t>
      </w:r>
    </w:p>
    <w:p w14:paraId="1078E75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以公允价值计量且其变动计入其他综合收益的金融资产（债务工具）包括其他债权投资等，按公允价值进行初始计量，相关交易费用计入初始确认金额。该金融资产按公允价值进行后续计量，公允价值变动除采用实际利率法计算的利息、减值损失或利得和汇兑损益之外，均计入其他综合收益。</w:t>
      </w:r>
    </w:p>
    <w:p w14:paraId="22E95E0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终止确认时，之前计入其他综合收益的累计利得或损失从其他综合收益中转出，计入当期损益。</w:t>
      </w:r>
    </w:p>
    <w:p w14:paraId="4A09FC8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11.1.2.2指定为以公允价值计量且其变动计入其他综合收益的权益工具投资</w:t>
      </w:r>
    </w:p>
    <w:p w14:paraId="1EF12EA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不可撤销地选择将部分非交易性权益工具投资指定为以公允价值计量且其变动计入其他综合收益的金融资产，包括其他权益工具投资等，仅将相关股利收入计入当期损益，公允价值变动计入其他综合收益。当该金融资产终止确认时，之前计入其他综合收益的累计利得或损失从其他综合收益中转出，计入留存收益。</w:t>
      </w:r>
    </w:p>
    <w:p w14:paraId="297539C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11.1.3以公允价值计量且其变动计入当期损益的金融资产</w:t>
      </w:r>
    </w:p>
    <w:p w14:paraId="6414788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将持有的未划分为上述以摊余成本计量的金融资产和以公允价值计量且其变动计入其他综合收益的金融资产之外的金融资产，分类为以公允价值计量且其变动计入当期损益的金融资产。包括交易性金融资产、衍生金融资产、其他非流动金融资产等，按公允价值进行初始计量，相关交易费用计入当期损益。该金融资产按公允价值进行后续计量，公允价值变动计入当期损益。终止确认时，其公允价值与初始入账金额之间的差额确认为投资收益。</w:t>
      </w:r>
    </w:p>
    <w:p w14:paraId="0C4FA17C">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11.2金融工具的减值</w:t>
      </w:r>
    </w:p>
    <w:p w14:paraId="74AA3D2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对分类为以摊余成本计量的金融工具、分类为以公允价值计量且其变动计入其他综合收益的金融工具（债务工具）、租赁应收款、合同资产、应收款项以及财务担保合同以预期信用损失为基础确认损失准备。</w:t>
      </w:r>
    </w:p>
    <w:p w14:paraId="1CB50BE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本公司按照下列方法确定相关金融工具的预期信用损失：</w:t>
      </w:r>
      <w:r>
        <w:rPr>
          <w:rFonts w:hint="eastAsia" w:ascii="Times New Roman" w:hAnsi="Times New Roman" w:cs="Times New Roman" w:eastAsiaTheme="majorEastAsia"/>
          <w:sz w:val="21"/>
          <w:szCs w:val="21"/>
        </w:rPr>
        <w:t>①</w:t>
      </w:r>
      <w:r>
        <w:rPr>
          <w:rFonts w:ascii="Times New Roman" w:hAnsi="Times New Roman" w:cs="Times New Roman" w:eastAsiaTheme="majorEastAsia"/>
          <w:sz w:val="21"/>
          <w:szCs w:val="21"/>
        </w:rPr>
        <w:t>对于金融资产，信用损失应为本公司应收取的合同现金流量与预期收取的现金流量之间差额的现值；</w:t>
      </w:r>
      <w:r>
        <w:rPr>
          <w:rFonts w:hint="eastAsia" w:ascii="Times New Roman" w:hAnsi="Times New Roman" w:cs="Times New Roman" w:eastAsiaTheme="majorEastAsia"/>
          <w:sz w:val="21"/>
          <w:szCs w:val="21"/>
        </w:rPr>
        <w:t>②</w:t>
      </w:r>
      <w:r>
        <w:rPr>
          <w:rFonts w:ascii="Times New Roman" w:hAnsi="Times New Roman" w:cs="Times New Roman" w:eastAsiaTheme="majorEastAsia"/>
          <w:sz w:val="21"/>
          <w:szCs w:val="21"/>
        </w:rPr>
        <w:t>对于租赁应收款项，信用损失应为本公司应收取的合同现金流量与预期收取的现金流量之间差额的现值；</w:t>
      </w:r>
      <w:r>
        <w:rPr>
          <w:rFonts w:hint="eastAsia" w:ascii="Times New Roman" w:hAnsi="Times New Roman" w:cs="Times New Roman" w:eastAsiaTheme="majorEastAsia"/>
          <w:sz w:val="21"/>
          <w:szCs w:val="21"/>
        </w:rPr>
        <w:t>③</w:t>
      </w:r>
      <w:r>
        <w:rPr>
          <w:rFonts w:ascii="Times New Roman" w:hAnsi="Times New Roman" w:cs="Times New Roman" w:eastAsiaTheme="majorEastAsia"/>
          <w:sz w:val="21"/>
          <w:szCs w:val="21"/>
        </w:rPr>
        <w:t>对于财务担保合同，信用损失应为本公司就该合同持有人发生的信用损失向其做出赔付的预计付款额，减去本公司预期向该合同持有人、债务人或任何其他方收取的金额之间差额的现值；</w:t>
      </w:r>
      <w:r>
        <w:rPr>
          <w:rFonts w:hint="eastAsia" w:ascii="Times New Roman" w:hAnsi="Times New Roman" w:cs="Times New Roman" w:eastAsiaTheme="majorEastAsia"/>
          <w:sz w:val="21"/>
          <w:szCs w:val="21"/>
        </w:rPr>
        <w:t>④</w:t>
      </w:r>
      <w:r>
        <w:rPr>
          <w:rFonts w:ascii="Times New Roman" w:hAnsi="Times New Roman" w:cs="Times New Roman" w:eastAsiaTheme="majorEastAsia"/>
          <w:sz w:val="21"/>
          <w:szCs w:val="21"/>
        </w:rPr>
        <w:t>对于未提用的贷款承诺，信用损失应为在贷款承诺持有人提用相应贷款的情况下，企业应收取的合同现金流量与预期收取的现金流量之间差额的现值。</w:t>
      </w:r>
      <w:r>
        <w:rPr>
          <w:rFonts w:hint="eastAsia" w:ascii="Times New Roman" w:hAnsi="Times New Roman" w:cs="Times New Roman" w:eastAsiaTheme="majorEastAsia"/>
          <w:sz w:val="21"/>
          <w:szCs w:val="21"/>
        </w:rPr>
        <w:t>⑤</w:t>
      </w:r>
      <w:r>
        <w:rPr>
          <w:rFonts w:ascii="Times New Roman" w:hAnsi="Times New Roman" w:cs="Times New Roman" w:eastAsiaTheme="majorEastAsia"/>
          <w:sz w:val="21"/>
          <w:szCs w:val="21"/>
        </w:rPr>
        <w:t>对于资产负债表日已发生信用减值但并非购买或源生已发生信用减值的金融资产，信用损失为该金融资产账面余额与按原实际利率折现的估计未来现金流量的现值之间的差额。</w:t>
      </w:r>
    </w:p>
    <w:p w14:paraId="0F33198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计量金融工具预期信用损失的方法反映的因素包括：通过评价一系列可能的结果而确定的无偏概率加权平均金额；货币时间价值；在资产负债表日无须付出不必要的额外成本或努力即可获得的有关过去事项、当前状况以及未来经济状况预测的合理且有依据的信息。</w:t>
      </w:r>
    </w:p>
    <w:p w14:paraId="50B71B1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当本公司不再合理预期金融资产合同现金流量能够全部或部分收回的，直接减记该金融资产的账面余额。这种减记构成相关金融资产的终止确认。</w:t>
      </w:r>
    </w:p>
    <w:p w14:paraId="5A319C6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对由收入准则规范的交易形成的应收款项和合同资产（无论是否包含重大融资成分），对由租赁准则规范的交易形成的租赁应收款，具体预期信用损失的确定方法及会计处理方法，详见本节五、12应收票据、五、13应收账款、五、16合同资产、5.21长期应收款。</w:t>
      </w:r>
    </w:p>
    <w:p w14:paraId="59FF8F9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其他金融工具，除购买或源生的已发生信用减值的金融资产外，本公司在每个资产负债表日评估相关金融工具的信用风险自初始确认后的变动情况。若该金融工具的信用风险自初始确认后已显著增加，本公司按照相当于该金融工具整个存续期内预期信用损失的金额计量其损失准备；若该金融工具的信用风险自初始确认后并未显著增加，本公司按照相当于该金融工具未来12个月内预期信用损失的金额计量其损失准备。信用损失准备的增加或转回金额，除分类为以公允价值计量且其变动计入其他综合收益的金融资产外，作为减值损失或利得计入当期损益。对于分类为以公允价值计量且其变动计入其他综合收益的金融资产，本公司在其他综合收益中确认其信用损失准备，并将减值损失或利得计入当期损益，且不减少该金融资产在资产负债表中列示的账面价值。具体预期信用损失的确定方法及会计处理方法，详见本节五、15 其他应收款，五、19 债权投资，五、20 其他债权投资，五、21 长期应收款。</w:t>
      </w:r>
    </w:p>
    <w:p w14:paraId="04EEAF7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在前一会计期间已经按照相当于金融工具整个存续期内预期信用损失的金额计量了损失准备，但在当期资产负债表日，该金融工具已不再属于自初始确认后信用风险显著增加的情形的，本公司在当期资产负债表日按照相当于未来12个月内预期信用损失的金额计量该金融工具的损失准备，由此形成的损失准备的转回金额作为减值利得计入当期损益。</w:t>
      </w:r>
    </w:p>
    <w:p w14:paraId="0EA28EA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11.2.1信用风险显著增加</w:t>
      </w:r>
    </w:p>
    <w:p w14:paraId="3C49B6D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本公司利用可获得的合理且有依据的前瞻性信息，通过比较金融工具在资产负债表日发生违约的风险与在初始确认日发生违约的风险，以确定金融工具的信用风险自初始确认后是否已显著增加。</w:t>
      </w:r>
    </w:p>
    <w:p w14:paraId="5337A18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在评估信用风险是否显著增加时会考虑如下因素：本公司判断信用风险显著增加的主要标准为逾期天数超过30日，或者以下一个或多个指标发生显著变化：债务人所处的经营环境、内外部信用评级、实际或预期经营成果的显著变化、担保物价值或担保方信用评级的显著下降等。</w:t>
      </w:r>
    </w:p>
    <w:p w14:paraId="059781F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于资产负债表日，若本公司判断金融工具只具有较低的信用风险的，则假设该金融工具的信用风险自初始确认后并未显著增加。如果金融工具违约风险较低，借款人在短期内履行其合同现金流量义务的能力很强，并且即使较长时间内经济形势和经营环境存在不利变化但未必一定降低借款人履行其合同现金义务，则该金融工具被视为具有较低的信用风险。</w:t>
      </w:r>
    </w:p>
    <w:p w14:paraId="4D2B488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11.2.2已发生信用减值的金融资产</w:t>
      </w:r>
    </w:p>
    <w:p w14:paraId="0E1C339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当本公司预期对金融资产未来现金流量具有不利影响的一项或多项事件发生时，该金融资产成为已发生信用减值的金融资产。金融资产已发生信用减值的证据包括下列可观察信息：</w:t>
      </w:r>
      <w:r>
        <w:rPr>
          <w:rFonts w:hint="eastAsia" w:ascii="Times New Roman" w:hAnsi="Times New Roman" w:cs="Times New Roman" w:eastAsiaTheme="majorEastAsia"/>
          <w:sz w:val="21"/>
          <w:szCs w:val="21"/>
        </w:rPr>
        <w:t>①</w:t>
      </w:r>
      <w:r>
        <w:rPr>
          <w:rFonts w:ascii="Times New Roman" w:hAnsi="Times New Roman" w:cs="Times New Roman" w:eastAsiaTheme="majorEastAsia"/>
          <w:sz w:val="21"/>
          <w:szCs w:val="21"/>
        </w:rPr>
        <w:t>发行方或债务人发生重大财务困难；</w:t>
      </w:r>
      <w:r>
        <w:rPr>
          <w:rFonts w:hint="eastAsia" w:ascii="Times New Roman" w:hAnsi="Times New Roman" w:cs="Times New Roman" w:eastAsiaTheme="majorEastAsia"/>
          <w:sz w:val="21"/>
          <w:szCs w:val="21"/>
        </w:rPr>
        <w:t>②</w:t>
      </w:r>
      <w:r>
        <w:rPr>
          <w:rFonts w:ascii="Times New Roman" w:hAnsi="Times New Roman" w:cs="Times New Roman" w:eastAsiaTheme="majorEastAsia"/>
          <w:sz w:val="21"/>
          <w:szCs w:val="21"/>
        </w:rPr>
        <w:t>债务人违反合同，如偿付利息或本金违约或逾期等；</w:t>
      </w:r>
      <w:r>
        <w:rPr>
          <w:rFonts w:hint="eastAsia" w:ascii="Times New Roman" w:hAnsi="Times New Roman" w:cs="Times New Roman" w:eastAsiaTheme="majorEastAsia"/>
          <w:sz w:val="21"/>
          <w:szCs w:val="21"/>
        </w:rPr>
        <w:t>③</w:t>
      </w:r>
      <w:r>
        <w:rPr>
          <w:rFonts w:ascii="Times New Roman" w:hAnsi="Times New Roman" w:cs="Times New Roman" w:eastAsiaTheme="majorEastAsia"/>
          <w:sz w:val="21"/>
          <w:szCs w:val="21"/>
        </w:rPr>
        <w:t>债权人出于与债务人财务困难有关的经济或合同考虑，给予债务人在任何其他情况下都不会做出的让步；</w:t>
      </w:r>
      <w:r>
        <w:rPr>
          <w:rFonts w:hint="eastAsia" w:ascii="Times New Roman" w:hAnsi="Times New Roman" w:cs="Times New Roman" w:eastAsiaTheme="majorEastAsia"/>
          <w:sz w:val="21"/>
          <w:szCs w:val="21"/>
        </w:rPr>
        <w:t>④</w:t>
      </w:r>
      <w:r>
        <w:rPr>
          <w:rFonts w:ascii="Times New Roman" w:hAnsi="Times New Roman" w:cs="Times New Roman" w:eastAsiaTheme="majorEastAsia"/>
          <w:sz w:val="21"/>
          <w:szCs w:val="21"/>
        </w:rPr>
        <w:t>债务人很可能破产或进行其他财务重组；</w:t>
      </w:r>
      <w:r>
        <w:rPr>
          <w:rFonts w:hint="eastAsia" w:ascii="Times New Roman" w:hAnsi="Times New Roman" w:cs="Times New Roman" w:eastAsiaTheme="majorEastAsia"/>
          <w:sz w:val="21"/>
          <w:szCs w:val="21"/>
        </w:rPr>
        <w:t>⑤</w:t>
      </w:r>
      <w:r>
        <w:rPr>
          <w:rFonts w:ascii="Times New Roman" w:hAnsi="Times New Roman" w:cs="Times New Roman" w:eastAsiaTheme="majorEastAsia"/>
          <w:sz w:val="21"/>
          <w:szCs w:val="21"/>
        </w:rPr>
        <w:t>发行方或债务人财务困难导致该金融资产的活跃市场消失；</w:t>
      </w:r>
      <w:r>
        <w:rPr>
          <w:rFonts w:hint="eastAsia" w:ascii="Times New Roman" w:hAnsi="Times New Roman" w:cs="Times New Roman" w:eastAsiaTheme="majorEastAsia"/>
          <w:sz w:val="21"/>
          <w:szCs w:val="21"/>
        </w:rPr>
        <w:t>⑥</w:t>
      </w:r>
      <w:r>
        <w:rPr>
          <w:rFonts w:ascii="Times New Roman" w:hAnsi="Times New Roman" w:cs="Times New Roman" w:eastAsiaTheme="majorEastAsia"/>
          <w:sz w:val="21"/>
          <w:szCs w:val="21"/>
        </w:rPr>
        <w:t>以大幅折扣购买或源生一项金融资产，该折扣反映了发生信用损失的事实。</w:t>
      </w:r>
    </w:p>
    <w:p w14:paraId="7A4E8EA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当一项金融工具逾期超过（含）90日，本公司推定该金融工具已发生违约。</w:t>
      </w:r>
    </w:p>
    <w:p w14:paraId="46C54421">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11.3金融资产转移确认依据和计量</w:t>
      </w:r>
    </w:p>
    <w:p w14:paraId="3FA62AD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资产满足下列条件之一的，本公司予以终止对该项金融资产的确认：收取该金融资产现金流量的合同权利终止；该金融资产已转移，且本公司将金融资产所有权上几乎所有的风险和报酬转移给转入方；该金融资产已转移，虽然本公司既没有转移也没有保留金融资产所有权上几乎所有的风险和报酬，但是放弃了对该金融资产控制。</w:t>
      </w:r>
    </w:p>
    <w:p w14:paraId="6C70C6B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的金融资产部分转移满足终止确认条件的，将所转移金融资产整体的账面价值，在终止确认部分和未终止确认部分之间按照转移日各自相对的公允价值进行分摊，并将终止确认部分收到的对价与原计入其他综合收益的公允价值变动累计额中对应终止确认部分的金额之和与终止确认部分在终止确认日的账面价值之差额计入当期损益或留存收益。</w:t>
      </w:r>
    </w:p>
    <w:p w14:paraId="4E3164C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若本公司既没有转移也没有保留金融资产所有权上几乎所有的风险和报酬，且未放弃对该金融资产的控制的，则按照继续涉入所转移金融资产的程度确认有关金融资产，并相应确认有关负债。</w:t>
      </w:r>
    </w:p>
    <w:p w14:paraId="0AFAA53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被转移金融资产以摊余成本计量的，相关负债的账面价值等于继续涉入被转移金融资产的账面价值减去本公司保留的权利（如果本公司因金融资产转移保留了相关权利）的摊余成本并加上本公司承担的义务（如果本公司因金融资产转移承担了相关义务）的摊余成本，相关负债不指定为以公允价值计量且其变动计入当期损益的金融负债；</w:t>
      </w:r>
    </w:p>
    <w:p w14:paraId="6DD0A73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被转移金融资产以公允价值计量的，相关负债的账面价值等于继续涉入被转移金融资产的账面价值减去本公司保留的权利（如果本公司因金融资产转移保留了相关权利）的公允价值并加上本公司承担的义务（如果本公司因金融资产转移承担了相关义务）的公允价值，该权利和义务的公允价值应为按独立基础计量时的公允价值。</w:t>
      </w:r>
    </w:p>
    <w:p w14:paraId="6158EC0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金融资产转移不满足终止确认条件的，继续确认所转移金融资产整体，并将所收到的对价确认为一项金融负债。</w:t>
      </w:r>
    </w:p>
    <w:p w14:paraId="0C9D2B6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对于继续涉入条件下的金融资产转移，本公司根据继续涉入所转移金融资产的程度确认有关金融资产和金融负债，以充分反映本公司所保留的权利和承担的义务。</w:t>
      </w:r>
    </w:p>
    <w:p w14:paraId="4D2E86BF">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11.4金融负债的分类和计量</w:t>
      </w:r>
    </w:p>
    <w:p w14:paraId="2A6B881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本公司的金融负债于初始确认时分类为以公允价值计量且其变动计入当期损益的金融负债和以摊余成本计量的金融负债。金融负债在初始确认时以公允价值计量。</w:t>
      </w:r>
    </w:p>
    <w:p w14:paraId="196B91D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以公允价值计量且其变动计入当期损益的金融负债，包括交易性金融负债（含属于金融负债的衍生工具）和指定为以公允价值计量且其变动计入当期损益的金融负债。该类金融负债以公允价值计量，公允价值变动形成的利得或损失，计入当期损益。</w:t>
      </w:r>
    </w:p>
    <w:p w14:paraId="4294A47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以摊余成本计量的金融负债，采用实际利率法，按摊余成本进行后续计量。</w:t>
      </w:r>
    </w:p>
    <w:p w14:paraId="4496506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14:paraId="0BD1709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金融负债全部或部分终止确认的，将终止确认部分的账面价值与支付的对价（包括转出的非现金资产或承担的新金融负债）之间的差额，计入当期损益。</w:t>
      </w:r>
    </w:p>
    <w:p w14:paraId="37D94650">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11.5金融负债的终止确认</w:t>
      </w:r>
    </w:p>
    <w:p w14:paraId="340D1DB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金融负债的现时义务全部或部分已经解除的，终止确认该金融负债或其一部分。本公司与债权人之间签订协议，以承担新金融负债方式替换现存金融负债，且新金融负债与现存金融负债的合同条款实质上不同的，终止确认现存金融负债，并同时确认新金融负债。</w:t>
      </w:r>
    </w:p>
    <w:p w14:paraId="164D475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金融负债全部或部分终止确认的，将终止确认部分的账面价值与支付的对价（包括转出的非现金资产或承担的新金融负债）之间的差额，计入当期损益。</w:t>
      </w:r>
    </w:p>
    <w:p w14:paraId="7E1C1B79">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11.6金融资产和金融负债的抵销</w:t>
      </w:r>
    </w:p>
    <w:p w14:paraId="4870C70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金融资产和金融负债在资产负债表内分别列示，不相互抵销。但同时满足下列条件的，以相互抵销后的净额在资产负债表内列示：本公司具有抵销已确认金额的法定权利，且该种法定权利是当前可执行的；本公司计划以净额结算，或同时变现该金融资产和清偿该金融负债。不满足终止确认条件的金融资产转移，转出方不得将已转移的金融资产和相关负债进行抵销。</w:t>
      </w:r>
    </w:p>
    <w:p w14:paraId="4A025D91">
      <w:pPr>
        <w:pStyle w:val="3"/>
        <w:spacing w:line="280" w:lineRule="exact"/>
        <w:jc w:val="left"/>
        <w:rPr>
          <w:rFonts w:ascii="Times New Roman" w:hAnsi="Times New Roman" w:cs="Times New Roman" w:eastAsiaTheme="majorEastAsia"/>
          <w:b/>
          <w:bCs/>
        </w:rPr>
      </w:pPr>
      <w:bookmarkStart w:id="178" w:name="_Toc989067"/>
      <w:r>
        <w:rPr>
          <w:rFonts w:ascii="Times New Roman" w:hAnsi="Times New Roman" w:cs="Times New Roman" w:eastAsiaTheme="majorEastAsia"/>
          <w:b/>
          <w:bCs/>
        </w:rPr>
        <w:t>12、应收票据</w:t>
      </w:r>
      <w:bookmarkEnd w:id="178"/>
    </w:p>
    <w:p w14:paraId="7F6C834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应收票据项目，反映资产负债表日以摊余成本计量的、企业因销售商品、提供服务等收到的商业汇票，包括银行承兑汇票和商业承兑汇票。</w:t>
      </w:r>
    </w:p>
    <w:p w14:paraId="531BFD7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12.1 预期信用损失的确定方法</w:t>
      </w:r>
    </w:p>
    <w:p w14:paraId="1643930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本公司对由收入准则规范的交易形成的应收款项（无论是否包含重大融资成分），按照相当于整个存续期内预期信用损失的金额计量损失准备。</w:t>
      </w:r>
    </w:p>
    <w:p w14:paraId="2768443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p w14:paraId="5A52743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基于应收票据的信用风险特征，将其划分为不同组合：</w:t>
      </w:r>
    </w:p>
    <w:tbl>
      <w:tblPr>
        <w:tblStyle w:val="12"/>
        <w:tblW w:w="5000" w:type="pct"/>
        <w:tblInd w:w="0" w:type="dxa"/>
        <w:tblLayout w:type="autofit"/>
        <w:tblCellMar>
          <w:top w:w="15" w:type="dxa"/>
          <w:left w:w="15" w:type="dxa"/>
          <w:bottom w:w="15" w:type="dxa"/>
          <w:right w:w="15" w:type="dxa"/>
        </w:tblCellMar>
      </w:tblPr>
      <w:tblGrid>
        <w:gridCol w:w="3482"/>
        <w:gridCol w:w="6371"/>
      </w:tblGrid>
      <w:tr w14:paraId="070AE342">
        <w:tblPrEx>
          <w:tblCellMar>
            <w:top w:w="15" w:type="dxa"/>
            <w:left w:w="15" w:type="dxa"/>
            <w:bottom w:w="15" w:type="dxa"/>
            <w:right w:w="15" w:type="dxa"/>
          </w:tblCellMar>
        </w:tblPrEx>
        <w:trPr>
          <w:trHeight w:val="340" w:hRule="atLeast"/>
        </w:trPr>
        <w:tc>
          <w:tcPr>
            <w:tcW w:w="1767"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24895774">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组合名称</w:t>
            </w:r>
          </w:p>
        </w:tc>
        <w:tc>
          <w:tcPr>
            <w:tcW w:w="3233"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tcPr>
          <w:p w14:paraId="1987E36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确定依据</w:t>
            </w:r>
          </w:p>
        </w:tc>
      </w:tr>
      <w:tr w14:paraId="1976EFFB">
        <w:tblPrEx>
          <w:tblCellMar>
            <w:top w:w="15" w:type="dxa"/>
            <w:left w:w="15" w:type="dxa"/>
            <w:bottom w:w="15" w:type="dxa"/>
            <w:right w:w="15" w:type="dxa"/>
          </w:tblCellMar>
        </w:tblPrEx>
        <w:trPr>
          <w:trHeight w:val="340" w:hRule="atLeast"/>
        </w:trPr>
        <w:tc>
          <w:tcPr>
            <w:tcW w:w="176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3844D72">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应收票据组合1</w:t>
            </w:r>
          </w:p>
        </w:tc>
        <w:tc>
          <w:tcPr>
            <w:tcW w:w="3233" w:type="pct"/>
            <w:tcBorders>
              <w:top w:val="nil"/>
              <w:left w:val="nil"/>
              <w:bottom w:val="single" w:color="auto" w:sz="8" w:space="0"/>
              <w:right w:val="single" w:color="auto" w:sz="8" w:space="0"/>
            </w:tcBorders>
            <w:tcMar>
              <w:top w:w="0" w:type="dxa"/>
              <w:left w:w="108" w:type="dxa"/>
              <w:bottom w:w="0" w:type="dxa"/>
              <w:right w:w="108" w:type="dxa"/>
            </w:tcMar>
          </w:tcPr>
          <w:p w14:paraId="76A5C579">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本组合为信用等级较高银行承兑的银行承兑汇票</w:t>
            </w:r>
          </w:p>
        </w:tc>
      </w:tr>
      <w:tr w14:paraId="349B13CF">
        <w:tblPrEx>
          <w:tblCellMar>
            <w:top w:w="15" w:type="dxa"/>
            <w:left w:w="15" w:type="dxa"/>
            <w:bottom w:w="15" w:type="dxa"/>
            <w:right w:w="15" w:type="dxa"/>
          </w:tblCellMar>
        </w:tblPrEx>
        <w:trPr>
          <w:trHeight w:val="340" w:hRule="atLeast"/>
        </w:trPr>
        <w:tc>
          <w:tcPr>
            <w:tcW w:w="176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BA2545">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应收票据组合2</w:t>
            </w:r>
          </w:p>
        </w:tc>
        <w:tc>
          <w:tcPr>
            <w:tcW w:w="3233" w:type="pct"/>
            <w:tcBorders>
              <w:top w:val="nil"/>
              <w:left w:val="nil"/>
              <w:bottom w:val="single" w:color="auto" w:sz="8" w:space="0"/>
              <w:right w:val="single" w:color="auto" w:sz="8" w:space="0"/>
            </w:tcBorders>
            <w:tcMar>
              <w:top w:w="0" w:type="dxa"/>
              <w:left w:w="108" w:type="dxa"/>
              <w:bottom w:w="0" w:type="dxa"/>
              <w:right w:w="108" w:type="dxa"/>
            </w:tcMar>
          </w:tcPr>
          <w:p w14:paraId="494B7A46">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本组合为信用等级一般银行承兑的银行承兑汇票以及商业承兑汇票</w:t>
            </w:r>
          </w:p>
        </w:tc>
      </w:tr>
    </w:tbl>
    <w:p w14:paraId="655EBDB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注：信用等级较高银行是指信用等级较高的6家大型商业银行和9 家上市股份制商业银行。6家大型商业银行分别为中国银行、中国农业银行、中国建设银行、中国工商银行、中国邮政储蓄银行、交通银行，9 家上市股份制商业银行分别为招商银行、浦发银行、中信银行、中国光大银行、华夏银行、中国民生银行、平安银行、兴业银行、浙商银行。上述银行信用良好，拥有国资背景或为上市银行，资金实力雄厚，经营情况良好，根据银行主体评级情况，上述银行主体评级均达到 AAA 级且未来展望稳定，公开信息未发现曾出现票据违约到期无法兑付的负面新闻，因此本集团将其划分为信用等级较高银行，且不计坏账准备。除上述信用等级较高银行以外的其他银行划分为信用等级一般银行。</w:t>
      </w:r>
    </w:p>
    <w:p w14:paraId="5C55A0D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基于账龄确认信用风险特征组合的账龄计算方法</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261"/>
        <w:gridCol w:w="3297"/>
        <w:gridCol w:w="3295"/>
      </w:tblGrid>
      <w:tr w14:paraId="062F9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shd w:val="clear" w:color="auto" w:fill="D8D8D8" w:themeFill="background1" w:themeFillShade="D9"/>
            <w:tcMar>
              <w:top w:w="0" w:type="dxa"/>
              <w:left w:w="108" w:type="dxa"/>
              <w:bottom w:w="0" w:type="dxa"/>
              <w:right w:w="108" w:type="dxa"/>
            </w:tcMar>
            <w:vAlign w:val="center"/>
          </w:tcPr>
          <w:p w14:paraId="5626D12B">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账龄</w:t>
            </w:r>
          </w:p>
        </w:tc>
        <w:tc>
          <w:tcPr>
            <w:tcW w:w="1673" w:type="pct"/>
            <w:shd w:val="clear" w:color="auto" w:fill="D8D8D8" w:themeFill="background1" w:themeFillShade="D9"/>
            <w:tcMar>
              <w:top w:w="0" w:type="dxa"/>
              <w:left w:w="108" w:type="dxa"/>
              <w:bottom w:w="0" w:type="dxa"/>
              <w:right w:w="108" w:type="dxa"/>
            </w:tcMar>
          </w:tcPr>
          <w:p w14:paraId="378EE50B">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应收票据组合1</w:t>
            </w:r>
          </w:p>
          <w:p w14:paraId="2A4AE8E5">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预期信用损失率（%）</w:t>
            </w:r>
          </w:p>
        </w:tc>
        <w:tc>
          <w:tcPr>
            <w:tcW w:w="1673" w:type="pct"/>
            <w:shd w:val="clear" w:color="auto" w:fill="D8D8D8" w:themeFill="background1" w:themeFillShade="D9"/>
            <w:tcMar>
              <w:top w:w="0" w:type="dxa"/>
              <w:left w:w="108" w:type="dxa"/>
              <w:bottom w:w="0" w:type="dxa"/>
              <w:right w:w="108" w:type="dxa"/>
            </w:tcMar>
          </w:tcPr>
          <w:p w14:paraId="0D147BC5">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应收票据组合2</w:t>
            </w:r>
          </w:p>
          <w:p w14:paraId="3336AEAB">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预期信用损失率（%）</w:t>
            </w:r>
          </w:p>
        </w:tc>
      </w:tr>
      <w:tr w14:paraId="6B23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2E5FED1D">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1年以内（含1年）</w:t>
            </w:r>
          </w:p>
        </w:tc>
        <w:tc>
          <w:tcPr>
            <w:tcW w:w="1673" w:type="pct"/>
            <w:tcMar>
              <w:top w:w="0" w:type="dxa"/>
              <w:left w:w="108" w:type="dxa"/>
              <w:bottom w:w="0" w:type="dxa"/>
              <w:right w:w="108" w:type="dxa"/>
            </w:tcMar>
          </w:tcPr>
          <w:p w14:paraId="747DF195">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3690D233">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r w14:paraId="5B1CB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6CA83410">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1-2年</w:t>
            </w:r>
          </w:p>
        </w:tc>
        <w:tc>
          <w:tcPr>
            <w:tcW w:w="1673" w:type="pct"/>
            <w:tcMar>
              <w:top w:w="0" w:type="dxa"/>
              <w:left w:w="108" w:type="dxa"/>
              <w:bottom w:w="0" w:type="dxa"/>
              <w:right w:w="108" w:type="dxa"/>
            </w:tcMar>
          </w:tcPr>
          <w:p w14:paraId="5CE4703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33DF5832">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w:t>
            </w:r>
          </w:p>
        </w:tc>
      </w:tr>
      <w:tr w14:paraId="1D7AF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0EA88A59">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2-3年</w:t>
            </w:r>
          </w:p>
        </w:tc>
        <w:tc>
          <w:tcPr>
            <w:tcW w:w="1673" w:type="pct"/>
            <w:tcMar>
              <w:top w:w="0" w:type="dxa"/>
              <w:left w:w="108" w:type="dxa"/>
              <w:bottom w:w="0" w:type="dxa"/>
              <w:right w:w="108" w:type="dxa"/>
            </w:tcMar>
          </w:tcPr>
          <w:p w14:paraId="72871393">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6460C2B6">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30</w:t>
            </w:r>
          </w:p>
        </w:tc>
      </w:tr>
      <w:tr w14:paraId="139BB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38A3DAF4">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3-4年</w:t>
            </w:r>
          </w:p>
        </w:tc>
        <w:tc>
          <w:tcPr>
            <w:tcW w:w="1673" w:type="pct"/>
            <w:tcMar>
              <w:top w:w="0" w:type="dxa"/>
              <w:left w:w="108" w:type="dxa"/>
              <w:bottom w:w="0" w:type="dxa"/>
              <w:right w:w="108" w:type="dxa"/>
            </w:tcMar>
          </w:tcPr>
          <w:p w14:paraId="51086105">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08E8273A">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50</w:t>
            </w:r>
          </w:p>
        </w:tc>
      </w:tr>
      <w:tr w14:paraId="73252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28EEDE31">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4-5年</w:t>
            </w:r>
          </w:p>
        </w:tc>
        <w:tc>
          <w:tcPr>
            <w:tcW w:w="1673" w:type="pct"/>
            <w:tcMar>
              <w:top w:w="0" w:type="dxa"/>
              <w:left w:w="108" w:type="dxa"/>
              <w:bottom w:w="0" w:type="dxa"/>
              <w:right w:w="108" w:type="dxa"/>
            </w:tcMar>
          </w:tcPr>
          <w:p w14:paraId="1F93616C">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0042524A">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80</w:t>
            </w:r>
          </w:p>
        </w:tc>
      </w:tr>
      <w:tr w14:paraId="4D251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655" w:type="pct"/>
            <w:tcMar>
              <w:top w:w="0" w:type="dxa"/>
              <w:left w:w="108" w:type="dxa"/>
              <w:bottom w:w="0" w:type="dxa"/>
              <w:right w:w="108" w:type="dxa"/>
            </w:tcMar>
            <w:vAlign w:val="center"/>
          </w:tcPr>
          <w:p w14:paraId="62E2DD4A">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5年以上</w:t>
            </w:r>
          </w:p>
        </w:tc>
        <w:tc>
          <w:tcPr>
            <w:tcW w:w="1673" w:type="pct"/>
            <w:tcMar>
              <w:top w:w="0" w:type="dxa"/>
              <w:left w:w="108" w:type="dxa"/>
              <w:bottom w:w="0" w:type="dxa"/>
              <w:right w:w="108" w:type="dxa"/>
            </w:tcMar>
          </w:tcPr>
          <w:p w14:paraId="0BB561F4">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w:t>
            </w:r>
          </w:p>
        </w:tc>
        <w:tc>
          <w:tcPr>
            <w:tcW w:w="1673" w:type="pct"/>
            <w:tcMar>
              <w:top w:w="0" w:type="dxa"/>
              <w:left w:w="108" w:type="dxa"/>
              <w:bottom w:w="0" w:type="dxa"/>
              <w:right w:w="108" w:type="dxa"/>
            </w:tcMar>
            <w:vAlign w:val="center"/>
          </w:tcPr>
          <w:p w14:paraId="6758F32A">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100</w:t>
            </w:r>
          </w:p>
        </w:tc>
      </w:tr>
    </w:tbl>
    <w:p w14:paraId="4D80925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对于存在客观证据表明存在减值，以及其他适用于单项评估的应收票据单独进行减值测试，确认预期信用损失，计提单项减值准备。</w:t>
      </w:r>
    </w:p>
    <w:p w14:paraId="2B7166FF">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12.2预期信用损失的会计处理方法</w:t>
      </w:r>
    </w:p>
    <w:p w14:paraId="52B1046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信用损失准备的增加或转回金额，作为减值损失或利得计入当期损益。</w:t>
      </w:r>
    </w:p>
    <w:p w14:paraId="5F8F5AD0">
      <w:pPr>
        <w:pStyle w:val="3"/>
        <w:spacing w:line="280" w:lineRule="exact"/>
        <w:jc w:val="left"/>
        <w:rPr>
          <w:rFonts w:ascii="Times New Roman" w:hAnsi="Times New Roman" w:cs="Times New Roman" w:eastAsiaTheme="majorEastAsia"/>
          <w:b/>
          <w:bCs/>
        </w:rPr>
      </w:pPr>
      <w:bookmarkStart w:id="179" w:name="_Toc989068"/>
      <w:r>
        <w:rPr>
          <w:rFonts w:ascii="Times New Roman" w:hAnsi="Times New Roman" w:cs="Times New Roman" w:eastAsiaTheme="majorEastAsia"/>
          <w:b/>
          <w:bCs/>
        </w:rPr>
        <w:t>13、应收账款</w:t>
      </w:r>
      <w:bookmarkEnd w:id="179"/>
    </w:p>
    <w:p w14:paraId="32272A4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应收账款项目，反映资产负债表日以摊余成本计量的、企业因销售商品、提供服务等经营活动应收取的款项。</w:t>
      </w:r>
    </w:p>
    <w:p w14:paraId="7149DAA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13.1预期信用损失的确定方法</w:t>
      </w:r>
    </w:p>
    <w:p w14:paraId="7446587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本公司对由收入准则规范的交易形成的应收款项（无论是否包含重大融资成分），按照相当于整个存续期内预期信用损失的金额计量损失准备。</w:t>
      </w:r>
    </w:p>
    <w:p w14:paraId="5A8D845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公司基于单项和组合评估应收款项的预期信用损失。如果有客观证据表明某项应收款项已经发生信用减值，则本公司对该应收款项在单项资产的基础上确定预期信用损失。对于划分为组合的应收款项，本公司参考历史信用损失经验，结合当前状况以及对未来经济状况的预测，通过违约风险敞口和整个存续期预期信用损失率，计算预期信用损失。</w:t>
      </w:r>
    </w:p>
    <w:p w14:paraId="7E364DA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除了单项评估信用风险的应收账款外，基于其信用风险特征，将其划分为不同组合：</w:t>
      </w:r>
    </w:p>
    <w:tbl>
      <w:tblPr>
        <w:tblStyle w:val="12"/>
        <w:tblW w:w="4884" w:type="pct"/>
        <w:tblInd w:w="0" w:type="dxa"/>
        <w:tblLayout w:type="autofit"/>
        <w:tblCellMar>
          <w:top w:w="15" w:type="dxa"/>
          <w:left w:w="15" w:type="dxa"/>
          <w:bottom w:w="15" w:type="dxa"/>
          <w:right w:w="15" w:type="dxa"/>
        </w:tblCellMar>
      </w:tblPr>
      <w:tblGrid>
        <w:gridCol w:w="3401"/>
        <w:gridCol w:w="6223"/>
      </w:tblGrid>
      <w:tr w14:paraId="45343830">
        <w:tblPrEx>
          <w:tblCellMar>
            <w:top w:w="15" w:type="dxa"/>
            <w:left w:w="15" w:type="dxa"/>
            <w:bottom w:w="15" w:type="dxa"/>
            <w:right w:w="15" w:type="dxa"/>
          </w:tblCellMar>
        </w:tblPrEx>
        <w:trPr>
          <w:trHeight w:val="340" w:hRule="atLeast"/>
          <w:tblHeader/>
        </w:trPr>
        <w:tc>
          <w:tcPr>
            <w:tcW w:w="1767"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A8B9971">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组合名称</w:t>
            </w:r>
          </w:p>
        </w:tc>
        <w:tc>
          <w:tcPr>
            <w:tcW w:w="3233"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0417E719">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确定依据</w:t>
            </w:r>
          </w:p>
        </w:tc>
      </w:tr>
      <w:tr w14:paraId="6178042C">
        <w:tblPrEx>
          <w:tblCellMar>
            <w:top w:w="15" w:type="dxa"/>
            <w:left w:w="15" w:type="dxa"/>
            <w:bottom w:w="15" w:type="dxa"/>
            <w:right w:w="15" w:type="dxa"/>
          </w:tblCellMar>
        </w:tblPrEx>
        <w:trPr>
          <w:trHeight w:val="340" w:hRule="atLeast"/>
        </w:trPr>
        <w:tc>
          <w:tcPr>
            <w:tcW w:w="176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79AAFC7">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应收账款组合1</w:t>
            </w:r>
          </w:p>
        </w:tc>
        <w:tc>
          <w:tcPr>
            <w:tcW w:w="3233" w:type="pct"/>
            <w:tcBorders>
              <w:top w:val="nil"/>
              <w:left w:val="nil"/>
              <w:bottom w:val="single" w:color="auto" w:sz="8" w:space="0"/>
              <w:right w:val="single" w:color="auto" w:sz="8" w:space="0"/>
            </w:tcBorders>
            <w:tcMar>
              <w:top w:w="0" w:type="dxa"/>
              <w:left w:w="108" w:type="dxa"/>
              <w:bottom w:w="0" w:type="dxa"/>
              <w:right w:w="108" w:type="dxa"/>
            </w:tcMar>
            <w:vAlign w:val="center"/>
          </w:tcPr>
          <w:p w14:paraId="70B7FCAB">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本组合为政府部门、教育医疗单位的应收款项</w:t>
            </w:r>
          </w:p>
        </w:tc>
      </w:tr>
      <w:tr w14:paraId="60D33AE8">
        <w:tblPrEx>
          <w:tblCellMar>
            <w:top w:w="15" w:type="dxa"/>
            <w:left w:w="15" w:type="dxa"/>
            <w:bottom w:w="15" w:type="dxa"/>
            <w:right w:w="15" w:type="dxa"/>
          </w:tblCellMar>
        </w:tblPrEx>
        <w:trPr>
          <w:trHeight w:val="340" w:hRule="atLeast"/>
        </w:trPr>
        <w:tc>
          <w:tcPr>
            <w:tcW w:w="1767"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B87A319">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应收账款组合2</w:t>
            </w:r>
          </w:p>
        </w:tc>
        <w:tc>
          <w:tcPr>
            <w:tcW w:w="3233" w:type="pct"/>
            <w:tcBorders>
              <w:top w:val="nil"/>
              <w:left w:val="nil"/>
              <w:bottom w:val="single" w:color="auto" w:sz="8" w:space="0"/>
              <w:right w:val="single" w:color="auto" w:sz="8" w:space="0"/>
            </w:tcBorders>
            <w:tcMar>
              <w:top w:w="0" w:type="dxa"/>
              <w:left w:w="108" w:type="dxa"/>
              <w:bottom w:w="0" w:type="dxa"/>
              <w:right w:w="108" w:type="dxa"/>
            </w:tcMar>
            <w:vAlign w:val="center"/>
          </w:tcPr>
          <w:p w14:paraId="179499BE">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本组合为企业及其他单位的应收款项</w:t>
            </w:r>
          </w:p>
        </w:tc>
      </w:tr>
    </w:tbl>
    <w:p w14:paraId="1C030627">
      <w:pPr>
        <w:pStyle w:val="10"/>
        <w:spacing w:before="145" w:beforeAutospacing="0" w:after="0" w:afterAutospacing="0" w:line="360" w:lineRule="auto"/>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基于账龄确认信用风险特征组合的账龄计算方法如下：</w:t>
      </w:r>
    </w:p>
    <w:tbl>
      <w:tblPr>
        <w:tblStyle w:val="12"/>
        <w:tblW w:w="5000" w:type="pct"/>
        <w:tblInd w:w="0" w:type="dxa"/>
        <w:tblLayout w:type="autofit"/>
        <w:tblCellMar>
          <w:top w:w="15" w:type="dxa"/>
          <w:left w:w="15" w:type="dxa"/>
          <w:bottom w:w="15" w:type="dxa"/>
          <w:right w:w="15" w:type="dxa"/>
        </w:tblCellMar>
      </w:tblPr>
      <w:tblGrid>
        <w:gridCol w:w="3261"/>
        <w:gridCol w:w="3297"/>
        <w:gridCol w:w="3295"/>
      </w:tblGrid>
      <w:tr w14:paraId="0C4CBAA6">
        <w:tblPrEx>
          <w:tblCellMar>
            <w:top w:w="15" w:type="dxa"/>
            <w:left w:w="15" w:type="dxa"/>
            <w:bottom w:w="15" w:type="dxa"/>
            <w:right w:w="15" w:type="dxa"/>
          </w:tblCellMar>
        </w:tblPrEx>
        <w:trPr>
          <w:trHeight w:val="283" w:hRule="atLeast"/>
          <w:tblHeader/>
        </w:trPr>
        <w:tc>
          <w:tcPr>
            <w:tcW w:w="1655"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64802FC5">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21"/>
                <w:szCs w:val="21"/>
              </w:rPr>
              <w:t>账龄</w:t>
            </w:r>
          </w:p>
        </w:tc>
        <w:tc>
          <w:tcPr>
            <w:tcW w:w="1673"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549B99BE">
            <w:pPr>
              <w:pStyle w:val="10"/>
              <w:spacing w:before="0" w:beforeAutospacing="0" w:after="0" w:afterAutospacing="0" w:line="36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应收账款组合1</w:t>
            </w:r>
          </w:p>
          <w:p w14:paraId="4C6E5F1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预期信用损失率（%）</w:t>
            </w:r>
          </w:p>
        </w:tc>
        <w:tc>
          <w:tcPr>
            <w:tcW w:w="1672"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5C7A48EB">
            <w:pPr>
              <w:pStyle w:val="10"/>
              <w:spacing w:before="0" w:beforeAutospacing="0" w:after="0" w:afterAutospacing="0" w:line="36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应收账款组合2</w:t>
            </w:r>
          </w:p>
          <w:p w14:paraId="436BBDE6">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预期信用损失率（%）</w:t>
            </w:r>
          </w:p>
        </w:tc>
      </w:tr>
      <w:tr w14:paraId="0B3657BD">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143D1A4E">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1年以内（含1年）</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4E47B677">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513AE725">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r w14:paraId="598A9BB6">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6C972C00">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1-2年</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3C5E268B">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0BD8E6CC">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w:t>
            </w:r>
          </w:p>
        </w:tc>
      </w:tr>
      <w:tr w14:paraId="3D1DD54E">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6AF602AC">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2-3年</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491F860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30</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0190F26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30</w:t>
            </w:r>
          </w:p>
        </w:tc>
      </w:tr>
      <w:tr w14:paraId="199CE06F">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1F2845DB">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3-4年</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6C0F38C1">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50</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120ED6D9">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50</w:t>
            </w:r>
          </w:p>
        </w:tc>
      </w:tr>
      <w:tr w14:paraId="3F32B339">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615B85BC">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4-5年</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2C4DCA91">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80</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02F86ECF">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100</w:t>
            </w:r>
          </w:p>
        </w:tc>
      </w:tr>
      <w:tr w14:paraId="26C59F36">
        <w:tblPrEx>
          <w:tblCellMar>
            <w:top w:w="15" w:type="dxa"/>
            <w:left w:w="15" w:type="dxa"/>
            <w:bottom w:w="15" w:type="dxa"/>
            <w:right w:w="15" w:type="dxa"/>
          </w:tblCellMar>
        </w:tblPrEx>
        <w:trPr>
          <w:trHeight w:val="283" w:hRule="atLeast"/>
        </w:trPr>
        <w:tc>
          <w:tcPr>
            <w:tcW w:w="1655" w:type="pct"/>
            <w:tcBorders>
              <w:top w:val="nil"/>
              <w:left w:val="single" w:color="auto" w:sz="8" w:space="0"/>
              <w:bottom w:val="single" w:color="auto" w:sz="8" w:space="0"/>
              <w:right w:val="single" w:color="auto" w:sz="8" w:space="0"/>
            </w:tcBorders>
            <w:tcMar>
              <w:top w:w="0" w:type="dxa"/>
              <w:left w:w="108" w:type="dxa"/>
              <w:bottom w:w="0" w:type="dxa"/>
              <w:right w:w="108" w:type="dxa"/>
            </w:tcMar>
          </w:tcPr>
          <w:p w14:paraId="4455BD96">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5年以上</w:t>
            </w:r>
          </w:p>
        </w:tc>
        <w:tc>
          <w:tcPr>
            <w:tcW w:w="1673" w:type="pct"/>
            <w:tcBorders>
              <w:top w:val="nil"/>
              <w:left w:val="nil"/>
              <w:bottom w:val="single" w:color="auto" w:sz="8" w:space="0"/>
              <w:right w:val="single" w:color="auto" w:sz="8" w:space="0"/>
            </w:tcBorders>
            <w:tcMar>
              <w:top w:w="0" w:type="dxa"/>
              <w:left w:w="108" w:type="dxa"/>
              <w:bottom w:w="0" w:type="dxa"/>
              <w:right w:w="108" w:type="dxa"/>
            </w:tcMar>
          </w:tcPr>
          <w:p w14:paraId="2BD01C52">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100</w:t>
            </w:r>
          </w:p>
        </w:tc>
        <w:tc>
          <w:tcPr>
            <w:tcW w:w="1672" w:type="pct"/>
            <w:tcBorders>
              <w:top w:val="nil"/>
              <w:left w:val="nil"/>
              <w:bottom w:val="single" w:color="auto" w:sz="8" w:space="0"/>
              <w:right w:val="single" w:color="auto" w:sz="8" w:space="0"/>
            </w:tcBorders>
            <w:tcMar>
              <w:top w:w="0" w:type="dxa"/>
              <w:left w:w="108" w:type="dxa"/>
              <w:bottom w:w="0" w:type="dxa"/>
              <w:right w:w="108" w:type="dxa"/>
            </w:tcMar>
          </w:tcPr>
          <w:p w14:paraId="623A9CC4">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100</w:t>
            </w:r>
          </w:p>
        </w:tc>
      </w:tr>
    </w:tbl>
    <w:p w14:paraId="0961445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对于存在客观证据表明存在减值，以及其他适用于单项评估的应收账款单独进行减值测试，确认预期信用损失，计提单项减值准备。</w:t>
      </w:r>
    </w:p>
    <w:p w14:paraId="3E7356F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13.2预期信用损失的会计处理方法</w:t>
      </w:r>
    </w:p>
    <w:p w14:paraId="013E3F9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信用损失准备的增加或转回金额，作为减值损失或利得计入当期损益。</w:t>
      </w:r>
    </w:p>
    <w:p w14:paraId="0739E622">
      <w:pPr>
        <w:pStyle w:val="3"/>
        <w:spacing w:line="280" w:lineRule="exact"/>
        <w:jc w:val="left"/>
        <w:rPr>
          <w:rFonts w:ascii="Times New Roman" w:hAnsi="Times New Roman" w:cs="Times New Roman" w:eastAsiaTheme="majorEastAsia"/>
          <w:b/>
          <w:bCs/>
        </w:rPr>
      </w:pPr>
      <w:bookmarkStart w:id="180" w:name="_Toc989069"/>
      <w:r>
        <w:rPr>
          <w:rFonts w:ascii="Times New Roman" w:hAnsi="Times New Roman" w:cs="Times New Roman" w:eastAsiaTheme="majorEastAsia"/>
          <w:b/>
          <w:bCs/>
        </w:rPr>
        <w:t>14、应收款项融资</w:t>
      </w:r>
      <w:bookmarkEnd w:id="180"/>
    </w:p>
    <w:p w14:paraId="21F53BD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应收款项融资项目，反映资产负债表日以公允价值计量且其变动计入其他综合收益的应收票据和应收账款等。</w:t>
      </w:r>
    </w:p>
    <w:p w14:paraId="31F7A73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此类金融资产的业务模式为既以收取合同现金流量为目标又以出售为目标，且此类金融资产的合同现金流量特征与基本借贷安排相一致。按照公允价值计量且其变动计入其他综合收益，但减值损失或利得、汇兑损益和按照实际利率法计算的利息收入计入当期损益。</w:t>
      </w:r>
    </w:p>
    <w:p w14:paraId="3B25A62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除了单项评估信用风险的应收款项融资外，基于其信用风险特征，将其划分为不同组合：</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909"/>
        <w:gridCol w:w="6944"/>
      </w:tblGrid>
      <w:tr w14:paraId="783E2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1476" w:type="pct"/>
            <w:shd w:val="clear" w:color="auto" w:fill="D8D8D8" w:themeFill="background1" w:themeFillShade="D9"/>
            <w:tcMar>
              <w:top w:w="0" w:type="dxa"/>
              <w:left w:w="108" w:type="dxa"/>
              <w:bottom w:w="0" w:type="dxa"/>
              <w:right w:w="108" w:type="dxa"/>
            </w:tcMar>
          </w:tcPr>
          <w:p w14:paraId="365696A9">
            <w:pPr>
              <w:pStyle w:val="10"/>
              <w:spacing w:before="0" w:beforeAutospacing="0" w:after="0" w:afterAutospacing="0"/>
              <w:ind w:firstLine="42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项 目</w:t>
            </w:r>
          </w:p>
        </w:tc>
        <w:tc>
          <w:tcPr>
            <w:tcW w:w="3524" w:type="pct"/>
            <w:shd w:val="clear" w:color="auto" w:fill="D8D8D8" w:themeFill="background1" w:themeFillShade="D9"/>
            <w:tcMar>
              <w:top w:w="0" w:type="dxa"/>
              <w:left w:w="108" w:type="dxa"/>
              <w:bottom w:w="0" w:type="dxa"/>
              <w:right w:w="108" w:type="dxa"/>
            </w:tcMar>
          </w:tcPr>
          <w:p w14:paraId="2774CA7C">
            <w:pPr>
              <w:pStyle w:val="10"/>
              <w:spacing w:before="0" w:beforeAutospacing="0" w:after="0" w:afterAutospacing="0"/>
              <w:ind w:firstLine="42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确定组合的依据</w:t>
            </w:r>
          </w:p>
        </w:tc>
      </w:tr>
      <w:tr w14:paraId="6055B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1476" w:type="pct"/>
            <w:noWrap/>
            <w:tcMar>
              <w:top w:w="0" w:type="dxa"/>
              <w:left w:w="108" w:type="dxa"/>
              <w:bottom w:w="0" w:type="dxa"/>
              <w:right w:w="108" w:type="dxa"/>
            </w:tcMar>
            <w:vAlign w:val="center"/>
          </w:tcPr>
          <w:p w14:paraId="2C223BD2">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应收款项融资组合1</w:t>
            </w:r>
          </w:p>
        </w:tc>
        <w:tc>
          <w:tcPr>
            <w:tcW w:w="3524" w:type="pct"/>
            <w:noWrap/>
            <w:tcMar>
              <w:top w:w="0" w:type="dxa"/>
              <w:left w:w="108" w:type="dxa"/>
              <w:bottom w:w="0" w:type="dxa"/>
              <w:right w:w="108" w:type="dxa"/>
            </w:tcMar>
            <w:vAlign w:val="center"/>
          </w:tcPr>
          <w:p w14:paraId="0F1CE760">
            <w:pPr>
              <w:pStyle w:val="10"/>
              <w:spacing w:before="0" w:beforeAutospacing="0" w:after="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本组合为信用等级较高银行承兑的银行承兑汇票</w:t>
            </w:r>
          </w:p>
        </w:tc>
      </w:tr>
      <w:tr w14:paraId="0D66C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 w:hRule="atLeast"/>
        </w:trPr>
        <w:tc>
          <w:tcPr>
            <w:tcW w:w="1476" w:type="pct"/>
            <w:noWrap/>
            <w:tcMar>
              <w:top w:w="0" w:type="dxa"/>
              <w:left w:w="108" w:type="dxa"/>
              <w:bottom w:w="0" w:type="dxa"/>
              <w:right w:w="108" w:type="dxa"/>
            </w:tcMar>
            <w:vAlign w:val="center"/>
          </w:tcPr>
          <w:p w14:paraId="7741C1C2">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应收款项融资组合2</w:t>
            </w:r>
          </w:p>
        </w:tc>
        <w:tc>
          <w:tcPr>
            <w:tcW w:w="3524" w:type="pct"/>
            <w:noWrap/>
            <w:tcMar>
              <w:top w:w="0" w:type="dxa"/>
              <w:left w:w="108" w:type="dxa"/>
              <w:bottom w:w="0" w:type="dxa"/>
              <w:right w:w="108" w:type="dxa"/>
            </w:tcMar>
            <w:vAlign w:val="center"/>
          </w:tcPr>
          <w:p w14:paraId="7C5DFB6C">
            <w:pPr>
              <w:pStyle w:val="10"/>
              <w:spacing w:before="0" w:beforeAutospacing="0" w:after="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本组合为应收客户账款</w:t>
            </w:r>
          </w:p>
        </w:tc>
      </w:tr>
    </w:tbl>
    <w:p w14:paraId="6E967467">
      <w:pPr>
        <w:pStyle w:val="3"/>
        <w:spacing w:line="280" w:lineRule="exact"/>
        <w:jc w:val="left"/>
        <w:rPr>
          <w:rFonts w:ascii="Times New Roman" w:hAnsi="Times New Roman" w:cs="Times New Roman" w:eastAsiaTheme="majorEastAsia"/>
          <w:b/>
          <w:bCs/>
        </w:rPr>
      </w:pPr>
      <w:bookmarkStart w:id="181" w:name="_Toc989070"/>
      <w:r>
        <w:rPr>
          <w:rFonts w:ascii="Times New Roman" w:hAnsi="Times New Roman" w:cs="Times New Roman" w:eastAsiaTheme="majorEastAsia"/>
          <w:b/>
          <w:bCs/>
        </w:rPr>
        <w:t>15、其他应收款</w:t>
      </w:r>
      <w:bookmarkEnd w:id="181"/>
    </w:p>
    <w:p w14:paraId="2D73238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sz w:val="21"/>
          <w:szCs w:val="21"/>
        </w:rPr>
        <w:t>其他应收款项目，反映资产负债表日“应收利息”、“应收股利”和“其他应收款”。其中的“应收利息”</w:t>
      </w:r>
      <w:r>
        <w:rPr>
          <w:rFonts w:ascii="Times New Roman" w:hAnsi="Times New Roman" w:cs="Times New Roman" w:eastAsiaTheme="majorEastAsia"/>
          <w:sz w:val="21"/>
          <w:szCs w:val="21"/>
        </w:rPr>
        <w:t>仅反映相关金融工具已到期可收取但于资产负债表日尚未收到的利息。</w:t>
      </w:r>
    </w:p>
    <w:p w14:paraId="3015896F">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15.1预期信用损失的确定方法</w:t>
      </w:r>
    </w:p>
    <w:p w14:paraId="4AF7241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本公司基于单项和组合评估其他应收款的预期信用损失。如果有客观证据表明某项其他应收款已经发生信用减值，则本公司对该其他应收款在单项资产的基础上确定预期信用损失。</w:t>
      </w:r>
    </w:p>
    <w:p w14:paraId="0480B01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对于划分为组合的其他应收款，本公司依据其信用风险自初始确认后是否已经显著增加，采用相当于未来12个月内或整个存续期的预期信用损失的金额计量减值损失。</w:t>
      </w:r>
    </w:p>
    <w:p w14:paraId="2195115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除了单项评估信用风险的其他应收款外，基于其信用风险特征，将其划分为不同组合：</w:t>
      </w:r>
    </w:p>
    <w:tbl>
      <w:tblPr>
        <w:tblStyle w:val="12"/>
        <w:tblW w:w="4884" w:type="pct"/>
        <w:tblInd w:w="0" w:type="dxa"/>
        <w:tblLayout w:type="autofit"/>
        <w:tblCellMar>
          <w:top w:w="15" w:type="dxa"/>
          <w:left w:w="15" w:type="dxa"/>
          <w:bottom w:w="15" w:type="dxa"/>
          <w:right w:w="15" w:type="dxa"/>
        </w:tblCellMar>
      </w:tblPr>
      <w:tblGrid>
        <w:gridCol w:w="3565"/>
        <w:gridCol w:w="6059"/>
      </w:tblGrid>
      <w:tr w14:paraId="10769DEA">
        <w:tblPrEx>
          <w:tblCellMar>
            <w:top w:w="15" w:type="dxa"/>
            <w:left w:w="15" w:type="dxa"/>
            <w:bottom w:w="15" w:type="dxa"/>
            <w:right w:w="15" w:type="dxa"/>
          </w:tblCellMar>
        </w:tblPrEx>
        <w:trPr>
          <w:trHeight w:val="20" w:hRule="atLeast"/>
          <w:tblHeader/>
        </w:trPr>
        <w:tc>
          <w:tcPr>
            <w:tcW w:w="1852"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6EAA406A">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组合名称</w:t>
            </w:r>
          </w:p>
        </w:tc>
        <w:tc>
          <w:tcPr>
            <w:tcW w:w="3148"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5AC4CC18">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确定依据</w:t>
            </w:r>
          </w:p>
        </w:tc>
      </w:tr>
      <w:tr w14:paraId="35A92BC2">
        <w:tblPrEx>
          <w:tblCellMar>
            <w:top w:w="15" w:type="dxa"/>
            <w:left w:w="15" w:type="dxa"/>
            <w:bottom w:w="15" w:type="dxa"/>
            <w:right w:w="15" w:type="dxa"/>
          </w:tblCellMar>
        </w:tblPrEx>
        <w:trPr>
          <w:trHeight w:val="20" w:hRule="atLeast"/>
        </w:trPr>
        <w:tc>
          <w:tcPr>
            <w:tcW w:w="1852"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D8665B9">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其他应收款组合1</w:t>
            </w:r>
          </w:p>
        </w:tc>
        <w:tc>
          <w:tcPr>
            <w:tcW w:w="3148" w:type="pct"/>
            <w:tcBorders>
              <w:top w:val="nil"/>
              <w:left w:val="nil"/>
              <w:bottom w:val="single" w:color="auto" w:sz="8" w:space="0"/>
              <w:right w:val="single" w:color="auto" w:sz="8" w:space="0"/>
            </w:tcBorders>
            <w:tcMar>
              <w:top w:w="0" w:type="dxa"/>
              <w:left w:w="108" w:type="dxa"/>
              <w:bottom w:w="0" w:type="dxa"/>
              <w:right w:w="108" w:type="dxa"/>
            </w:tcMar>
            <w:vAlign w:val="center"/>
          </w:tcPr>
          <w:p w14:paraId="34001B89">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本组合为日常经常活动中应收取的各类押金、投标保证金、履约保证金、质量保证金等应收款项</w:t>
            </w:r>
          </w:p>
        </w:tc>
      </w:tr>
      <w:tr w14:paraId="3805F948">
        <w:tblPrEx>
          <w:tblCellMar>
            <w:top w:w="15" w:type="dxa"/>
            <w:left w:w="15" w:type="dxa"/>
            <w:bottom w:w="15" w:type="dxa"/>
            <w:right w:w="15" w:type="dxa"/>
          </w:tblCellMar>
        </w:tblPrEx>
        <w:trPr>
          <w:trHeight w:val="20" w:hRule="atLeast"/>
        </w:trPr>
        <w:tc>
          <w:tcPr>
            <w:tcW w:w="1852"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F6BBB08">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其他应收款组合2</w:t>
            </w:r>
          </w:p>
        </w:tc>
        <w:tc>
          <w:tcPr>
            <w:tcW w:w="3148" w:type="pct"/>
            <w:tcBorders>
              <w:top w:val="nil"/>
              <w:left w:val="nil"/>
              <w:bottom w:val="single" w:color="auto" w:sz="8" w:space="0"/>
              <w:right w:val="single" w:color="auto" w:sz="8" w:space="0"/>
            </w:tcBorders>
            <w:tcMar>
              <w:top w:w="0" w:type="dxa"/>
              <w:left w:w="108" w:type="dxa"/>
              <w:bottom w:w="0" w:type="dxa"/>
              <w:right w:w="108" w:type="dxa"/>
            </w:tcMar>
            <w:vAlign w:val="center"/>
          </w:tcPr>
          <w:p w14:paraId="08AB6AED">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本组合为应向员工收取的备用金、代垫社保公积金、代垫费用等应收款项</w:t>
            </w:r>
          </w:p>
        </w:tc>
      </w:tr>
      <w:tr w14:paraId="124E54ED">
        <w:tblPrEx>
          <w:tblCellMar>
            <w:top w:w="15" w:type="dxa"/>
            <w:left w:w="15" w:type="dxa"/>
            <w:bottom w:w="15" w:type="dxa"/>
            <w:right w:w="15" w:type="dxa"/>
          </w:tblCellMar>
        </w:tblPrEx>
        <w:trPr>
          <w:trHeight w:val="20" w:hRule="atLeast"/>
        </w:trPr>
        <w:tc>
          <w:tcPr>
            <w:tcW w:w="1852"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C13A86">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其他应收款组合3</w:t>
            </w:r>
          </w:p>
        </w:tc>
        <w:tc>
          <w:tcPr>
            <w:tcW w:w="3148" w:type="pct"/>
            <w:tcBorders>
              <w:top w:val="nil"/>
              <w:left w:val="nil"/>
              <w:bottom w:val="single" w:color="auto" w:sz="8" w:space="0"/>
              <w:right w:val="single" w:color="auto" w:sz="8" w:space="0"/>
            </w:tcBorders>
            <w:tcMar>
              <w:top w:w="0" w:type="dxa"/>
              <w:left w:w="108" w:type="dxa"/>
              <w:bottom w:w="0" w:type="dxa"/>
              <w:right w:w="108" w:type="dxa"/>
            </w:tcMar>
            <w:vAlign w:val="center"/>
          </w:tcPr>
          <w:p w14:paraId="6B5729FB">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本组合为应收其他款项</w:t>
            </w:r>
          </w:p>
        </w:tc>
      </w:tr>
    </w:tbl>
    <w:p w14:paraId="6456E2A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每个资产负债表日评估相关其他应收款的信用风险自初始确认后的变动情况。若该其他应收款的信用风险自初始确认后已显著增加，本公司按照相当于该其他应收款整个存续期内预期信用损失的金额计量其损失准备；若该其他应收款的信用风险自初始确认后并未显著增加，本公司按照相当于该其他应收款未来12个月内预期信用损失的金额计量其损失准备。</w:t>
      </w:r>
    </w:p>
    <w:p w14:paraId="39091CCA">
      <w:pPr>
        <w:pStyle w:val="10"/>
        <w:spacing w:before="145"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15.2预期信用损失的会计处理方法</w:t>
      </w:r>
    </w:p>
    <w:p w14:paraId="09892B6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信用损失准备的增加或转回金额，作为减值损失或利得计入当期损益。</w:t>
      </w:r>
    </w:p>
    <w:p w14:paraId="289B9D9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前一会计期间已经按照相当于其他应收款整个存续期内预期信用损失的金额计量了损失准备，但在当期资产负债表日，该其他应收款已不再属于自初始确认后信用风险显著增加的情形的，本公司在当期资产负债表日按照相当于未来12个月内预期信用损失的金额计量该其他应收款的损失准备，由此形成的损失准备的转回金额作为减值利得计入当期损益。</w:t>
      </w:r>
    </w:p>
    <w:p w14:paraId="1E19D4A7">
      <w:pPr>
        <w:pStyle w:val="3"/>
        <w:spacing w:line="280" w:lineRule="exact"/>
        <w:jc w:val="left"/>
        <w:rPr>
          <w:rFonts w:ascii="Times New Roman" w:hAnsi="Times New Roman" w:cs="Times New Roman" w:eastAsiaTheme="majorEastAsia"/>
          <w:b/>
          <w:bCs/>
        </w:rPr>
      </w:pPr>
      <w:bookmarkStart w:id="182" w:name="_Toc989071"/>
      <w:r>
        <w:rPr>
          <w:rFonts w:ascii="Times New Roman" w:hAnsi="Times New Roman" w:cs="Times New Roman" w:eastAsiaTheme="majorEastAsia"/>
          <w:b/>
          <w:bCs/>
        </w:rPr>
        <w:t>16、合同资产</w:t>
      </w:r>
      <w:bookmarkEnd w:id="182"/>
    </w:p>
    <w:p w14:paraId="67F15382">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hint="eastAsia" w:ascii="Times New Roman" w:hAnsi="Times New Roman" w:cs="Times New Roman" w:eastAsiaTheme="majorEastAsia"/>
          <w:sz w:val="21"/>
          <w:szCs w:val="21"/>
        </w:rPr>
        <w:t>（1）</w:t>
      </w:r>
      <w:r>
        <w:rPr>
          <w:rStyle w:val="14"/>
          <w:rFonts w:ascii="Times New Roman" w:hAnsi="Times New Roman" w:cs="Times New Roman" w:eastAsiaTheme="majorEastAsia"/>
          <w:sz w:val="21"/>
          <w:szCs w:val="21"/>
        </w:rPr>
        <w:t>合同资产的确认方法及标准</w:t>
      </w:r>
    </w:p>
    <w:p w14:paraId="2E4D4F6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合同资产，是指本公司已向客户转让商品而有权收取对价的权利，且该权利取决于时间流逝之外的其他因素。本公司已向客户转移商品而拥有的、无条件（仅取决于时间流逝）向客户收取对价的权利作为应收款项列示。同一合同下的合同资产和合同负债以净额列示，不同合同下的合同资产和合同负债不予抵销。</w:t>
      </w:r>
    </w:p>
    <w:p w14:paraId="08CE340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hint="eastAsia" w:ascii="Times New Roman" w:hAnsi="Times New Roman" w:cs="Times New Roman" w:eastAsiaTheme="majorEastAsia"/>
          <w:sz w:val="21"/>
          <w:szCs w:val="21"/>
        </w:rPr>
        <w:t>（2）</w:t>
      </w:r>
      <w:r>
        <w:rPr>
          <w:rStyle w:val="14"/>
          <w:rFonts w:ascii="Times New Roman" w:hAnsi="Times New Roman" w:cs="Times New Roman" w:eastAsiaTheme="majorEastAsia"/>
          <w:sz w:val="21"/>
          <w:szCs w:val="21"/>
        </w:rPr>
        <w:t>合同资产预期信用损失的确定方法及会计处理方法</w:t>
      </w:r>
    </w:p>
    <w:p w14:paraId="7AF9F80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本公司对由收入准则规范的交易形成的合同资产（无论是否包含重大融资成分），按照相当于整个存续期内预期信用损失的金额计量损失准备。</w:t>
      </w:r>
    </w:p>
    <w:p w14:paraId="4A3BEE69">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基于单项和组合评估合同资产的预期信用损失。如果有客观证据表明某项合同资产已经发生信用减值，则本公司对该合同资产在单项资产的基础上确定预期信用损失。对于划分为组合的合同资产，本公司参考历史信用损失经验，结合当前状况以及对未来经济状况的预测，通过违约风险敞口和整个存续期预期信用损失率，计算预期信用损失。</w:t>
      </w:r>
    </w:p>
    <w:p w14:paraId="4252235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按照信用风险特征组合计提坏账准备的组合类别及确定依据如下：</w:t>
      </w:r>
    </w:p>
    <w:tbl>
      <w:tblPr>
        <w:tblStyle w:val="12"/>
        <w:tblW w:w="488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565"/>
        <w:gridCol w:w="6059"/>
      </w:tblGrid>
      <w:tr w14:paraId="46F5B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blHeader/>
        </w:trPr>
        <w:tc>
          <w:tcPr>
            <w:tcW w:w="1852" w:type="pct"/>
            <w:shd w:val="clear" w:color="auto" w:fill="D8D8D8" w:themeFill="background1" w:themeFillShade="D9"/>
            <w:tcMar>
              <w:top w:w="0" w:type="dxa"/>
              <w:left w:w="108" w:type="dxa"/>
              <w:bottom w:w="0" w:type="dxa"/>
              <w:right w:w="108" w:type="dxa"/>
            </w:tcMar>
            <w:vAlign w:val="center"/>
          </w:tcPr>
          <w:p w14:paraId="33711F96">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组合名称</w:t>
            </w:r>
          </w:p>
        </w:tc>
        <w:tc>
          <w:tcPr>
            <w:tcW w:w="3148" w:type="pct"/>
            <w:shd w:val="clear" w:color="auto" w:fill="D8D8D8" w:themeFill="background1" w:themeFillShade="D9"/>
            <w:tcMar>
              <w:top w:w="0" w:type="dxa"/>
              <w:left w:w="108" w:type="dxa"/>
              <w:bottom w:w="0" w:type="dxa"/>
              <w:right w:w="108" w:type="dxa"/>
            </w:tcMar>
            <w:vAlign w:val="center"/>
          </w:tcPr>
          <w:p w14:paraId="1B78C529">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确定依据</w:t>
            </w:r>
          </w:p>
        </w:tc>
      </w:tr>
      <w:tr w14:paraId="3D1BD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852" w:type="pct"/>
            <w:tcMar>
              <w:top w:w="0" w:type="dxa"/>
              <w:left w:w="108" w:type="dxa"/>
              <w:bottom w:w="0" w:type="dxa"/>
              <w:right w:w="108" w:type="dxa"/>
            </w:tcMar>
            <w:vAlign w:val="center"/>
          </w:tcPr>
          <w:p w14:paraId="3B2C0E70">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合同资产组合1</w:t>
            </w:r>
          </w:p>
        </w:tc>
        <w:tc>
          <w:tcPr>
            <w:tcW w:w="3148" w:type="pct"/>
            <w:tcMar>
              <w:top w:w="0" w:type="dxa"/>
              <w:left w:w="108" w:type="dxa"/>
              <w:bottom w:w="0" w:type="dxa"/>
              <w:right w:w="108" w:type="dxa"/>
            </w:tcMar>
            <w:vAlign w:val="center"/>
          </w:tcPr>
          <w:p w14:paraId="3C682430">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本组合为政府部门、教育医疗单位的应收款项</w:t>
            </w:r>
          </w:p>
        </w:tc>
      </w:tr>
      <w:tr w14:paraId="2576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trPr>
        <w:tc>
          <w:tcPr>
            <w:tcW w:w="1852" w:type="pct"/>
            <w:tcMar>
              <w:top w:w="0" w:type="dxa"/>
              <w:left w:w="108" w:type="dxa"/>
              <w:bottom w:w="0" w:type="dxa"/>
              <w:right w:w="108" w:type="dxa"/>
            </w:tcMar>
            <w:vAlign w:val="center"/>
          </w:tcPr>
          <w:p w14:paraId="52DE8584">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合同资产组合2</w:t>
            </w:r>
          </w:p>
        </w:tc>
        <w:tc>
          <w:tcPr>
            <w:tcW w:w="3148" w:type="pct"/>
            <w:tcMar>
              <w:top w:w="0" w:type="dxa"/>
              <w:left w:w="108" w:type="dxa"/>
              <w:bottom w:w="0" w:type="dxa"/>
              <w:right w:w="108" w:type="dxa"/>
            </w:tcMar>
            <w:vAlign w:val="center"/>
          </w:tcPr>
          <w:p w14:paraId="57B50788">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本组合为企业及其他单位的应收款项</w:t>
            </w:r>
          </w:p>
        </w:tc>
      </w:tr>
    </w:tbl>
    <w:p w14:paraId="68AD998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预期信用损失的会计处理方法，信用损失准备的增加或转回金额，作为减值损失或利得计入当期损益。</w:t>
      </w:r>
    </w:p>
    <w:p w14:paraId="397D5387">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基于账龄确认信用风险特征组合的账龄计算方法如下：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261"/>
        <w:gridCol w:w="3297"/>
        <w:gridCol w:w="3295"/>
      </w:tblGrid>
      <w:tr w14:paraId="5D878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blHeader/>
        </w:trPr>
        <w:tc>
          <w:tcPr>
            <w:tcW w:w="1655" w:type="pct"/>
            <w:shd w:val="clear" w:color="auto" w:fill="D8D8D8" w:themeFill="background1" w:themeFillShade="D9"/>
            <w:tcMar>
              <w:top w:w="0" w:type="dxa"/>
              <w:left w:w="108" w:type="dxa"/>
              <w:bottom w:w="0" w:type="dxa"/>
              <w:right w:w="108" w:type="dxa"/>
            </w:tcMar>
            <w:vAlign w:val="center"/>
          </w:tcPr>
          <w:p w14:paraId="5D2C2B3F">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账龄</w:t>
            </w:r>
          </w:p>
        </w:tc>
        <w:tc>
          <w:tcPr>
            <w:tcW w:w="1673" w:type="pct"/>
            <w:shd w:val="clear" w:color="auto" w:fill="D8D8D8" w:themeFill="background1" w:themeFillShade="D9"/>
            <w:tcMar>
              <w:top w:w="0" w:type="dxa"/>
              <w:left w:w="108" w:type="dxa"/>
              <w:bottom w:w="0" w:type="dxa"/>
              <w:right w:w="108" w:type="dxa"/>
            </w:tcMar>
            <w:vAlign w:val="center"/>
          </w:tcPr>
          <w:p w14:paraId="1DEBCCF6">
            <w:pPr>
              <w:pStyle w:val="10"/>
              <w:spacing w:before="0" w:beforeAutospacing="0" w:after="0" w:afterAutospacing="0" w:line="36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合同资产组合1</w:t>
            </w:r>
          </w:p>
          <w:p w14:paraId="029F8BB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预期信用损失率（%）</w:t>
            </w:r>
          </w:p>
        </w:tc>
        <w:tc>
          <w:tcPr>
            <w:tcW w:w="1672" w:type="pct"/>
            <w:shd w:val="clear" w:color="auto" w:fill="D8D8D8" w:themeFill="background1" w:themeFillShade="D9"/>
            <w:tcMar>
              <w:top w:w="0" w:type="dxa"/>
              <w:left w:w="108" w:type="dxa"/>
              <w:bottom w:w="0" w:type="dxa"/>
              <w:right w:w="108" w:type="dxa"/>
            </w:tcMar>
            <w:vAlign w:val="center"/>
          </w:tcPr>
          <w:p w14:paraId="106946AD">
            <w:pPr>
              <w:pStyle w:val="10"/>
              <w:spacing w:before="0" w:beforeAutospacing="0" w:after="0" w:afterAutospacing="0" w:line="36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合同资产组合2</w:t>
            </w:r>
          </w:p>
          <w:p w14:paraId="0C591FF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预期信用损失率（%）</w:t>
            </w:r>
          </w:p>
        </w:tc>
      </w:tr>
      <w:tr w14:paraId="56538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5899451C">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1年以内（含1年）</w:t>
            </w:r>
          </w:p>
        </w:tc>
        <w:tc>
          <w:tcPr>
            <w:tcW w:w="1673" w:type="pct"/>
            <w:tcMar>
              <w:top w:w="0" w:type="dxa"/>
              <w:left w:w="108" w:type="dxa"/>
              <w:bottom w:w="0" w:type="dxa"/>
              <w:right w:w="108" w:type="dxa"/>
            </w:tcMar>
          </w:tcPr>
          <w:p w14:paraId="770D6CA4">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c>
          <w:tcPr>
            <w:tcW w:w="1672" w:type="pct"/>
            <w:tcMar>
              <w:top w:w="0" w:type="dxa"/>
              <w:left w:w="108" w:type="dxa"/>
              <w:bottom w:w="0" w:type="dxa"/>
              <w:right w:w="108" w:type="dxa"/>
            </w:tcMar>
          </w:tcPr>
          <w:p w14:paraId="1CD8B7B1">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r w14:paraId="7E688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7D258792">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1-2年</w:t>
            </w:r>
          </w:p>
        </w:tc>
        <w:tc>
          <w:tcPr>
            <w:tcW w:w="1673" w:type="pct"/>
            <w:tcMar>
              <w:top w:w="0" w:type="dxa"/>
              <w:left w:w="108" w:type="dxa"/>
              <w:bottom w:w="0" w:type="dxa"/>
              <w:right w:w="108" w:type="dxa"/>
            </w:tcMar>
          </w:tcPr>
          <w:p w14:paraId="1273FCC9">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10</w:t>
            </w:r>
          </w:p>
        </w:tc>
        <w:tc>
          <w:tcPr>
            <w:tcW w:w="1672" w:type="pct"/>
            <w:tcMar>
              <w:top w:w="0" w:type="dxa"/>
              <w:left w:w="108" w:type="dxa"/>
              <w:bottom w:w="0" w:type="dxa"/>
              <w:right w:w="108" w:type="dxa"/>
            </w:tcMar>
          </w:tcPr>
          <w:p w14:paraId="7E97C2DE">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10</w:t>
            </w:r>
          </w:p>
        </w:tc>
      </w:tr>
      <w:tr w14:paraId="0DA00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77EAADCD">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sz w:val="21"/>
                <w:szCs w:val="21"/>
              </w:rPr>
              <w:t>2-3年</w:t>
            </w:r>
          </w:p>
        </w:tc>
        <w:tc>
          <w:tcPr>
            <w:tcW w:w="1673" w:type="pct"/>
            <w:tcMar>
              <w:top w:w="0" w:type="dxa"/>
              <w:left w:w="108" w:type="dxa"/>
              <w:bottom w:w="0" w:type="dxa"/>
              <w:right w:w="108" w:type="dxa"/>
            </w:tcMar>
          </w:tcPr>
          <w:p w14:paraId="29CD2F9C">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30</w:t>
            </w:r>
          </w:p>
        </w:tc>
        <w:tc>
          <w:tcPr>
            <w:tcW w:w="1672" w:type="pct"/>
            <w:tcMar>
              <w:top w:w="0" w:type="dxa"/>
              <w:left w:w="108" w:type="dxa"/>
              <w:bottom w:w="0" w:type="dxa"/>
              <w:right w:w="108" w:type="dxa"/>
            </w:tcMar>
          </w:tcPr>
          <w:p w14:paraId="2BDC4502">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30</w:t>
            </w:r>
          </w:p>
        </w:tc>
      </w:tr>
      <w:tr w14:paraId="7585F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6321AC16">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sz w:val="21"/>
                <w:szCs w:val="21"/>
              </w:rPr>
              <w:t>3-4年</w:t>
            </w:r>
          </w:p>
        </w:tc>
        <w:tc>
          <w:tcPr>
            <w:tcW w:w="1673" w:type="pct"/>
            <w:tcMar>
              <w:top w:w="0" w:type="dxa"/>
              <w:left w:w="108" w:type="dxa"/>
              <w:bottom w:w="0" w:type="dxa"/>
              <w:right w:w="108" w:type="dxa"/>
            </w:tcMar>
          </w:tcPr>
          <w:p w14:paraId="411B1EF6">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50</w:t>
            </w:r>
          </w:p>
        </w:tc>
        <w:tc>
          <w:tcPr>
            <w:tcW w:w="1672" w:type="pct"/>
            <w:tcMar>
              <w:top w:w="0" w:type="dxa"/>
              <w:left w:w="108" w:type="dxa"/>
              <w:bottom w:w="0" w:type="dxa"/>
              <w:right w:w="108" w:type="dxa"/>
            </w:tcMar>
          </w:tcPr>
          <w:p w14:paraId="0AC6632D">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50</w:t>
            </w:r>
          </w:p>
        </w:tc>
      </w:tr>
      <w:tr w14:paraId="5D217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77823F81">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sz w:val="21"/>
                <w:szCs w:val="21"/>
              </w:rPr>
              <w:t>4-5年</w:t>
            </w:r>
          </w:p>
        </w:tc>
        <w:tc>
          <w:tcPr>
            <w:tcW w:w="1673" w:type="pct"/>
            <w:tcMar>
              <w:top w:w="0" w:type="dxa"/>
              <w:left w:w="108" w:type="dxa"/>
              <w:bottom w:w="0" w:type="dxa"/>
              <w:right w:w="108" w:type="dxa"/>
            </w:tcMar>
          </w:tcPr>
          <w:p w14:paraId="3FE75027">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80</w:t>
            </w:r>
          </w:p>
        </w:tc>
        <w:tc>
          <w:tcPr>
            <w:tcW w:w="1672" w:type="pct"/>
            <w:tcMar>
              <w:top w:w="0" w:type="dxa"/>
              <w:left w:w="108" w:type="dxa"/>
              <w:bottom w:w="0" w:type="dxa"/>
              <w:right w:w="108" w:type="dxa"/>
            </w:tcMar>
          </w:tcPr>
          <w:p w14:paraId="7D4573CD">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100</w:t>
            </w:r>
          </w:p>
        </w:tc>
      </w:tr>
      <w:tr w14:paraId="439C8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trPr>
        <w:tc>
          <w:tcPr>
            <w:tcW w:w="1655" w:type="pct"/>
            <w:tcMar>
              <w:top w:w="0" w:type="dxa"/>
              <w:left w:w="108" w:type="dxa"/>
              <w:bottom w:w="0" w:type="dxa"/>
              <w:right w:w="108" w:type="dxa"/>
            </w:tcMar>
          </w:tcPr>
          <w:p w14:paraId="14147099">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sz w:val="21"/>
                <w:szCs w:val="21"/>
              </w:rPr>
              <w:t>5年以上</w:t>
            </w:r>
          </w:p>
        </w:tc>
        <w:tc>
          <w:tcPr>
            <w:tcW w:w="1673" w:type="pct"/>
            <w:tcMar>
              <w:top w:w="0" w:type="dxa"/>
              <w:left w:w="108" w:type="dxa"/>
              <w:bottom w:w="0" w:type="dxa"/>
              <w:right w:w="108" w:type="dxa"/>
            </w:tcMar>
          </w:tcPr>
          <w:p w14:paraId="1A825864">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100</w:t>
            </w:r>
          </w:p>
        </w:tc>
        <w:tc>
          <w:tcPr>
            <w:tcW w:w="1672" w:type="pct"/>
            <w:tcMar>
              <w:top w:w="0" w:type="dxa"/>
              <w:left w:w="108" w:type="dxa"/>
              <w:bottom w:w="0" w:type="dxa"/>
              <w:right w:w="108" w:type="dxa"/>
            </w:tcMar>
          </w:tcPr>
          <w:p w14:paraId="4D342036">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sz w:val="21"/>
                <w:szCs w:val="21"/>
              </w:rPr>
              <w:t>100</w:t>
            </w:r>
          </w:p>
        </w:tc>
      </w:tr>
    </w:tbl>
    <w:p w14:paraId="1C6D070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对于存在客观证据表明存在减值，以及其他适用于单项评估的合同资产单独进行减值测试，确认预期信用损失，计提单项减值准备。</w:t>
      </w:r>
    </w:p>
    <w:p w14:paraId="675343BD">
      <w:pPr>
        <w:pStyle w:val="3"/>
        <w:spacing w:line="280" w:lineRule="exact"/>
        <w:jc w:val="left"/>
        <w:rPr>
          <w:rFonts w:ascii="Times New Roman" w:hAnsi="Times New Roman" w:cs="Times New Roman" w:eastAsiaTheme="majorEastAsia"/>
          <w:b/>
          <w:bCs/>
        </w:rPr>
      </w:pPr>
      <w:bookmarkStart w:id="183" w:name="_Toc989072"/>
      <w:r>
        <w:rPr>
          <w:rFonts w:ascii="Times New Roman" w:hAnsi="Times New Roman" w:cs="Times New Roman" w:eastAsiaTheme="majorEastAsia"/>
          <w:b/>
          <w:bCs/>
        </w:rPr>
        <w:t>17、存货</w:t>
      </w:r>
      <w:bookmarkEnd w:id="183"/>
    </w:p>
    <w:p w14:paraId="2F546811">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17.1存货的分类</w:t>
      </w:r>
    </w:p>
    <w:p w14:paraId="1450351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存货主要包括原材料、在产品、库存商品、发出商品等。</w:t>
      </w:r>
    </w:p>
    <w:p w14:paraId="05580ACB">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17.2存货取得和发出的计价方法</w:t>
      </w:r>
    </w:p>
    <w:p w14:paraId="0C340C7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存货在取得时按实际成本计价，存货成本包括采购成本、加工成本和其他成本。领用和发出时按加权平均法计价</w:t>
      </w:r>
      <w:r>
        <w:rPr>
          <w:rFonts w:asciiTheme="minorEastAsia" w:hAnsiTheme="minorEastAsia" w:eastAsiaTheme="minorEastAsia"/>
          <w:i/>
          <w:iCs/>
        </w:rPr>
        <w:t>。</w:t>
      </w:r>
    </w:p>
    <w:p w14:paraId="240CB8B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17.3存货可变现净值的确认和跌价准备的计提方法</w:t>
      </w:r>
    </w:p>
    <w:p w14:paraId="60ED038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可变现净值是指在日常活动中，存货的估计售价减去至完工时估计将要发生的成本、估计的销售费用以及相关税费后的金额。在确定存货的可变现净值时，以取得的确凿证据为基础，同时考虑持有存货的目的以及资产负债表日后事项的影响。</w:t>
      </w:r>
    </w:p>
    <w:p w14:paraId="79DF2CD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在资产负债表日，存货按照成本与可变现净值孰低计量。当其可变现净值低于成本时，提取存货跌价准备。存货跌价准备通常按单个存货项目的成本高于其可变现净值的差额提取。</w:t>
      </w:r>
    </w:p>
    <w:p w14:paraId="3EE0639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的在产品均是按照订单生产，按照订单售价减去销售费用及应缴纳的税费后的金额作为可变现净值，将可变现净值与账面成本进行对比，当其可变现净值低于成本时，提取存货跌价准备。对于原材料、库存商品、发出商品，由于本公司项目建设期一般情况下12个月内可以完成，因此对于库龄超过一年以上的存货计提跌价，计提比例如下：</w:t>
      </w:r>
    </w:p>
    <w:tbl>
      <w:tblPr>
        <w:tblStyle w:val="12"/>
        <w:tblW w:w="5000" w:type="pct"/>
        <w:tblInd w:w="0" w:type="dxa"/>
        <w:tblLayout w:type="autofit"/>
        <w:tblCellMar>
          <w:top w:w="15" w:type="dxa"/>
          <w:left w:w="15" w:type="dxa"/>
          <w:bottom w:w="15" w:type="dxa"/>
          <w:right w:w="15" w:type="dxa"/>
        </w:tblCellMar>
      </w:tblPr>
      <w:tblGrid>
        <w:gridCol w:w="4926"/>
        <w:gridCol w:w="4927"/>
      </w:tblGrid>
      <w:tr w14:paraId="65F99FFF">
        <w:tblPrEx>
          <w:tblCellMar>
            <w:top w:w="15" w:type="dxa"/>
            <w:left w:w="15" w:type="dxa"/>
            <w:bottom w:w="15" w:type="dxa"/>
            <w:right w:w="15" w:type="dxa"/>
          </w:tblCellMar>
        </w:tblPrEx>
        <w:trPr>
          <w:trHeight w:val="284" w:hRule="atLeast"/>
        </w:trPr>
        <w:tc>
          <w:tcPr>
            <w:tcW w:w="2500"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6A637FFE">
            <w:pPr>
              <w:pStyle w:val="10"/>
              <w:spacing w:before="0" w:beforeAutospacing="0" w:after="0" w:afterAutospacing="0"/>
              <w:ind w:firstLine="361"/>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18"/>
                <w:szCs w:val="18"/>
              </w:rPr>
              <w:t>库龄</w:t>
            </w:r>
          </w:p>
        </w:tc>
        <w:tc>
          <w:tcPr>
            <w:tcW w:w="2500"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269568E0">
            <w:pPr>
              <w:pStyle w:val="10"/>
              <w:spacing w:before="0" w:beforeAutospacing="0" w:after="0" w:afterAutospacing="0"/>
              <w:ind w:firstLine="361"/>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18"/>
                <w:szCs w:val="18"/>
              </w:rPr>
              <w:t>计提比例</w:t>
            </w:r>
          </w:p>
        </w:tc>
      </w:tr>
      <w:tr w14:paraId="3CDB871C">
        <w:tblPrEx>
          <w:tblCellMar>
            <w:top w:w="15" w:type="dxa"/>
            <w:left w:w="15" w:type="dxa"/>
            <w:bottom w:w="15" w:type="dxa"/>
            <w:right w:w="15" w:type="dxa"/>
          </w:tblCellMar>
        </w:tblPrEx>
        <w:trPr>
          <w:trHeight w:val="284" w:hRule="atLeast"/>
        </w:trPr>
        <w:tc>
          <w:tcPr>
            <w:tcW w:w="250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63EB797">
            <w:pPr>
              <w:pStyle w:val="10"/>
              <w:spacing w:before="0" w:beforeAutospacing="0" w:after="0" w:afterAutospacing="0"/>
              <w:ind w:firstLine="36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1年以内</w:t>
            </w:r>
          </w:p>
        </w:tc>
        <w:tc>
          <w:tcPr>
            <w:tcW w:w="2500" w:type="pct"/>
            <w:tcBorders>
              <w:top w:val="nil"/>
              <w:left w:val="nil"/>
              <w:bottom w:val="single" w:color="auto" w:sz="8" w:space="0"/>
              <w:right w:val="single" w:color="auto" w:sz="8" w:space="0"/>
            </w:tcBorders>
            <w:tcMar>
              <w:top w:w="0" w:type="dxa"/>
              <w:left w:w="108" w:type="dxa"/>
              <w:bottom w:w="0" w:type="dxa"/>
              <w:right w:w="108" w:type="dxa"/>
            </w:tcMar>
            <w:vAlign w:val="center"/>
          </w:tcPr>
          <w:p w14:paraId="39539755">
            <w:pPr>
              <w:pStyle w:val="10"/>
              <w:spacing w:before="0" w:beforeAutospacing="0" w:after="0" w:afterAutospacing="0"/>
              <w:ind w:firstLine="360"/>
              <w:jc w:val="right"/>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0%</w:t>
            </w:r>
          </w:p>
        </w:tc>
      </w:tr>
      <w:tr w14:paraId="7B8010CA">
        <w:tblPrEx>
          <w:tblCellMar>
            <w:top w:w="15" w:type="dxa"/>
            <w:left w:w="15" w:type="dxa"/>
            <w:bottom w:w="15" w:type="dxa"/>
            <w:right w:w="15" w:type="dxa"/>
          </w:tblCellMar>
        </w:tblPrEx>
        <w:trPr>
          <w:trHeight w:val="284" w:hRule="atLeast"/>
        </w:trPr>
        <w:tc>
          <w:tcPr>
            <w:tcW w:w="250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AA47210">
            <w:pPr>
              <w:pStyle w:val="10"/>
              <w:spacing w:before="0" w:beforeAutospacing="0" w:after="0" w:afterAutospacing="0"/>
              <w:ind w:firstLine="360"/>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1-2年</w:t>
            </w:r>
          </w:p>
        </w:tc>
        <w:tc>
          <w:tcPr>
            <w:tcW w:w="2500" w:type="pct"/>
            <w:tcBorders>
              <w:top w:val="nil"/>
              <w:left w:val="nil"/>
              <w:bottom w:val="single" w:color="auto" w:sz="8" w:space="0"/>
              <w:right w:val="single" w:color="auto" w:sz="8" w:space="0"/>
            </w:tcBorders>
            <w:tcMar>
              <w:top w:w="0" w:type="dxa"/>
              <w:left w:w="108" w:type="dxa"/>
              <w:bottom w:w="0" w:type="dxa"/>
              <w:right w:w="108" w:type="dxa"/>
            </w:tcMar>
            <w:vAlign w:val="center"/>
          </w:tcPr>
          <w:p w14:paraId="26C556BD">
            <w:pPr>
              <w:pStyle w:val="10"/>
              <w:spacing w:before="0" w:beforeAutospacing="0" w:after="0" w:afterAutospacing="0"/>
              <w:ind w:firstLine="360"/>
              <w:jc w:val="right"/>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5%</w:t>
            </w:r>
          </w:p>
        </w:tc>
      </w:tr>
      <w:tr w14:paraId="676C5CF9">
        <w:tblPrEx>
          <w:tblCellMar>
            <w:top w:w="15" w:type="dxa"/>
            <w:left w:w="15" w:type="dxa"/>
            <w:bottom w:w="15" w:type="dxa"/>
            <w:right w:w="15" w:type="dxa"/>
          </w:tblCellMar>
        </w:tblPrEx>
        <w:trPr>
          <w:trHeight w:val="284" w:hRule="atLeast"/>
        </w:trPr>
        <w:tc>
          <w:tcPr>
            <w:tcW w:w="250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7BC8B4">
            <w:pPr>
              <w:pStyle w:val="10"/>
              <w:spacing w:before="0" w:beforeAutospacing="0" w:after="0" w:afterAutospacing="0"/>
              <w:ind w:firstLine="36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2-3年</w:t>
            </w:r>
          </w:p>
        </w:tc>
        <w:tc>
          <w:tcPr>
            <w:tcW w:w="2500" w:type="pct"/>
            <w:tcBorders>
              <w:top w:val="nil"/>
              <w:left w:val="nil"/>
              <w:bottom w:val="single" w:color="auto" w:sz="8" w:space="0"/>
              <w:right w:val="single" w:color="auto" w:sz="8" w:space="0"/>
            </w:tcBorders>
            <w:tcMar>
              <w:top w:w="0" w:type="dxa"/>
              <w:left w:w="108" w:type="dxa"/>
              <w:bottom w:w="0" w:type="dxa"/>
              <w:right w:w="108" w:type="dxa"/>
            </w:tcMar>
            <w:vAlign w:val="center"/>
          </w:tcPr>
          <w:p w14:paraId="2E54FC22">
            <w:pPr>
              <w:pStyle w:val="10"/>
              <w:spacing w:before="0" w:beforeAutospacing="0" w:after="0" w:afterAutospacing="0"/>
              <w:ind w:firstLine="360"/>
              <w:jc w:val="right"/>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10%</w:t>
            </w:r>
          </w:p>
        </w:tc>
      </w:tr>
      <w:tr w14:paraId="1B054BB7">
        <w:tblPrEx>
          <w:tblCellMar>
            <w:top w:w="15" w:type="dxa"/>
            <w:left w:w="15" w:type="dxa"/>
            <w:bottom w:w="15" w:type="dxa"/>
            <w:right w:w="15" w:type="dxa"/>
          </w:tblCellMar>
        </w:tblPrEx>
        <w:trPr>
          <w:trHeight w:val="284" w:hRule="atLeast"/>
        </w:trPr>
        <w:tc>
          <w:tcPr>
            <w:tcW w:w="250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F14BB59">
            <w:pPr>
              <w:pStyle w:val="10"/>
              <w:spacing w:before="0" w:beforeAutospacing="0" w:after="0" w:afterAutospacing="0"/>
              <w:ind w:firstLine="36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3-4年</w:t>
            </w:r>
          </w:p>
        </w:tc>
        <w:tc>
          <w:tcPr>
            <w:tcW w:w="2500" w:type="pct"/>
            <w:tcBorders>
              <w:top w:val="nil"/>
              <w:left w:val="nil"/>
              <w:bottom w:val="single" w:color="auto" w:sz="8" w:space="0"/>
              <w:right w:val="single" w:color="auto" w:sz="8" w:space="0"/>
            </w:tcBorders>
            <w:tcMar>
              <w:top w:w="0" w:type="dxa"/>
              <w:left w:w="108" w:type="dxa"/>
              <w:bottom w:w="0" w:type="dxa"/>
              <w:right w:w="108" w:type="dxa"/>
            </w:tcMar>
            <w:vAlign w:val="center"/>
          </w:tcPr>
          <w:p w14:paraId="30389B3C">
            <w:pPr>
              <w:pStyle w:val="10"/>
              <w:spacing w:before="0" w:beforeAutospacing="0" w:after="0" w:afterAutospacing="0"/>
              <w:ind w:firstLine="360"/>
              <w:jc w:val="right"/>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30%</w:t>
            </w:r>
          </w:p>
        </w:tc>
      </w:tr>
    </w:tbl>
    <w:p w14:paraId="5E0CBEC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计提存货跌价准备后，如果以前减记存货价值的影响因素已经消失，导致存货的可变现净值高于其账面价值的，在原已计提的存货跌价准备金额内予以转回，转回的金额计入当期损益。</w:t>
      </w:r>
    </w:p>
    <w:p w14:paraId="39CE3C39">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17.4存货的盘存制度</w:t>
      </w:r>
    </w:p>
    <w:p w14:paraId="6F6EF2E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本公司存货的盘存制度为永续盘存制。</w:t>
      </w:r>
    </w:p>
    <w:p w14:paraId="2B295E8A">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17.5低值易耗品和包装物的摊销方法</w:t>
      </w:r>
    </w:p>
    <w:p w14:paraId="1C290B7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低值易耗品于领用时按一次摊销法摊销；包装物于领用时按一次摊销法摊销。</w:t>
      </w:r>
    </w:p>
    <w:p w14:paraId="2DF4A5ED">
      <w:pPr>
        <w:pStyle w:val="3"/>
        <w:spacing w:line="280" w:lineRule="exact"/>
        <w:jc w:val="left"/>
        <w:rPr>
          <w:rFonts w:ascii="Times New Roman" w:hAnsi="Times New Roman" w:cs="Times New Roman" w:eastAsiaTheme="majorEastAsia"/>
          <w:b/>
          <w:bCs/>
        </w:rPr>
      </w:pPr>
      <w:bookmarkStart w:id="184" w:name="_Toc989073"/>
      <w:r>
        <w:rPr>
          <w:rFonts w:ascii="Times New Roman" w:hAnsi="Times New Roman" w:cs="Times New Roman" w:eastAsiaTheme="majorEastAsia"/>
          <w:b/>
          <w:bCs/>
        </w:rPr>
        <w:t>18、持有待售资产</w:t>
      </w:r>
      <w:bookmarkEnd w:id="184"/>
    </w:p>
    <w:p w14:paraId="0D0C9C2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8号——资产减值》分摊了企业合并中取得的商誉的，该处置组应当包含分摊至处置组的商誉。</w:t>
      </w:r>
    </w:p>
    <w:p w14:paraId="132DEC0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42号——持有待售的非流动资产、处置组和终止经营》（以下简称“持有待售准则”）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14:paraId="2F3D665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持有待售的非流动资产或处置组中的非流动资产不计提折旧或摊销，持有待售的处置组中负债的利息和其他费用继续予以确认。</w:t>
      </w:r>
    </w:p>
    <w:p w14:paraId="76E9380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非流动资产或处置组不再满足持有待售类别的划分条件时，本公司不再将其继续划分为持有待售类别或将非流动资产从持有待售的处置组中移除，并按照以下两者孰低计量：</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划分为持有待售类别前的账面价值，按照假定不划分为持有待售类别情况下本应确认的折旧、摊销或减值等进行调整后的金额；</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可收回金额。</w:t>
      </w:r>
    </w:p>
    <w:p w14:paraId="7FD62E40">
      <w:pPr>
        <w:pStyle w:val="3"/>
        <w:spacing w:line="280" w:lineRule="exact"/>
        <w:jc w:val="left"/>
        <w:rPr>
          <w:rFonts w:ascii="Times New Roman" w:hAnsi="Times New Roman" w:cs="Times New Roman" w:eastAsiaTheme="majorEastAsia"/>
          <w:b/>
          <w:bCs/>
        </w:rPr>
      </w:pPr>
      <w:bookmarkStart w:id="185" w:name="_Toc989074"/>
      <w:r>
        <w:rPr>
          <w:rFonts w:ascii="Times New Roman" w:hAnsi="Times New Roman" w:cs="Times New Roman" w:eastAsiaTheme="majorEastAsia"/>
          <w:b/>
          <w:bCs/>
        </w:rPr>
        <w:t>19、债权投资</w:t>
      </w:r>
      <w:bookmarkEnd w:id="185"/>
    </w:p>
    <w:p w14:paraId="71F2AD8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债权投资项目，反映资产负债表日企业以摊余成本计量的长期债权投资的期末账面价值。自资产负债表日起一年内到期的长期债权投资的期末账面价值，在“一年内到期的非流动资产”项目反映。企业购入的以摊余成本计量的一年内到期的债权投资的期末账面价值，在“其他流动资产”项目反映。</w:t>
      </w:r>
    </w:p>
    <w:p w14:paraId="127B744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19.1 预期信用损失的确定方法</w:t>
      </w:r>
    </w:p>
    <w:p w14:paraId="0F36C1E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基于单项和组合评估债权投资的预期信用损失。如果有客观证据表明某项债权投资已经发生信用减值，则本公司对该债权投资在单项资产的基础上确定预期信用损失。对于划分为组合的债权投资，本公司依据其信用风险自初始确认后是否已经显著增加，采用相当于未来12个月内或整个存续期的预期信用损失的金额计量减值损失。</w:t>
      </w:r>
    </w:p>
    <w:p w14:paraId="50B142B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每个资产负债表日评估相关债权投资的信用风险自初始确认后的变动情况。若该债权投资的信用风险自初始确认后已显著增加，本公司按照相当于该债权投资整个存续期内预期信用损失的金额计量其损失准备；若该债权投资的信用风险自初始确认后并未显著增加，本公司按照相当于该债权投资未来12个月内预期信用损失的金额计量其损失准备。</w:t>
      </w:r>
    </w:p>
    <w:p w14:paraId="1A5C69FC">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19.2 预期信用损失的会计处理方法</w:t>
      </w:r>
    </w:p>
    <w:p w14:paraId="798920D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信用损失准备的增加或转回金额，作为减值损失或利得计入当期损益。</w:t>
      </w:r>
    </w:p>
    <w:p w14:paraId="4B914A8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前一会计期间已经按照相当于债权投资整个存续期内预期信用损失的金额计量了损失准备，但在当期资产负债表日，该债权投资已不再属于自初始确认后信用风险显著增加的情形的，本公司在当期资产负债表日按照相当于未来12个月内预期信用损失的金额计量该债权投资的损失准备，由此形成的损失准备的转回金额作为减值利得计入当期损益。</w:t>
      </w:r>
    </w:p>
    <w:p w14:paraId="1567753A">
      <w:pPr>
        <w:pStyle w:val="3"/>
        <w:spacing w:line="280" w:lineRule="exact"/>
        <w:jc w:val="left"/>
        <w:rPr>
          <w:rFonts w:ascii="Times New Roman" w:hAnsi="Times New Roman" w:cs="Times New Roman" w:eastAsiaTheme="majorEastAsia"/>
          <w:b/>
          <w:bCs/>
        </w:rPr>
      </w:pPr>
      <w:bookmarkStart w:id="186" w:name="_Toc989075"/>
      <w:r>
        <w:rPr>
          <w:rFonts w:ascii="Times New Roman" w:hAnsi="Times New Roman" w:cs="Times New Roman" w:eastAsiaTheme="majorEastAsia"/>
          <w:b/>
          <w:bCs/>
        </w:rPr>
        <w:t>20、其他债权投资</w:t>
      </w:r>
      <w:bookmarkEnd w:id="186"/>
    </w:p>
    <w:p w14:paraId="66FCFFF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其他债权投资项目，反映资产负债表日企业分类为以公允价值计量且其变动计入其他综合收益的长期债权投资的期末账面价值。自资产负债表日起一年内到期的长期债权投资的期末账面价值，在“一年内到期的非流动资产”项目反映。企业购入的以公允价值计量且其变动计入其他综合收益的一年内到期的债权投资的期末账面价值，在“其他流动资产”项目反映。</w:t>
      </w:r>
    </w:p>
    <w:p w14:paraId="1747143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20.1 预期信用损失的确定方法</w:t>
      </w:r>
    </w:p>
    <w:p w14:paraId="5E5A7FF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基于单项和组合评估其他债权投资的预期信用损失。如果有客观证据表明某项其他债权投资已经发生信用减值，则本公司对该其他债权投资在单项资产的基础上确定预期信用损失。对于划分为组合的其他债权投资，本公司依据其信用风险自初始确认后是否已经显著增加，采用相当于未来12个月内或整个存续期的预期信用损失的金额计量减值损失。</w:t>
      </w:r>
    </w:p>
    <w:p w14:paraId="4CEDA6F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每个资产负债表日评估相关其他债权投资的信用风险自初始确认后的变动情况。若该其他债权投资的信用风险自初始确认后已显著增加，本公司按照相当于该其他债权投资整个存续期内预期信用损失的金额计量其损失准备；若该其他债权投资的信用风险自初始确认后并未显著增加，本公司按照相当于该其他债权投资未来12个月内预期信用损失的金额计量其损失准备。</w:t>
      </w:r>
    </w:p>
    <w:p w14:paraId="2FA4027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20.2 预期信用损失的会计处理方法</w:t>
      </w:r>
    </w:p>
    <w:p w14:paraId="3348CA8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对于分类为以公允价值计量且其变动计入其他综合收益的金融资产，本公司在其他综合收益中确认其信用损失准备，并将减值损失或利得计入当期损益，且不减少该金融资产在资产负债表中列示的账面价值。</w:t>
      </w:r>
    </w:p>
    <w:p w14:paraId="53CB496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前一会计期间已经按照相当于其他债权投资整个存续期内预期信用损失的金额计量了损失准备，但在当期资产负债表日，该其他债权投资已不再属于自初始确认后信用风险显著增加的情形的，本公司在当期资产负债表日按照相当于未来12个月内预期信用损失的金额计量该其他债权投资的损失准备，由此形成的损失准备的转回金额作为减值利得计入当期损益。</w:t>
      </w:r>
    </w:p>
    <w:p w14:paraId="3654E767">
      <w:pPr>
        <w:pStyle w:val="3"/>
        <w:spacing w:line="280" w:lineRule="exact"/>
        <w:jc w:val="left"/>
        <w:rPr>
          <w:rFonts w:ascii="Times New Roman" w:hAnsi="Times New Roman" w:cs="Times New Roman" w:eastAsiaTheme="majorEastAsia"/>
          <w:b/>
          <w:bCs/>
        </w:rPr>
      </w:pPr>
      <w:bookmarkStart w:id="187" w:name="_Toc989076"/>
      <w:r>
        <w:rPr>
          <w:rFonts w:ascii="Times New Roman" w:hAnsi="Times New Roman" w:cs="Times New Roman" w:eastAsiaTheme="majorEastAsia"/>
          <w:b/>
          <w:bCs/>
        </w:rPr>
        <w:t>21、长期应收款</w:t>
      </w:r>
      <w:bookmarkEnd w:id="187"/>
    </w:p>
    <w:p w14:paraId="1AEDDAF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长期应收款项目，反映资产负债表日企业的长期应收款项，包括融资租赁产生的应收款项、采用递延方式具有融资性质的销售商品和提供劳务等产生的应收款项等。</w:t>
      </w:r>
    </w:p>
    <w:p w14:paraId="7953001A">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21.1 预期信用损失的确定方法</w:t>
      </w:r>
    </w:p>
    <w:p w14:paraId="32F3C94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基于单项和组合评估长期应收款的预期信用损失。如果有客观证据表明某项长期应收款已经发生信用减值，则本公司对该长期应收款在单项资产的基础上确定预期信用损失。划分为组合的长期应收款，对应收租赁款，当公司选择全部按照简化方法计量损失准备时，本公司在每个资产负债表日评估相关长期应收款的信用风险自初始确认后的变动情况。本公司对租赁应收款项，按照相当于整个存续期内预期信用损失的金额计量损失准备；对于应收租赁款以外的其他长期应收款，若该长期应收款的信用风险自初始确认后已显著增加，本公司按照相当于该长期应收款整个存续期内预期信用损失的金额计量其损失准备；若该长期应收款的信用风险自初始确认后并未显著增加，本公司按照相当于该长期应收款未来12个月内预期信用损失的金额计量其损失准备。</w:t>
      </w:r>
    </w:p>
    <w:p w14:paraId="55DECF4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应收租赁款，由《企业会计准则第21号——租赁》规范的交易形成的租赁应收款，同时企业做出会计政策选择，按照相当于整个存续期内预期信用损失的金额计量损失准备。企业应当将该会计政策选择适用于所有租赁应收款，但可对应收融资租赁款和应收经营租赁款分别做出会计政策选择。</w:t>
      </w:r>
    </w:p>
    <w:p w14:paraId="0553FF3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除了单项评估信用风险的长期应收款外，基于其信用风险特征，将其划分为不同组合：</w:t>
      </w:r>
    </w:p>
    <w:tbl>
      <w:tblPr>
        <w:tblStyle w:val="12"/>
        <w:tblW w:w="5000" w:type="pct"/>
        <w:tblInd w:w="0" w:type="dxa"/>
        <w:tblLayout w:type="autofit"/>
        <w:tblCellMar>
          <w:top w:w="15" w:type="dxa"/>
          <w:left w:w="15" w:type="dxa"/>
          <w:bottom w:w="15" w:type="dxa"/>
          <w:right w:w="15" w:type="dxa"/>
        </w:tblCellMar>
      </w:tblPr>
      <w:tblGrid>
        <w:gridCol w:w="3892"/>
        <w:gridCol w:w="5961"/>
      </w:tblGrid>
      <w:tr w14:paraId="3D4418C7">
        <w:tblPrEx>
          <w:tblCellMar>
            <w:top w:w="15" w:type="dxa"/>
            <w:left w:w="15" w:type="dxa"/>
            <w:bottom w:w="15" w:type="dxa"/>
            <w:right w:w="15" w:type="dxa"/>
          </w:tblCellMar>
        </w:tblPrEx>
        <w:trPr>
          <w:trHeight w:val="227" w:hRule="atLeast"/>
        </w:trPr>
        <w:tc>
          <w:tcPr>
            <w:tcW w:w="1975"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EC65246">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组合名称</w:t>
            </w:r>
          </w:p>
        </w:tc>
        <w:tc>
          <w:tcPr>
            <w:tcW w:w="3025"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73E2A6E9">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组合内容</w:t>
            </w:r>
          </w:p>
        </w:tc>
      </w:tr>
      <w:tr w14:paraId="299BCDFF">
        <w:tblPrEx>
          <w:tblCellMar>
            <w:top w:w="15" w:type="dxa"/>
            <w:left w:w="15" w:type="dxa"/>
            <w:bottom w:w="15" w:type="dxa"/>
            <w:right w:w="15" w:type="dxa"/>
          </w:tblCellMar>
        </w:tblPrEx>
        <w:trPr>
          <w:trHeight w:val="227" w:hRule="atLeast"/>
        </w:trPr>
        <w:tc>
          <w:tcPr>
            <w:tcW w:w="1975"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978A9B2">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长期应收款组合1</w:t>
            </w:r>
          </w:p>
        </w:tc>
        <w:tc>
          <w:tcPr>
            <w:tcW w:w="3025" w:type="pct"/>
            <w:tcBorders>
              <w:top w:val="nil"/>
              <w:left w:val="nil"/>
              <w:bottom w:val="single" w:color="auto" w:sz="8" w:space="0"/>
              <w:right w:val="single" w:color="auto" w:sz="8" w:space="0"/>
            </w:tcBorders>
            <w:tcMar>
              <w:top w:w="0" w:type="dxa"/>
              <w:left w:w="108" w:type="dxa"/>
              <w:bottom w:w="0" w:type="dxa"/>
              <w:right w:w="108" w:type="dxa"/>
            </w:tcMar>
            <w:vAlign w:val="center"/>
          </w:tcPr>
          <w:p w14:paraId="5D3D2F57">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本组合为政府部门、教育医疗单位的应收款项</w:t>
            </w:r>
          </w:p>
        </w:tc>
      </w:tr>
      <w:tr w14:paraId="110EA55A">
        <w:tblPrEx>
          <w:tblCellMar>
            <w:top w:w="15" w:type="dxa"/>
            <w:left w:w="15" w:type="dxa"/>
            <w:bottom w:w="15" w:type="dxa"/>
            <w:right w:w="15" w:type="dxa"/>
          </w:tblCellMar>
        </w:tblPrEx>
        <w:trPr>
          <w:trHeight w:val="227" w:hRule="atLeast"/>
        </w:trPr>
        <w:tc>
          <w:tcPr>
            <w:tcW w:w="1975"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1B775BB">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长期应收款组合2</w:t>
            </w:r>
          </w:p>
        </w:tc>
        <w:tc>
          <w:tcPr>
            <w:tcW w:w="3025" w:type="pct"/>
            <w:tcBorders>
              <w:top w:val="nil"/>
              <w:left w:val="nil"/>
              <w:bottom w:val="single" w:color="auto" w:sz="8" w:space="0"/>
              <w:right w:val="single" w:color="auto" w:sz="8" w:space="0"/>
            </w:tcBorders>
            <w:tcMar>
              <w:top w:w="0" w:type="dxa"/>
              <w:left w:w="108" w:type="dxa"/>
              <w:bottom w:w="0" w:type="dxa"/>
              <w:right w:w="108" w:type="dxa"/>
            </w:tcMar>
            <w:vAlign w:val="center"/>
          </w:tcPr>
          <w:p w14:paraId="62301CDB">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本组合为企业及其他单位的应收款项</w:t>
            </w:r>
          </w:p>
        </w:tc>
      </w:tr>
    </w:tbl>
    <w:p w14:paraId="47F95685">
      <w:pPr>
        <w:pStyle w:val="10"/>
        <w:spacing w:before="145"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21.2 预期信用损失的会计处理方法</w:t>
      </w:r>
    </w:p>
    <w:p w14:paraId="4D6E3F7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信用损失准备的增加或转回金额，作为减值损失或利得计入当期损益。对于应收租赁款以外的其他长期应收款，本公司在前一会计期间已经按照相当于长期应收款整个存续期内预期信用损失的金额计量了损失准备，但在当期资产负债表日，该长期应收款已不再属于自初始确认后信用风险显著增加的情形的，本公司在当期资产负债表日按照相当于未来12个月内预期信用损失的金额计量该长期应收款的损失准备，由此形成的损失准备的转回金额作为减值利得计入当期损益。</w:t>
      </w:r>
    </w:p>
    <w:p w14:paraId="7F11D1E6">
      <w:pPr>
        <w:pStyle w:val="3"/>
        <w:spacing w:line="280" w:lineRule="exact"/>
        <w:jc w:val="left"/>
        <w:rPr>
          <w:rFonts w:ascii="Times New Roman" w:hAnsi="Times New Roman" w:cs="Times New Roman" w:eastAsiaTheme="majorEastAsia"/>
          <w:b/>
          <w:bCs/>
        </w:rPr>
      </w:pPr>
      <w:bookmarkStart w:id="188" w:name="_Toc989077"/>
      <w:r>
        <w:rPr>
          <w:rFonts w:ascii="Times New Roman" w:hAnsi="Times New Roman" w:cs="Times New Roman" w:eastAsiaTheme="majorEastAsia"/>
          <w:b/>
          <w:bCs/>
        </w:rPr>
        <w:t>22、长期股权投资</w:t>
      </w:r>
      <w:bookmarkEnd w:id="188"/>
    </w:p>
    <w:p w14:paraId="633BB2E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本部分所指的长期股权投资是指本公司对被投资单位具有控制、共同控制或重大影响的长期股权投资。</w:t>
      </w:r>
    </w:p>
    <w:p w14:paraId="3A8CC874">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22.1共同控制、重要影响的判断标准</w:t>
      </w:r>
    </w:p>
    <w:p w14:paraId="4F5E52B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共同控制，是指按照相关约定对某项安排所共有的控制，并且该安排的相关活动必须经过分享控制权的参与方一致同意后才能决策。</w:t>
      </w:r>
    </w:p>
    <w:p w14:paraId="6164F02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重大影响，是指投资方对被投资单位的财务和经营政策有参与决策的权力，但并不能够控制或者与其他方一起共同控制这些政策的制定。在确定能否对被投资单位施加重大影响时，应当考虑投资方和其他方持有的被投资单位当期可转换公司债券、当期可执行认股权证等潜在表决权因素。投资方能够对被投资单位施加重大影响的，被投资单位为其联营企业。</w:t>
      </w:r>
    </w:p>
    <w:p w14:paraId="1D84A27A">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22.2投资成本的确定</w:t>
      </w:r>
    </w:p>
    <w:p w14:paraId="2A7E19B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对于企业合并取得的长期股权投资，详见本节“五、6 同一控制下和非同一控制下企业合并的会计处理方法”。</w:t>
      </w:r>
    </w:p>
    <w:p w14:paraId="3FB9721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w:t>
      </w:r>
    </w:p>
    <w:p w14:paraId="775CED07">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22.3后续计量及损益确认方法</w:t>
      </w:r>
    </w:p>
    <w:p w14:paraId="60D17E6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对被投资单位具有共同控制（构成共同经营者除外）或重大影响的长期股权投资，采用权益法核算。此外，公司财务报表采用成本法核算能够对被投资单位实施控制的长期股权投资。</w:t>
      </w:r>
    </w:p>
    <w:p w14:paraId="058028B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22.3.1成本法核算的长期股权投资</w:t>
      </w:r>
    </w:p>
    <w:p w14:paraId="52964AA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14:paraId="39587349">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22.3.2权益法核算的长期股权投资</w:t>
      </w:r>
    </w:p>
    <w:p w14:paraId="2E16DD7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14:paraId="278F2CE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w:t>
      </w:r>
    </w:p>
    <w:p w14:paraId="2ECE997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14:paraId="564BFEA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对于本公司首次执行新会计准则之前已经持有的对联营企业和合营企业的长期股权投资，如存在与该投资相关的股权投资借方差额，按原剩余期限直线摊销的金额计入当期损益。</w:t>
      </w:r>
    </w:p>
    <w:p w14:paraId="5D523D1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22.3.3处置长期股权投资</w:t>
      </w:r>
    </w:p>
    <w:p w14:paraId="0D1072E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w:t>
      </w:r>
      <w:r>
        <w:rPr>
          <w:rFonts w:hint="eastAsia" w:cs="Times New Roman" w:asciiTheme="minorEastAsia" w:hAnsiTheme="minorEastAsia" w:eastAsiaTheme="minorEastAsia"/>
          <w:sz w:val="21"/>
          <w:szCs w:val="21"/>
        </w:rPr>
        <w:t>节</w:t>
      </w:r>
      <w:r>
        <w:rPr>
          <w:rFonts w:cs="Times New Roman" w:asciiTheme="minorEastAsia" w:hAnsiTheme="minorEastAsia" w:eastAsiaTheme="minorEastAsia"/>
          <w:sz w:val="21"/>
          <w:szCs w:val="21"/>
        </w:rPr>
        <w:t>“</w:t>
      </w:r>
      <w:r>
        <w:rPr>
          <w:rFonts w:hint="eastAsia" w:cs="Times New Roman" w:asciiTheme="minorEastAsia" w:hAnsiTheme="minorEastAsia" w:eastAsiaTheme="minorEastAsia"/>
          <w:sz w:val="21"/>
          <w:szCs w:val="21"/>
        </w:rPr>
        <w:t>五、</w:t>
      </w:r>
      <w:r>
        <w:rPr>
          <w:rFonts w:cs="Times New Roman" w:asciiTheme="minorEastAsia" w:hAnsiTheme="minorEastAsia" w:eastAsiaTheme="minorEastAsia"/>
          <w:sz w:val="21"/>
          <w:szCs w:val="21"/>
        </w:rPr>
        <w:t>7合并财务报表编制的方法”中所述的相关会计政策处理。</w:t>
      </w:r>
    </w:p>
    <w:p w14:paraId="67E224A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其他情形下的长期股权投资处置，对于处置的股权，其账面价值与实际取得价款的差额，计入当期损益。</w:t>
      </w:r>
    </w:p>
    <w:p w14:paraId="2EDB358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14:paraId="66A4DCD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14:paraId="39269826">
      <w:pPr>
        <w:pStyle w:val="3"/>
        <w:spacing w:line="280" w:lineRule="exact"/>
        <w:jc w:val="left"/>
        <w:rPr>
          <w:rFonts w:ascii="Times New Roman" w:hAnsi="Times New Roman" w:cs="Times New Roman" w:eastAsiaTheme="majorEastAsia"/>
          <w:b/>
          <w:bCs/>
        </w:rPr>
      </w:pPr>
      <w:bookmarkStart w:id="189" w:name="_Toc989078"/>
      <w:r>
        <w:rPr>
          <w:rFonts w:ascii="Times New Roman" w:hAnsi="Times New Roman" w:cs="Times New Roman" w:eastAsiaTheme="majorEastAsia"/>
          <w:b/>
          <w:bCs/>
        </w:rPr>
        <w:t>23、投资性房地产</w:t>
      </w:r>
      <w:bookmarkEnd w:id="189"/>
    </w:p>
    <w:p w14:paraId="6936112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投资性房地产计量模式</w:t>
      </w:r>
    </w:p>
    <w:p w14:paraId="4FBCE1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p w14:paraId="7E7B7C16">
      <w:pPr>
        <w:pStyle w:val="3"/>
        <w:spacing w:line="280" w:lineRule="exact"/>
        <w:jc w:val="left"/>
        <w:rPr>
          <w:rFonts w:ascii="Times New Roman" w:hAnsi="Times New Roman" w:cs="Times New Roman" w:eastAsiaTheme="majorEastAsia"/>
          <w:b/>
          <w:bCs/>
        </w:rPr>
      </w:pPr>
      <w:bookmarkStart w:id="190" w:name="_Toc989079"/>
      <w:r>
        <w:rPr>
          <w:rFonts w:ascii="Times New Roman" w:hAnsi="Times New Roman" w:cs="Times New Roman" w:eastAsiaTheme="majorEastAsia"/>
          <w:b/>
          <w:bCs/>
        </w:rPr>
        <w:t>24、固定资产</w:t>
      </w:r>
      <w:bookmarkEnd w:id="190"/>
    </w:p>
    <w:p w14:paraId="68E3FC6A">
      <w:pPr>
        <w:keepNext/>
        <w:keepLines/>
        <w:spacing w:before="300" w:after="300" w:line="280" w:lineRule="exact"/>
        <w:outlineLvl w:val="3"/>
        <w:rPr>
          <w:rFonts w:ascii="Times New Roman" w:hAnsi="Times New Roman" w:cs="Times New Roman" w:eastAsiaTheme="majorEastAsia"/>
          <w:b/>
          <w:bCs/>
          <w:szCs w:val="21"/>
        </w:rPr>
      </w:pPr>
      <w:bookmarkStart w:id="191" w:name="_Toc989080"/>
      <w:r>
        <w:rPr>
          <w:rFonts w:ascii="Times New Roman" w:hAnsi="Times New Roman" w:cs="Times New Roman" w:eastAsiaTheme="majorEastAsia"/>
          <w:b/>
          <w:bCs/>
          <w:szCs w:val="21"/>
        </w:rPr>
        <w:t>（1） 确认条件</w:t>
      </w:r>
      <w:bookmarkEnd w:id="191"/>
    </w:p>
    <w:p w14:paraId="49D3308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固定资产是指为生产商品、提供劳务、出租或经营管理而持有的，使用寿命超过一个会计年度的有形资产。固定资产仅在与其有关的经济利益很可能流入本公司，且其成本能够可靠地计量时才予以确认。固定资产按成本并考虑预计弃置费用因素的影响进行初始计量。</w:t>
      </w:r>
    </w:p>
    <w:p w14:paraId="7A5C9E2C">
      <w:pPr>
        <w:keepNext/>
        <w:keepLines/>
        <w:spacing w:before="300" w:after="300" w:line="280" w:lineRule="exact"/>
        <w:outlineLvl w:val="3"/>
        <w:rPr>
          <w:rFonts w:ascii="Times New Roman" w:hAnsi="Times New Roman" w:cs="Times New Roman" w:eastAsiaTheme="majorEastAsia"/>
          <w:b/>
          <w:bCs/>
          <w:szCs w:val="21"/>
        </w:rPr>
      </w:pPr>
      <w:bookmarkStart w:id="192" w:name="_Toc989081"/>
      <w:r>
        <w:rPr>
          <w:rFonts w:ascii="Times New Roman" w:hAnsi="Times New Roman" w:cs="Times New Roman" w:eastAsiaTheme="majorEastAsia"/>
          <w:b/>
          <w:bCs/>
          <w:szCs w:val="21"/>
        </w:rPr>
        <w:t>（2） 折旧方法</w:t>
      </w:r>
      <w:bookmarkEnd w:id="192"/>
    </w:p>
    <w:p w14:paraId="20801284">
      <w:pPr>
        <w:spacing w:line="0" w:lineRule="atLeast"/>
        <w:rPr>
          <w:rFonts w:ascii="Times New Roman" w:hAnsi="Times New Roman" w:cs="Times New Roman" w:eastAsiaTheme="majorEastAsia"/>
        </w:rPr>
      </w:pP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F198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73AC4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775B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折旧方法</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5625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折旧年限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F737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残值率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0DD9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年折旧率</w:t>
            </w:r>
          </w:p>
        </w:tc>
      </w:tr>
      <w:tr w14:paraId="699249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53772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房屋建筑物</w:t>
            </w:r>
          </w:p>
        </w:tc>
        <w:tc>
          <w:tcPr>
            <w:tcW w:w="1928" w:type="dxa"/>
            <w:tcBorders>
              <w:top w:val="single" w:color="auto" w:sz="2" w:space="0"/>
              <w:left w:val="single" w:color="auto" w:sz="2" w:space="0"/>
              <w:bottom w:val="single" w:color="auto" w:sz="2" w:space="0"/>
              <w:right w:val="single" w:color="auto" w:sz="2" w:space="0"/>
            </w:tcBorders>
            <w:vAlign w:val="center"/>
          </w:tcPr>
          <w:p w14:paraId="372FA0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797FED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20-30</w:t>
            </w:r>
          </w:p>
        </w:tc>
        <w:tc>
          <w:tcPr>
            <w:tcW w:w="1928" w:type="dxa"/>
            <w:tcBorders>
              <w:top w:val="single" w:color="auto" w:sz="2" w:space="0"/>
              <w:left w:val="single" w:color="auto" w:sz="2" w:space="0"/>
              <w:bottom w:val="single" w:color="auto" w:sz="2" w:space="0"/>
              <w:right w:val="single" w:color="auto" w:sz="2" w:space="0"/>
            </w:tcBorders>
            <w:vAlign w:val="center"/>
          </w:tcPr>
          <w:p w14:paraId="5DE466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1083A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3.17-4.75</w:t>
            </w:r>
          </w:p>
        </w:tc>
      </w:tr>
      <w:tr w14:paraId="5DE73A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E6792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运输设备</w:t>
            </w:r>
          </w:p>
        </w:tc>
        <w:tc>
          <w:tcPr>
            <w:tcW w:w="1928" w:type="dxa"/>
            <w:tcBorders>
              <w:top w:val="single" w:color="auto" w:sz="2" w:space="0"/>
              <w:left w:val="single" w:color="auto" w:sz="2" w:space="0"/>
              <w:bottom w:val="single" w:color="auto" w:sz="2" w:space="0"/>
              <w:right w:val="single" w:color="auto" w:sz="2" w:space="0"/>
            </w:tcBorders>
            <w:vAlign w:val="center"/>
          </w:tcPr>
          <w:p w14:paraId="429E2F1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3A814E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w:t>
            </w:r>
          </w:p>
        </w:tc>
        <w:tc>
          <w:tcPr>
            <w:tcW w:w="1928" w:type="dxa"/>
            <w:tcBorders>
              <w:top w:val="single" w:color="auto" w:sz="2" w:space="0"/>
              <w:left w:val="single" w:color="auto" w:sz="2" w:space="0"/>
              <w:bottom w:val="single" w:color="auto" w:sz="2" w:space="0"/>
              <w:right w:val="single" w:color="auto" w:sz="2" w:space="0"/>
            </w:tcBorders>
            <w:vAlign w:val="center"/>
          </w:tcPr>
          <w:p w14:paraId="2407AF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26FEBD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9.50-19.00</w:t>
            </w:r>
          </w:p>
        </w:tc>
      </w:tr>
      <w:tr w14:paraId="6BF5B0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2FA07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算力设备</w:t>
            </w:r>
          </w:p>
        </w:tc>
        <w:tc>
          <w:tcPr>
            <w:tcW w:w="1928" w:type="dxa"/>
            <w:tcBorders>
              <w:top w:val="single" w:color="auto" w:sz="2" w:space="0"/>
              <w:left w:val="single" w:color="auto" w:sz="2" w:space="0"/>
              <w:bottom w:val="single" w:color="auto" w:sz="2" w:space="0"/>
              <w:right w:val="single" w:color="auto" w:sz="2" w:space="0"/>
            </w:tcBorders>
            <w:vAlign w:val="center"/>
          </w:tcPr>
          <w:p w14:paraId="5178C9F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78174A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w:t>
            </w:r>
          </w:p>
        </w:tc>
        <w:tc>
          <w:tcPr>
            <w:tcW w:w="1928" w:type="dxa"/>
            <w:tcBorders>
              <w:top w:val="single" w:color="auto" w:sz="2" w:space="0"/>
              <w:left w:val="single" w:color="auto" w:sz="2" w:space="0"/>
              <w:bottom w:val="single" w:color="auto" w:sz="2" w:space="0"/>
              <w:right w:val="single" w:color="auto" w:sz="2" w:space="0"/>
            </w:tcBorders>
            <w:vAlign w:val="center"/>
          </w:tcPr>
          <w:p w14:paraId="679FCB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62341A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9.50-19.00</w:t>
            </w:r>
          </w:p>
        </w:tc>
      </w:tr>
      <w:tr w14:paraId="7FC240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573E71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新能源设备</w:t>
            </w:r>
          </w:p>
        </w:tc>
        <w:tc>
          <w:tcPr>
            <w:tcW w:w="1928" w:type="dxa"/>
            <w:tcBorders>
              <w:top w:val="single" w:color="auto" w:sz="2" w:space="0"/>
              <w:left w:val="single" w:color="auto" w:sz="2" w:space="0"/>
              <w:bottom w:val="single" w:color="auto" w:sz="2" w:space="0"/>
              <w:right w:val="single" w:color="auto" w:sz="2" w:space="0"/>
            </w:tcBorders>
            <w:vAlign w:val="center"/>
          </w:tcPr>
          <w:p w14:paraId="1191F5C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7A95F3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20-30</w:t>
            </w:r>
          </w:p>
        </w:tc>
        <w:tc>
          <w:tcPr>
            <w:tcW w:w="1928" w:type="dxa"/>
            <w:tcBorders>
              <w:top w:val="single" w:color="auto" w:sz="2" w:space="0"/>
              <w:left w:val="single" w:color="auto" w:sz="2" w:space="0"/>
              <w:bottom w:val="single" w:color="auto" w:sz="2" w:space="0"/>
              <w:right w:val="single" w:color="auto" w:sz="2" w:space="0"/>
            </w:tcBorders>
            <w:vAlign w:val="center"/>
          </w:tcPr>
          <w:p w14:paraId="54BC44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77416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3.17-4.75</w:t>
            </w:r>
          </w:p>
        </w:tc>
      </w:tr>
      <w:tr w14:paraId="55245F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217573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电子设备</w:t>
            </w:r>
          </w:p>
        </w:tc>
        <w:tc>
          <w:tcPr>
            <w:tcW w:w="1928" w:type="dxa"/>
            <w:tcBorders>
              <w:top w:val="single" w:color="auto" w:sz="2" w:space="0"/>
              <w:left w:val="single" w:color="auto" w:sz="2" w:space="0"/>
              <w:bottom w:val="single" w:color="auto" w:sz="2" w:space="0"/>
              <w:right w:val="single" w:color="auto" w:sz="2" w:space="0"/>
            </w:tcBorders>
            <w:vAlign w:val="center"/>
          </w:tcPr>
          <w:p w14:paraId="17D078C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3420271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4E4D63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46F15F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w:t>
            </w:r>
          </w:p>
        </w:tc>
      </w:tr>
      <w:tr w14:paraId="428DEB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2E011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办公设备及其他</w:t>
            </w:r>
          </w:p>
        </w:tc>
        <w:tc>
          <w:tcPr>
            <w:tcW w:w="1928" w:type="dxa"/>
            <w:tcBorders>
              <w:top w:val="single" w:color="auto" w:sz="2" w:space="0"/>
              <w:left w:val="single" w:color="auto" w:sz="2" w:space="0"/>
              <w:bottom w:val="single" w:color="auto" w:sz="2" w:space="0"/>
              <w:right w:val="single" w:color="auto" w:sz="2" w:space="0"/>
            </w:tcBorders>
            <w:vAlign w:val="center"/>
          </w:tcPr>
          <w:p w14:paraId="1C87A8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年限平均法</w:t>
            </w:r>
          </w:p>
        </w:tc>
        <w:tc>
          <w:tcPr>
            <w:tcW w:w="1928" w:type="dxa"/>
            <w:tcBorders>
              <w:top w:val="single" w:color="auto" w:sz="2" w:space="0"/>
              <w:left w:val="single" w:color="auto" w:sz="2" w:space="0"/>
              <w:bottom w:val="single" w:color="auto" w:sz="2" w:space="0"/>
              <w:right w:val="single" w:color="auto" w:sz="2" w:space="0"/>
            </w:tcBorders>
            <w:vAlign w:val="center"/>
          </w:tcPr>
          <w:p w14:paraId="1C3213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5B13E3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p>
        </w:tc>
        <w:tc>
          <w:tcPr>
            <w:tcW w:w="1928" w:type="dxa"/>
            <w:tcBorders>
              <w:top w:val="single" w:color="auto" w:sz="2" w:space="0"/>
              <w:left w:val="single" w:color="auto" w:sz="2" w:space="0"/>
              <w:bottom w:val="single" w:color="auto" w:sz="2" w:space="0"/>
              <w:right w:val="single" w:color="auto" w:sz="2" w:space="0"/>
            </w:tcBorders>
            <w:vAlign w:val="center"/>
          </w:tcPr>
          <w:p w14:paraId="000C97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w:t>
            </w:r>
          </w:p>
        </w:tc>
      </w:tr>
    </w:tbl>
    <w:p w14:paraId="5B7A86A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sz w:val="21"/>
          <w:szCs w:val="21"/>
        </w:rPr>
        <w:t>预计净残值是指假定固定资产预计使用寿命已满并处于使用寿命终了时的预期状态，本公司目前从该项资产处置中获得的扣除预计处置费用后的金额。</w:t>
      </w:r>
    </w:p>
    <w:p w14:paraId="6D2C2050">
      <w:pPr>
        <w:pStyle w:val="3"/>
        <w:spacing w:line="280" w:lineRule="exact"/>
        <w:jc w:val="left"/>
        <w:rPr>
          <w:rFonts w:ascii="Times New Roman" w:hAnsi="Times New Roman" w:cs="Times New Roman" w:eastAsiaTheme="majorEastAsia"/>
          <w:b/>
          <w:bCs/>
        </w:rPr>
      </w:pPr>
      <w:bookmarkStart w:id="193" w:name="_Toc989082"/>
      <w:r>
        <w:rPr>
          <w:rFonts w:ascii="Times New Roman" w:hAnsi="Times New Roman" w:cs="Times New Roman" w:eastAsiaTheme="majorEastAsia"/>
          <w:b/>
          <w:bCs/>
        </w:rPr>
        <w:t>25、在建工程</w:t>
      </w:r>
      <w:bookmarkEnd w:id="193"/>
    </w:p>
    <w:p w14:paraId="75A564A3">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25.1 初始计量</w:t>
      </w:r>
    </w:p>
    <w:p w14:paraId="24FC5DC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自行建造的在建工程按实际成本计价，实际成本由建造该项资产达到预定可使用状态前所发生的必要支出构成，包括工程用物资成本、人工成本、交纳的相关税费、应予资本化的借款费用以及应分摊的间接费用等。</w:t>
      </w:r>
    </w:p>
    <w:p w14:paraId="0B7B62D3">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color w:val="000000"/>
          <w:sz w:val="21"/>
          <w:szCs w:val="21"/>
        </w:rPr>
        <w:t>25.2 结转为固定资产的标准和时点</w:t>
      </w:r>
    </w:p>
    <w:p w14:paraId="29C0A2A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建工程项目按建造该项资产达到预定可使用状态前所发生的全部支出，作为固定资产的入账价值。所建造的在建工程已达到预定可使用状态，但尚未办理竣工决算的，自达到预定可使用状态之日起，根据工程预算、造价或者工程实际成本等，按估计的价值转入固定资产，并按本公司固定资产折旧政策计提固定资产的折旧，待办理竣工决算后，再按实际成本调整原来的暂估价值，但不调整原已计提的折旧额。</w:t>
      </w:r>
    </w:p>
    <w:tbl>
      <w:tblPr>
        <w:tblStyle w:val="12"/>
        <w:tblW w:w="5000" w:type="pct"/>
        <w:tblInd w:w="0" w:type="dxa"/>
        <w:tblLayout w:type="autofit"/>
        <w:tblCellMar>
          <w:top w:w="15" w:type="dxa"/>
          <w:left w:w="15" w:type="dxa"/>
          <w:bottom w:w="15" w:type="dxa"/>
          <w:right w:w="15" w:type="dxa"/>
        </w:tblCellMar>
      </w:tblPr>
      <w:tblGrid>
        <w:gridCol w:w="3565"/>
        <w:gridCol w:w="6288"/>
      </w:tblGrid>
      <w:tr w14:paraId="65248A63">
        <w:tblPrEx>
          <w:tblCellMar>
            <w:top w:w="15" w:type="dxa"/>
            <w:left w:w="15" w:type="dxa"/>
            <w:bottom w:w="15" w:type="dxa"/>
            <w:right w:w="15" w:type="dxa"/>
          </w:tblCellMar>
        </w:tblPrEx>
        <w:trPr>
          <w:trHeight w:val="284" w:hRule="atLeast"/>
        </w:trPr>
        <w:tc>
          <w:tcPr>
            <w:tcW w:w="1809"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550CD77">
            <w:pPr>
              <w:pStyle w:val="10"/>
              <w:spacing w:before="0" w:beforeAutospacing="0" w:after="0" w:afterAutospacing="0"/>
              <w:ind w:firstLine="361"/>
              <w:jc w:val="center"/>
              <w:rPr>
                <w:rFonts w:ascii="Times New Roman" w:hAnsi="Times New Roman" w:cs="Times New Roman" w:eastAsiaTheme="majorEastAsia"/>
                <w:sz w:val="21"/>
                <w:szCs w:val="21"/>
              </w:rPr>
            </w:pPr>
            <w:r>
              <w:rPr>
                <w:rStyle w:val="14"/>
                <w:rFonts w:ascii="Times New Roman" w:hAnsi="Times New Roman" w:cs="Times New Roman" w:eastAsiaTheme="majorEastAsia"/>
                <w:sz w:val="18"/>
                <w:szCs w:val="18"/>
              </w:rPr>
              <w:t>类别</w:t>
            </w:r>
          </w:p>
        </w:tc>
        <w:tc>
          <w:tcPr>
            <w:tcW w:w="3191"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242B24B9">
            <w:pPr>
              <w:pStyle w:val="10"/>
              <w:spacing w:before="0" w:beforeAutospacing="0" w:after="0" w:afterAutospacing="0"/>
              <w:ind w:firstLine="361"/>
              <w:jc w:val="center"/>
              <w:rPr>
                <w:rFonts w:ascii="Times New Roman" w:hAnsi="Times New Roman" w:cs="Times New Roman" w:eastAsiaTheme="majorEastAsia"/>
                <w:sz w:val="21"/>
                <w:szCs w:val="21"/>
              </w:rPr>
            </w:pPr>
            <w:r>
              <w:rPr>
                <w:rStyle w:val="14"/>
                <w:rFonts w:ascii="Times New Roman" w:hAnsi="Times New Roman" w:cs="Times New Roman" w:eastAsiaTheme="majorEastAsia"/>
                <w:sz w:val="18"/>
                <w:szCs w:val="18"/>
              </w:rPr>
              <w:t>在建工程结转为固定资产的标准和时点</w:t>
            </w:r>
          </w:p>
        </w:tc>
      </w:tr>
      <w:tr w14:paraId="0654B6F6">
        <w:tblPrEx>
          <w:tblCellMar>
            <w:top w:w="15" w:type="dxa"/>
            <w:left w:w="15" w:type="dxa"/>
            <w:bottom w:w="15" w:type="dxa"/>
            <w:right w:w="15" w:type="dxa"/>
          </w:tblCellMar>
        </w:tblPrEx>
        <w:trPr>
          <w:trHeight w:val="284" w:hRule="atLeast"/>
        </w:trPr>
        <w:tc>
          <w:tcPr>
            <w:tcW w:w="1809"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FCFA826">
            <w:pPr>
              <w:pStyle w:val="10"/>
              <w:spacing w:before="0" w:beforeAutospacing="0" w:after="0" w:afterAutospacing="0"/>
              <w:ind w:firstLine="36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房屋及建筑物</w:t>
            </w:r>
          </w:p>
        </w:tc>
        <w:tc>
          <w:tcPr>
            <w:tcW w:w="3191" w:type="pct"/>
            <w:tcBorders>
              <w:top w:val="nil"/>
              <w:left w:val="nil"/>
              <w:bottom w:val="single" w:color="auto" w:sz="8" w:space="0"/>
              <w:right w:val="single" w:color="auto" w:sz="8" w:space="0"/>
            </w:tcBorders>
            <w:tcMar>
              <w:top w:w="0" w:type="dxa"/>
              <w:left w:w="108" w:type="dxa"/>
              <w:bottom w:w="0" w:type="dxa"/>
              <w:right w:w="108" w:type="dxa"/>
            </w:tcMar>
            <w:vAlign w:val="center"/>
          </w:tcPr>
          <w:p w14:paraId="69535AE0">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满足建筑完工验收标准，整体达到预定可使用状态</w:t>
            </w:r>
          </w:p>
        </w:tc>
      </w:tr>
    </w:tbl>
    <w:p w14:paraId="38235A09">
      <w:pPr>
        <w:pStyle w:val="10"/>
        <w:spacing w:before="145" w:beforeAutospacing="0" w:after="0" w:afterAutospacing="0" w:line="360" w:lineRule="auto"/>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在建工程的减值测试方法和减值准备计提方法详见“本节</w:t>
      </w:r>
      <w:r>
        <w:rPr>
          <w:rFonts w:hint="eastAsia" w:ascii="Times New Roman" w:hAnsi="Times New Roman" w:cs="Times New Roman" w:eastAsiaTheme="majorEastAsia"/>
          <w:sz w:val="21"/>
          <w:szCs w:val="21"/>
        </w:rPr>
        <w:t xml:space="preserve"> </w:t>
      </w:r>
      <w:r>
        <w:rPr>
          <w:rFonts w:ascii="Times New Roman" w:hAnsi="Times New Roman" w:cs="Times New Roman" w:eastAsiaTheme="majorEastAsia"/>
          <w:sz w:val="21"/>
          <w:szCs w:val="21"/>
        </w:rPr>
        <w:t>五、28</w:t>
      </w:r>
      <w:r>
        <w:rPr>
          <w:rFonts w:hint="eastAsia" w:ascii="Times New Roman" w:hAnsi="Times New Roman" w:cs="Times New Roman" w:eastAsiaTheme="majorEastAsia"/>
          <w:sz w:val="21"/>
          <w:szCs w:val="21"/>
        </w:rPr>
        <w:t xml:space="preserve"> </w:t>
      </w:r>
      <w:r>
        <w:rPr>
          <w:rFonts w:ascii="Times New Roman" w:hAnsi="Times New Roman" w:cs="Times New Roman" w:eastAsiaTheme="majorEastAsia"/>
          <w:sz w:val="21"/>
          <w:szCs w:val="21"/>
        </w:rPr>
        <w:t>长期资产减值”。</w:t>
      </w:r>
    </w:p>
    <w:p w14:paraId="1693704A">
      <w:pPr>
        <w:pStyle w:val="3"/>
        <w:spacing w:line="280" w:lineRule="exact"/>
        <w:jc w:val="left"/>
        <w:rPr>
          <w:rFonts w:ascii="Times New Roman" w:hAnsi="Times New Roman" w:cs="Times New Roman" w:eastAsiaTheme="majorEastAsia"/>
          <w:b/>
          <w:bCs/>
        </w:rPr>
      </w:pPr>
      <w:bookmarkStart w:id="194" w:name="_Toc989083"/>
      <w:r>
        <w:rPr>
          <w:rFonts w:ascii="Times New Roman" w:hAnsi="Times New Roman" w:cs="Times New Roman" w:eastAsiaTheme="majorEastAsia"/>
          <w:b/>
          <w:bCs/>
        </w:rPr>
        <w:t>26、借款费用</w:t>
      </w:r>
      <w:bookmarkEnd w:id="194"/>
    </w:p>
    <w:p w14:paraId="7D8090D6">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26.1借款费用资本化的确认原则</w:t>
      </w:r>
    </w:p>
    <w:p w14:paraId="4481F76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本公司发生的借款费用，可直接归属于符合资本化条件的资产的购建或者生产的，予以资本化，计入相关资产成本；其他借款费用，在发生时根据其发生额确认为费用，计入当期损益。</w:t>
      </w:r>
    </w:p>
    <w:p w14:paraId="3A0F1FA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符合资本化条件的资产，是指需要经过相当长时间的购建或者生产活动才能达到预定可使用或者可销售状态的固定资产、投资性房地产和存货等资产。</w:t>
      </w:r>
    </w:p>
    <w:p w14:paraId="3F9415F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借款费用同时满足下列条件时开始资本化：</w:t>
      </w:r>
    </w:p>
    <w:p w14:paraId="7A5E625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（1）资产支出已经发生，资产支出包括为购建或者生产符合资本化条件的资产而以支付现金、转移非现金资产或者承担带息债务形式发生的支出；</w:t>
      </w:r>
    </w:p>
    <w:p w14:paraId="1CBD91E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（2）借款费用已经发生；</w:t>
      </w:r>
    </w:p>
    <w:p w14:paraId="207B89E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（3）为使资产达到预定可使用或者可销售状态所必要的购建或者生产活动已经开始。</w:t>
      </w:r>
    </w:p>
    <w:p w14:paraId="40CA57B9">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26.2借款费用资本化期间</w:t>
      </w:r>
    </w:p>
    <w:p w14:paraId="300F780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资本化期间，指从借款费用开始资本化时点到停止资本化时点的期间，借款费用暂停资本化的期间不包括在内。</w:t>
      </w:r>
    </w:p>
    <w:p w14:paraId="3E74FDB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当购建或者生产符合资本化条件的资产达到预定可使用或者可销售状态时，借款费用停止资本化。</w:t>
      </w:r>
    </w:p>
    <w:p w14:paraId="0D60D21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当购建或者生产符合资本化条件的资产中部分项目分别完工且可单独使用时，该部分资产借款费用停止资本化。</w:t>
      </w:r>
    </w:p>
    <w:p w14:paraId="71CA8DA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购建或者生产的资产的各部分分别完工，但必须等到整体完工后才可使用或可对外销售的，在该资产整体完工时停止借款费用资本化。</w:t>
      </w:r>
    </w:p>
    <w:p w14:paraId="0FEDAFB3">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26.3暂停资本化期间</w:t>
      </w:r>
    </w:p>
    <w:p w14:paraId="535867C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符合资本化条件的资产在购建或生产过程中发生的非正常中断、且中断时间连续超过3个月的，则借款费用暂停资本化；该项中断如是所购建或生产的符合资本化条件的资产达到预定可使用状态或者可销售状态必要的程序，则借款费用继续资本化。在中断期间发生的借款费用确认为当期损益，直至资产的购建或者生产活动重新开始后借款费用继续资本化。</w:t>
      </w:r>
    </w:p>
    <w:p w14:paraId="017B9B7C">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26.4借款费用资本化金额的计算方法</w:t>
      </w:r>
    </w:p>
    <w:p w14:paraId="7F88392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专门借款的利息费用（扣除尚未动用的借款资金存入银行取得的利息收入或者进行暂时性投资取得的投资收益）及其辅助费用在所购建或者生产的符合资本化条件的资产达到预定可使用或者可销售状态前，予以资本化。</w:t>
      </w:r>
    </w:p>
    <w:p w14:paraId="5CB87C0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根据累计资产支出超过专门借款部分的资产支出加权平均数乘以所占用一般借款的资本化率，计算确定一般借款应予资本化的利息金额。资本化率根据一般借款加权平均利率计算确定。</w:t>
      </w:r>
    </w:p>
    <w:p w14:paraId="4C13334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借款存在折价或者溢价的，按照实际利率法确定每一会计期间应摊销的折价或者溢价金额，调整每期利息金额。</w:t>
      </w:r>
    </w:p>
    <w:p w14:paraId="7A7484F2">
      <w:pPr>
        <w:pStyle w:val="3"/>
        <w:spacing w:line="280" w:lineRule="exact"/>
        <w:jc w:val="left"/>
        <w:rPr>
          <w:rFonts w:ascii="Times New Roman" w:hAnsi="Times New Roman" w:cs="Times New Roman" w:eastAsiaTheme="majorEastAsia"/>
          <w:b/>
          <w:bCs/>
        </w:rPr>
      </w:pPr>
      <w:bookmarkStart w:id="195" w:name="_Toc989084"/>
      <w:r>
        <w:rPr>
          <w:rFonts w:ascii="Times New Roman" w:hAnsi="Times New Roman" w:cs="Times New Roman" w:eastAsiaTheme="majorEastAsia"/>
          <w:b/>
          <w:bCs/>
        </w:rPr>
        <w:t>27、无形资产</w:t>
      </w:r>
      <w:bookmarkEnd w:id="195"/>
    </w:p>
    <w:p w14:paraId="523B1936">
      <w:pPr>
        <w:keepNext/>
        <w:keepLines/>
        <w:spacing w:before="300" w:after="300" w:line="280" w:lineRule="exact"/>
        <w:outlineLvl w:val="3"/>
        <w:rPr>
          <w:rFonts w:ascii="Times New Roman" w:hAnsi="Times New Roman" w:cs="Times New Roman" w:eastAsiaTheme="majorEastAsia"/>
          <w:b/>
          <w:bCs/>
          <w:szCs w:val="21"/>
        </w:rPr>
      </w:pPr>
      <w:bookmarkStart w:id="196" w:name="_Toc989085"/>
      <w:r>
        <w:rPr>
          <w:rFonts w:ascii="Times New Roman" w:hAnsi="Times New Roman" w:cs="Times New Roman" w:eastAsiaTheme="majorEastAsia"/>
          <w:b/>
          <w:bCs/>
          <w:szCs w:val="21"/>
        </w:rPr>
        <w:t>（1） 使用寿命及其确定依据、估计情况、摊销方法或复核程序</w:t>
      </w:r>
      <w:bookmarkEnd w:id="196"/>
    </w:p>
    <w:p w14:paraId="1D85756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无形资产是指本公司拥有或者控制的没有实物形态的可辨认非货币性资产。</w:t>
      </w:r>
    </w:p>
    <w:p w14:paraId="3CF3C3B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无形资产按成本进行初始计量。与无形资产有关的支出，如果相关的经济利益很可能流入本公司且其成本能可靠地计量，则计入无形资产成本。除此以外的其他项目的支出，在发生时计入当期损益。</w:t>
      </w:r>
    </w:p>
    <w:p w14:paraId="399339E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取得的土地使用权通常作为无形资产核算。自行开发建造厂房等建筑物，相关的土地使用权支出和建筑物建造成本则分别作为无形资产和固定资产核算。如为外购的房屋及建筑物，则将有关价款在土地使用权和建筑物之间进行分配，难以合理分配的，全部作为固定资产处理。</w:t>
      </w:r>
    </w:p>
    <w:p w14:paraId="6903363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使用寿命有限的无形资产自可供使用时起，对其原值减去预计净残值和已计提的减值准备累计金额在其预计使用寿命内采用直线法分期平均摊销。</w:t>
      </w:r>
    </w:p>
    <w:tbl>
      <w:tblPr>
        <w:tblStyle w:val="12"/>
        <w:tblW w:w="5000" w:type="pct"/>
        <w:tblInd w:w="0" w:type="dxa"/>
        <w:tblLayout w:type="autofit"/>
        <w:tblCellMar>
          <w:top w:w="0" w:type="dxa"/>
          <w:left w:w="0" w:type="dxa"/>
          <w:bottom w:w="0" w:type="dxa"/>
          <w:right w:w="0" w:type="dxa"/>
        </w:tblCellMar>
      </w:tblPr>
      <w:tblGrid>
        <w:gridCol w:w="4917"/>
        <w:gridCol w:w="4936"/>
      </w:tblGrid>
      <w:tr w14:paraId="0AA21B66">
        <w:tblPrEx>
          <w:tblCellMar>
            <w:top w:w="0" w:type="dxa"/>
            <w:left w:w="0" w:type="dxa"/>
            <w:bottom w:w="0" w:type="dxa"/>
            <w:right w:w="0" w:type="dxa"/>
          </w:tblCellMar>
        </w:tblPrEx>
        <w:trPr>
          <w:trHeight w:val="284" w:hRule="atLeast"/>
        </w:trPr>
        <w:tc>
          <w:tcPr>
            <w:tcW w:w="2495"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1C61DC47">
            <w:pPr>
              <w:pStyle w:val="10"/>
              <w:spacing w:before="0" w:beforeAutospacing="0" w:after="0" w:afterAutospacing="0" w:line="240" w:lineRule="atLeast"/>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类别</w:t>
            </w:r>
          </w:p>
        </w:tc>
        <w:tc>
          <w:tcPr>
            <w:tcW w:w="2505"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208906E6">
            <w:pPr>
              <w:pStyle w:val="10"/>
              <w:spacing w:before="0" w:beforeAutospacing="0" w:after="0" w:afterAutospacing="0" w:line="240" w:lineRule="atLeast"/>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21"/>
                <w:szCs w:val="21"/>
              </w:rPr>
              <w:t>摊销年限(年)</w:t>
            </w:r>
          </w:p>
        </w:tc>
      </w:tr>
      <w:tr w14:paraId="35CA387F">
        <w:tblPrEx>
          <w:tblCellMar>
            <w:top w:w="0" w:type="dxa"/>
            <w:left w:w="0" w:type="dxa"/>
            <w:bottom w:w="0" w:type="dxa"/>
            <w:right w:w="0" w:type="dxa"/>
          </w:tblCellMar>
        </w:tblPrEx>
        <w:trPr>
          <w:trHeight w:val="284" w:hRule="atLeast"/>
        </w:trPr>
        <w:tc>
          <w:tcPr>
            <w:tcW w:w="2495"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DD83EE9">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非专利技术</w:t>
            </w:r>
          </w:p>
        </w:tc>
        <w:tc>
          <w:tcPr>
            <w:tcW w:w="2505" w:type="pct"/>
            <w:tcBorders>
              <w:top w:val="nil"/>
              <w:left w:val="nil"/>
              <w:bottom w:val="single" w:color="auto" w:sz="8" w:space="0"/>
              <w:right w:val="single" w:color="auto" w:sz="8" w:space="0"/>
            </w:tcBorders>
            <w:tcMar>
              <w:top w:w="0" w:type="dxa"/>
              <w:left w:w="108" w:type="dxa"/>
              <w:bottom w:w="0" w:type="dxa"/>
              <w:right w:w="108" w:type="dxa"/>
            </w:tcMar>
            <w:vAlign w:val="center"/>
          </w:tcPr>
          <w:p w14:paraId="3A10B8C8">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r w14:paraId="399524EB">
        <w:tblPrEx>
          <w:tblCellMar>
            <w:top w:w="0" w:type="dxa"/>
            <w:left w:w="0" w:type="dxa"/>
            <w:bottom w:w="0" w:type="dxa"/>
            <w:right w:w="0" w:type="dxa"/>
          </w:tblCellMar>
        </w:tblPrEx>
        <w:trPr>
          <w:trHeight w:val="284" w:hRule="atLeast"/>
        </w:trPr>
        <w:tc>
          <w:tcPr>
            <w:tcW w:w="2495"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B5322A3">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著作权</w:t>
            </w:r>
          </w:p>
        </w:tc>
        <w:tc>
          <w:tcPr>
            <w:tcW w:w="2505" w:type="pct"/>
            <w:tcBorders>
              <w:top w:val="nil"/>
              <w:left w:val="nil"/>
              <w:bottom w:val="single" w:color="auto" w:sz="8" w:space="0"/>
              <w:right w:val="single" w:color="auto" w:sz="8" w:space="0"/>
            </w:tcBorders>
            <w:tcMar>
              <w:top w:w="0" w:type="dxa"/>
              <w:left w:w="108" w:type="dxa"/>
              <w:bottom w:w="0" w:type="dxa"/>
              <w:right w:w="108" w:type="dxa"/>
            </w:tcMar>
            <w:vAlign w:val="center"/>
          </w:tcPr>
          <w:p w14:paraId="6688B6EC">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r w14:paraId="4E3D2F00">
        <w:tblPrEx>
          <w:tblCellMar>
            <w:top w:w="0" w:type="dxa"/>
            <w:left w:w="0" w:type="dxa"/>
            <w:bottom w:w="0" w:type="dxa"/>
            <w:right w:w="0" w:type="dxa"/>
          </w:tblCellMar>
        </w:tblPrEx>
        <w:trPr>
          <w:trHeight w:val="284" w:hRule="atLeast"/>
        </w:trPr>
        <w:tc>
          <w:tcPr>
            <w:tcW w:w="2495"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46646D80">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软件</w:t>
            </w:r>
          </w:p>
        </w:tc>
        <w:tc>
          <w:tcPr>
            <w:tcW w:w="2505" w:type="pct"/>
            <w:tcBorders>
              <w:top w:val="nil"/>
              <w:left w:val="nil"/>
              <w:bottom w:val="single" w:color="auto" w:sz="8" w:space="0"/>
              <w:right w:val="single" w:color="auto" w:sz="8" w:space="0"/>
            </w:tcBorders>
            <w:tcMar>
              <w:top w:w="0" w:type="dxa"/>
              <w:left w:w="108" w:type="dxa"/>
              <w:bottom w:w="0" w:type="dxa"/>
              <w:right w:w="108" w:type="dxa"/>
            </w:tcMar>
            <w:vAlign w:val="center"/>
          </w:tcPr>
          <w:p w14:paraId="06076AB2">
            <w:pPr>
              <w:pStyle w:val="10"/>
              <w:spacing w:before="0" w:beforeAutospacing="0" w:after="0" w:afterAutospacing="0" w:line="240" w:lineRule="atLeast"/>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5</w:t>
            </w:r>
          </w:p>
        </w:tc>
      </w:tr>
    </w:tbl>
    <w:p w14:paraId="5400274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使用寿命不确定的无形资产不予摊销。</w:t>
      </w:r>
    </w:p>
    <w:p w14:paraId="0A9E04D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期末，对使用寿命有限的无形资产的使用寿命和摊销方法进行复核，如发生变更则作为会计估计变更处理。此外，还对使用寿命不确定的无形资产的使用寿命进行复核，如果有证据表明该无形资产为企业带来经济利益的期限是可预见的，则估计其使用寿命并按照使用寿命有限的无形资产的摊销政策进行摊销。</w:t>
      </w:r>
    </w:p>
    <w:p w14:paraId="75E50EAD">
      <w:pPr>
        <w:keepNext/>
        <w:keepLines/>
        <w:spacing w:before="300" w:after="300" w:line="280" w:lineRule="exact"/>
        <w:outlineLvl w:val="3"/>
        <w:rPr>
          <w:rFonts w:ascii="Times New Roman" w:hAnsi="Times New Roman" w:cs="Times New Roman" w:eastAsiaTheme="majorEastAsia"/>
          <w:b/>
          <w:bCs/>
          <w:szCs w:val="21"/>
        </w:rPr>
      </w:pPr>
      <w:bookmarkStart w:id="197" w:name="_Toc989086"/>
      <w:r>
        <w:rPr>
          <w:rFonts w:ascii="Times New Roman" w:hAnsi="Times New Roman" w:cs="Times New Roman" w:eastAsiaTheme="majorEastAsia"/>
          <w:b/>
          <w:bCs/>
          <w:szCs w:val="21"/>
        </w:rPr>
        <w:t>（2） 研发支出的归集范围及相关会计处理方法</w:t>
      </w:r>
      <w:bookmarkEnd w:id="197"/>
    </w:p>
    <w:p w14:paraId="07ABC80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本公司内部研究开发项目的支出分为研究阶段支出与开发阶段支出。</w:t>
      </w:r>
    </w:p>
    <w:p w14:paraId="38485CA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研究阶段的支出，于发生时计入当期损益。</w:t>
      </w:r>
    </w:p>
    <w:p w14:paraId="2377A0B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开发阶段的支出同时满足下列条件的，确认为无形资产，不能满足下述条件的开发阶段的支出计入当期损益：</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完成该无形资产以使其能够使用或出售在技术上具有可行性；</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具有完成该无形资产并使用或出售的意图；</w:t>
      </w:r>
      <w:r>
        <w:rPr>
          <w:rFonts w:hint="eastAsia" w:cs="Times New Roman" w:asciiTheme="minorEastAsia" w:hAnsiTheme="minorEastAsia" w:eastAsiaTheme="minorEastAsia"/>
          <w:sz w:val="21"/>
          <w:szCs w:val="21"/>
        </w:rPr>
        <w:t>③</w:t>
      </w:r>
      <w:r>
        <w:rPr>
          <w:rFonts w:cs="Times New Roman" w:asciiTheme="minorEastAsia" w:hAnsiTheme="minorEastAsia" w:eastAsiaTheme="minorEastAsia"/>
          <w:sz w:val="21"/>
          <w:szCs w:val="21"/>
        </w:rPr>
        <w:t>无形资产产生经济利益的方式，包括能够证明运用该无形资产生产的产品存在市场或无形资产自身存在市场，无形资产将在内部使用的，能够证明其有用性；</w:t>
      </w:r>
      <w:r>
        <w:rPr>
          <w:rFonts w:hint="eastAsia" w:cs="Times New Roman" w:asciiTheme="minorEastAsia" w:hAnsiTheme="minorEastAsia" w:eastAsiaTheme="minorEastAsia"/>
          <w:sz w:val="21"/>
          <w:szCs w:val="21"/>
        </w:rPr>
        <w:t>④</w:t>
      </w:r>
      <w:r>
        <w:rPr>
          <w:rFonts w:cs="Times New Roman" w:asciiTheme="minorEastAsia" w:hAnsiTheme="minorEastAsia" w:eastAsiaTheme="minorEastAsia"/>
          <w:sz w:val="21"/>
          <w:szCs w:val="21"/>
        </w:rPr>
        <w:t>有足够的技术、财务资源和其他资源支持，以完成该无形资产的开发，并有能力使用或出售该无形资产；</w:t>
      </w:r>
      <w:r>
        <w:rPr>
          <w:rFonts w:hint="eastAsia" w:cs="Times New Roman" w:asciiTheme="minorEastAsia" w:hAnsiTheme="minorEastAsia" w:eastAsiaTheme="minorEastAsia"/>
          <w:sz w:val="21"/>
          <w:szCs w:val="21"/>
        </w:rPr>
        <w:t>⑤</w:t>
      </w:r>
      <w:r>
        <w:rPr>
          <w:rFonts w:cs="Times New Roman" w:asciiTheme="minorEastAsia" w:hAnsiTheme="minorEastAsia" w:eastAsiaTheme="minorEastAsia"/>
          <w:sz w:val="21"/>
          <w:szCs w:val="21"/>
        </w:rPr>
        <w:t>归属于该无形资产开发阶段的支出能够可靠地计量。</w:t>
      </w:r>
    </w:p>
    <w:p w14:paraId="45D51E7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cs="Times New Roman" w:asciiTheme="minorEastAsia" w:hAnsiTheme="minorEastAsia" w:eastAsiaTheme="minorEastAsia"/>
          <w:sz w:val="21"/>
          <w:szCs w:val="21"/>
        </w:rPr>
        <w:t>无法区分研究阶段支出和开发阶段支出的，将发生的研发支出全部计入当期损益。</w:t>
      </w:r>
    </w:p>
    <w:p w14:paraId="1054CB65">
      <w:pPr>
        <w:pStyle w:val="3"/>
        <w:spacing w:line="280" w:lineRule="exact"/>
        <w:jc w:val="left"/>
        <w:rPr>
          <w:rFonts w:ascii="Times New Roman" w:hAnsi="Times New Roman" w:cs="Times New Roman" w:eastAsiaTheme="majorEastAsia"/>
          <w:b/>
          <w:bCs/>
        </w:rPr>
      </w:pPr>
      <w:bookmarkStart w:id="198" w:name="_Toc989087"/>
      <w:r>
        <w:rPr>
          <w:rFonts w:ascii="Times New Roman" w:hAnsi="Times New Roman" w:cs="Times New Roman" w:eastAsiaTheme="majorEastAsia"/>
          <w:b/>
          <w:bCs/>
        </w:rPr>
        <w:t>28、长期资产减值</w:t>
      </w:r>
      <w:bookmarkEnd w:id="198"/>
    </w:p>
    <w:p w14:paraId="73CC738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固定资产、在建工程、使用寿命有限的无形资产及对子公司、合营企业、联营企业的长期股权投资等非流动非金融资产，本公司于资产负债表日判断是否存在减值迹象。如存在减值迹象的，则估计其可收回金额，进行减值测试。商誉、使用寿命不确定的无形资产和尚未达到可使用状态的无形资产，无论是否存在减值迹象，每年均进行减值测试。</w:t>
      </w:r>
    </w:p>
    <w:p w14:paraId="76300A9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减值测试结果表明资产的可收回金额低于其账面价值的，按其差额计提减值准备并计入减值损失。可收回金额为资产的公允价值减去处置费用后的净额与资产预计未来现金流量的现值两者之间的较高者。资产的公允价值根据公平交易中销售协议价格确定；不存在销售协议但存在资产活跃市场的，公允价值按照该资产的买方出价确定；不存在销售协议和资产活跃市场的，则以可获取的最佳信息为基础估计资产的公允价值。处置费用包括与资产处置有关的法律费用、相关税费、搬运费以及为使资产达到可销售状态所发生的直接费用。资产预计未来现金流量的现值，按照资产在持续使用过程中和最终处置时所产生的预计未来现金流量，选择恰当的折现率对其进行折现后的金额加以确定。资产减值准备按单项资产为基础计算并确认，如果难以对单项资产的可收回金额进行估计的，以该资产所属的资产组确定资产组的可收回金额。资产组是能够独立产生现金流入的最小资产组合。</w:t>
      </w:r>
    </w:p>
    <w:p w14:paraId="7D3D81B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03DA510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上述资产减值损失一经确认，以后期间不予转回价值得以恢复的部分。</w:t>
      </w:r>
    </w:p>
    <w:p w14:paraId="15A52B19">
      <w:pPr>
        <w:pStyle w:val="3"/>
        <w:spacing w:line="280" w:lineRule="exact"/>
        <w:jc w:val="left"/>
        <w:rPr>
          <w:rFonts w:ascii="Times New Roman" w:hAnsi="Times New Roman" w:cs="Times New Roman" w:eastAsiaTheme="majorEastAsia"/>
          <w:b/>
          <w:bCs/>
        </w:rPr>
      </w:pPr>
      <w:bookmarkStart w:id="199" w:name="_Toc989088"/>
      <w:r>
        <w:rPr>
          <w:rFonts w:ascii="Times New Roman" w:hAnsi="Times New Roman" w:cs="Times New Roman" w:eastAsiaTheme="majorEastAsia"/>
          <w:b/>
          <w:bCs/>
        </w:rPr>
        <w:t>29、长期待摊费用</w:t>
      </w:r>
      <w:bookmarkEnd w:id="199"/>
    </w:p>
    <w:p w14:paraId="56019C6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长期待摊费用为已经发生但应由报告期和以后各期负担的分摊期限在一年以上的各项费用。本公司的长期待摊费用主要包括办公室装修费用。长期待摊费用在预计受益期间按直线法摊销。</w:t>
      </w:r>
    </w:p>
    <w:p w14:paraId="7E68CF86">
      <w:pPr>
        <w:pStyle w:val="3"/>
        <w:spacing w:line="280" w:lineRule="exact"/>
        <w:jc w:val="left"/>
        <w:rPr>
          <w:rFonts w:ascii="Times New Roman" w:hAnsi="Times New Roman" w:cs="Times New Roman" w:eastAsiaTheme="majorEastAsia"/>
          <w:b/>
          <w:bCs/>
        </w:rPr>
      </w:pPr>
      <w:bookmarkStart w:id="200" w:name="_Toc989089"/>
      <w:r>
        <w:rPr>
          <w:rFonts w:ascii="Times New Roman" w:hAnsi="Times New Roman" w:cs="Times New Roman" w:eastAsiaTheme="majorEastAsia"/>
          <w:b/>
          <w:bCs/>
        </w:rPr>
        <w:t>30、合同负债</w:t>
      </w:r>
      <w:bookmarkEnd w:id="200"/>
    </w:p>
    <w:p w14:paraId="0F160C8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14:paraId="0D5674FD">
      <w:pPr>
        <w:pStyle w:val="3"/>
        <w:spacing w:line="280" w:lineRule="exact"/>
        <w:jc w:val="left"/>
        <w:rPr>
          <w:rFonts w:ascii="Times New Roman" w:hAnsi="Times New Roman" w:cs="Times New Roman" w:eastAsiaTheme="majorEastAsia"/>
          <w:b/>
          <w:bCs/>
        </w:rPr>
      </w:pPr>
      <w:bookmarkStart w:id="201" w:name="_Toc989090"/>
      <w:r>
        <w:rPr>
          <w:rFonts w:ascii="Times New Roman" w:hAnsi="Times New Roman" w:cs="Times New Roman" w:eastAsiaTheme="majorEastAsia"/>
          <w:b/>
          <w:bCs/>
        </w:rPr>
        <w:t>31、职工薪酬</w:t>
      </w:r>
      <w:bookmarkEnd w:id="201"/>
    </w:p>
    <w:p w14:paraId="4F45E723">
      <w:pPr>
        <w:keepNext/>
        <w:keepLines/>
        <w:spacing w:before="300" w:after="300" w:line="280" w:lineRule="exact"/>
        <w:outlineLvl w:val="3"/>
        <w:rPr>
          <w:rFonts w:ascii="Times New Roman" w:hAnsi="Times New Roman" w:cs="Times New Roman" w:eastAsiaTheme="majorEastAsia"/>
          <w:b/>
          <w:bCs/>
          <w:szCs w:val="21"/>
        </w:rPr>
      </w:pPr>
      <w:bookmarkStart w:id="202" w:name="_Toc989091"/>
      <w:r>
        <w:rPr>
          <w:rFonts w:ascii="Times New Roman" w:hAnsi="Times New Roman" w:cs="Times New Roman" w:eastAsiaTheme="majorEastAsia"/>
          <w:b/>
          <w:bCs/>
          <w:szCs w:val="21"/>
        </w:rPr>
        <w:t>（1） 短期薪酬的会计处理方法</w:t>
      </w:r>
      <w:bookmarkEnd w:id="202"/>
    </w:p>
    <w:p w14:paraId="3EEA23E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短期薪酬主要包括工资、奖金、津贴和补贴、职工福利费、医疗保险费、生育保险费、工伤保险费、住房公积金、工会经费和职工教育经费、非货币性福利等。本公司在职工为本公司提供服务的会计期间将实际发生的短期职工薪酬确认为负债，并计入当期损益或相关资产成本。其中非货币性福利按公允价值计量。</w:t>
      </w:r>
    </w:p>
    <w:p w14:paraId="4172CD9A">
      <w:pPr>
        <w:keepNext/>
        <w:keepLines/>
        <w:spacing w:before="300" w:after="300" w:line="280" w:lineRule="exact"/>
        <w:outlineLvl w:val="3"/>
        <w:rPr>
          <w:rFonts w:ascii="Times New Roman" w:hAnsi="Times New Roman" w:cs="Times New Roman" w:eastAsiaTheme="majorEastAsia"/>
          <w:b/>
          <w:bCs/>
          <w:szCs w:val="21"/>
        </w:rPr>
      </w:pPr>
      <w:bookmarkStart w:id="203" w:name="_Toc989092"/>
      <w:r>
        <w:rPr>
          <w:rFonts w:ascii="Times New Roman" w:hAnsi="Times New Roman" w:cs="Times New Roman" w:eastAsiaTheme="majorEastAsia"/>
          <w:b/>
          <w:bCs/>
          <w:szCs w:val="21"/>
        </w:rPr>
        <w:t>（2） 离职后福利的会计处理方法</w:t>
      </w:r>
      <w:bookmarkEnd w:id="203"/>
    </w:p>
    <w:p w14:paraId="41F03A5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离职后福利主要包括基本养老保险、失业保险以及年金等。离职后福利计划包括设定提存计划。采用设定提存计划的，相应的应缴存金额于发生时计入相关资产成本或当期损益。</w:t>
      </w:r>
    </w:p>
    <w:p w14:paraId="105F00AA">
      <w:pPr>
        <w:keepNext/>
        <w:keepLines/>
        <w:spacing w:before="300" w:after="300" w:line="280" w:lineRule="exact"/>
        <w:outlineLvl w:val="3"/>
        <w:rPr>
          <w:rFonts w:ascii="Times New Roman" w:hAnsi="Times New Roman" w:cs="Times New Roman" w:eastAsiaTheme="majorEastAsia"/>
          <w:b/>
          <w:bCs/>
          <w:szCs w:val="21"/>
        </w:rPr>
      </w:pPr>
      <w:bookmarkStart w:id="204" w:name="_Toc989093"/>
      <w:r>
        <w:rPr>
          <w:rFonts w:ascii="Times New Roman" w:hAnsi="Times New Roman" w:cs="Times New Roman" w:eastAsiaTheme="majorEastAsia"/>
          <w:b/>
          <w:bCs/>
          <w:szCs w:val="21"/>
        </w:rPr>
        <w:t>（3） 辞退福利的会计处理方法</w:t>
      </w:r>
      <w:bookmarkEnd w:id="204"/>
    </w:p>
    <w:p w14:paraId="3421C85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职工劳动合同到期之前解除与职工的劳动关系，或为鼓励职工自愿接受裁减而提出给予补偿的建议，在本公司不能单方面撤回因解除劳动关系计划或裁减建议所提供的辞退福利时，和本公司确认与涉及支付辞退福利的重组相关的成本两者孰早日，确认辞退福利产生的职工薪酬负债，并计入当期损益。但辞退福利预期在年度报告期结束后十二个月不能完全支付的，按照其他长期职工薪酬处理。</w:t>
      </w:r>
    </w:p>
    <w:p w14:paraId="286B737E">
      <w:pPr>
        <w:keepNext/>
        <w:keepLines/>
        <w:spacing w:before="300" w:after="300" w:line="280" w:lineRule="exact"/>
        <w:outlineLvl w:val="3"/>
        <w:rPr>
          <w:rFonts w:ascii="Times New Roman" w:hAnsi="Times New Roman" w:cs="Times New Roman" w:eastAsiaTheme="majorEastAsia"/>
          <w:b/>
          <w:bCs/>
          <w:szCs w:val="21"/>
        </w:rPr>
      </w:pPr>
      <w:bookmarkStart w:id="205" w:name="_Toc989094"/>
      <w:r>
        <w:rPr>
          <w:rFonts w:ascii="Times New Roman" w:hAnsi="Times New Roman" w:cs="Times New Roman" w:eastAsiaTheme="majorEastAsia"/>
          <w:b/>
          <w:bCs/>
          <w:szCs w:val="21"/>
        </w:rPr>
        <w:t>（4） 其他长期职工福利的会计处理方法</w:t>
      </w:r>
      <w:bookmarkEnd w:id="205"/>
    </w:p>
    <w:p w14:paraId="4220479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本公司向职工提供的其他长期职工福利，符合设定提存计划的，按照设定提存计划进行会计处理，除此之外按照设定受益计划进行会计处理。</w:t>
      </w:r>
    </w:p>
    <w:p w14:paraId="32AA7223">
      <w:pPr>
        <w:pStyle w:val="3"/>
        <w:spacing w:line="280" w:lineRule="exact"/>
        <w:jc w:val="left"/>
        <w:rPr>
          <w:rFonts w:ascii="Times New Roman" w:hAnsi="Times New Roman" w:cs="Times New Roman" w:eastAsiaTheme="majorEastAsia"/>
          <w:b/>
          <w:bCs/>
        </w:rPr>
      </w:pPr>
      <w:bookmarkStart w:id="206" w:name="_Toc989095"/>
      <w:r>
        <w:rPr>
          <w:rFonts w:ascii="Times New Roman" w:hAnsi="Times New Roman" w:cs="Times New Roman" w:eastAsiaTheme="majorEastAsia"/>
          <w:b/>
          <w:bCs/>
        </w:rPr>
        <w:t>32、预计负债</w:t>
      </w:r>
      <w:bookmarkEnd w:id="206"/>
    </w:p>
    <w:p w14:paraId="253262F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当与或有事项相关的义务同时符合以下条件，确认为预计负债：（1）该义务是本公司承担的现时义务；（2）履行该义务很可能导致经济利益流出；（3）该义务的金额能够可靠地计量。</w:t>
      </w:r>
    </w:p>
    <w:p w14:paraId="123CD65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在资产负债表日，考虑与或有事项有关的风险、不确定性和货币时间价值等因素，按照履行相关现时义务所需支出的最佳估计数对预计负债进行计量。</w:t>
      </w:r>
    </w:p>
    <w:p w14:paraId="4B2E0D2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如果清偿预计负债所需支出全部或部分预期由第三方补偿的，补偿金额在基本确定能够收到时，作为资产单独确认，且确认的补偿金额不超过预计负债的账面价值。</w:t>
      </w:r>
    </w:p>
    <w:p w14:paraId="488CDFE6">
      <w:pPr>
        <w:pStyle w:val="3"/>
        <w:spacing w:line="280" w:lineRule="exact"/>
        <w:jc w:val="left"/>
        <w:rPr>
          <w:rFonts w:ascii="Times New Roman" w:hAnsi="Times New Roman" w:cs="Times New Roman" w:eastAsiaTheme="majorEastAsia"/>
          <w:b/>
          <w:bCs/>
        </w:rPr>
      </w:pPr>
      <w:bookmarkStart w:id="207" w:name="_Toc989096"/>
      <w:r>
        <w:rPr>
          <w:rFonts w:ascii="Times New Roman" w:hAnsi="Times New Roman" w:cs="Times New Roman" w:eastAsiaTheme="majorEastAsia"/>
          <w:b/>
          <w:bCs/>
        </w:rPr>
        <w:t>33、股份支付</w:t>
      </w:r>
      <w:bookmarkEnd w:id="207"/>
    </w:p>
    <w:p w14:paraId="4A783779">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33.1股份支付的会计处理方法</w:t>
      </w:r>
    </w:p>
    <w:p w14:paraId="2162CCB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股份支付是为了获取职工或其他方提供服务而授予权益工具或者承担以权益工具为基础确定的负债的交易。股份支付分为以权益结算的股份支付和以现金结算的股份支付。</w:t>
      </w:r>
    </w:p>
    <w:p w14:paraId="1F0026B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33.1.1以权益结算的股份支付</w:t>
      </w:r>
    </w:p>
    <w:p w14:paraId="3329235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用以换取职工提供的服务的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在授予后立即可行权时，在授予日计入相关成本或费用，相应增加资本公积。</w:t>
      </w:r>
    </w:p>
    <w:p w14:paraId="43A9B76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在等待期内每个资产负债表日，本公司根据最新取得的可行权职工人数变动等后续信息做出最佳估计，修正预计可行权的权益工具数量。上述估计的影响计入当期相关成本或费用，并相应调整资本公积。</w:t>
      </w:r>
    </w:p>
    <w:p w14:paraId="5726081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用以换取其他方服务的权益结算的股份支付，如果其他方服务的公允价值能够可靠计量，按照其他方服务在取得日的公允价值计量，如果其他方服务的公允价值不能可靠计量，但权益工具的公允价值能够可靠计量的，按照权益工具在服务取得日的公允价值计量，计入相关成本或费用，相应增加股东权益。</w:t>
      </w:r>
    </w:p>
    <w:p w14:paraId="71EBC87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33.1.2以现金结算的股份支付</w:t>
      </w:r>
    </w:p>
    <w:p w14:paraId="150EE7E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以现金结算的股份支付，按照本公司承担的以股份或其他权益工具为基础确定的负债的公允价值计量。如授予后立即可行权，在授予日计入相关成本或费用，相应增加负债；如须完成等待期内的服务或达到规定业绩条件以后才可行权，在等待期的每个资产负债表日，以对可行权情况的最佳估计为基础，按照本公司承担负债的公允价值金额，将当期取得的服务计入成本或费用，相应增加负债。</w:t>
      </w:r>
    </w:p>
    <w:p w14:paraId="69FF0F8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在相关负债结算前的每个资产负债表日以及结算日，对负债的公允价值重新计量，其变动计入当期损益。</w:t>
      </w:r>
    </w:p>
    <w:p w14:paraId="21B63A9F">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33.2修改、终止股份支付计划的相关会计处理</w:t>
      </w:r>
    </w:p>
    <w:p w14:paraId="1652328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对股份支付计划进行修改时，若修改增加了所授予权益工具的公允价值，按照权益工具公允价值的增加相应确认取得服务的增加。权益工具公允价值的增加是指修改前后的权益工具在修改日的公允价值之间的差额。若修改减少了股份支付公允价值总额或采用了其他不利于职工的方式，则仍继续对取得的服务进行会计处理，视同该变更从未发生，除非本公司取消了部分或全部已授予的权益工具。</w:t>
      </w:r>
    </w:p>
    <w:p w14:paraId="505CEE1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等待期内，如果取消了授予的权益工具，本公司对取消所授予的权益性工具作为加速行权处理，将剩余等待期内应确认的金额立即计入当期损益，同时确认资本公积。职工或其他方能够选择满足非可行权条件但在等待期内未满足的，本公司将其作为授予权益工具的取消处理。</w:t>
      </w:r>
    </w:p>
    <w:p w14:paraId="771F7CB2">
      <w:pPr>
        <w:pStyle w:val="3"/>
        <w:spacing w:line="280" w:lineRule="exact"/>
        <w:jc w:val="left"/>
        <w:rPr>
          <w:rFonts w:ascii="Times New Roman" w:hAnsi="Times New Roman" w:cs="Times New Roman" w:eastAsiaTheme="majorEastAsia"/>
          <w:b/>
          <w:bCs/>
        </w:rPr>
      </w:pPr>
      <w:bookmarkStart w:id="208" w:name="_Toc989097"/>
      <w:r>
        <w:rPr>
          <w:rFonts w:ascii="Times New Roman" w:hAnsi="Times New Roman" w:cs="Times New Roman" w:eastAsiaTheme="majorEastAsia"/>
          <w:b/>
          <w:bCs/>
        </w:rPr>
        <w:t>34、收入</w:t>
      </w:r>
      <w:bookmarkEnd w:id="208"/>
    </w:p>
    <w:p w14:paraId="1B54F02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按照业务类型披露收入确认和计量所采用的会计政策</w:t>
      </w:r>
    </w:p>
    <w:p w14:paraId="17F4C98D">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收入确认和计量所采用的会计政策</w:t>
      </w:r>
    </w:p>
    <w:p w14:paraId="5CB2E84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14:paraId="3B37BA5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14:paraId="4136D2D9">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14:paraId="6C38123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14:paraId="55A37C1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附有销售退回条款的销售，本公司在客户取得相关商品控制权时，按照因向客户转让商品而预期有权收取的对价金额（即，不包含预期因销售退回将退还的金额）确认收入，按照预期因销售退回将退还的金额确认负债；同时，按照预期将退回商品转让时的账面价值，扣除收回该商品预计发生的成本（包括退回商品的价值减损）后的余额，确认为一项资产，按照所转让商品转让时的账面价值，扣除上述资产成本的净额结转成本。每一资产负债表日，本公司将重新估计未来销售退回情况，如有变化，将作为会计估计变更进行会计处理。</w:t>
      </w:r>
    </w:p>
    <w:p w14:paraId="4296ADF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附有质量保证条款的销售，本公司将评估该质量保证是否在向客户保证所销售商品符合既定标准之外提供了一项单独的服务。本公司提供额外服务的，将作为单项履约义务进行会计处理。在评估质量保证是否在向客户保证所销售商品符合既定标准之外提供了一项单独的服务时，本公司将考虑该质量保证是否为法定要求、质量保证期限以及本公司承诺履行任务的性质等因素。客户能够选择单独购买质量保证的，该质量保证构成单项履约义务。</w:t>
      </w:r>
    </w:p>
    <w:p w14:paraId="3AC2AC7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向客户转让商品前能够控制该商品的，本公司为主要责任人，按照已收或应收对价总额确认收入；否则，本公司为代理人，按照预期有权收取的佣金或手续费的金额确认收入，该金额应当按照已收或应收对价总额扣除应支付给其他相关方的价款后的净额，或者按照既定的佣金金额或比例等确定。</w:t>
      </w:r>
    </w:p>
    <w:p w14:paraId="07D684E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附有客户额外购买选择权的销售，本公司评估该选择权是否向客户提供了一项重大权利。提供重大权利的，本公司作为单项履约义务，将交易价格分摊至该履约义务，在客户未来行使购买选择权取得相关商品控制权时，或者该选择权失效时，确认相应的收入。客户额外购买选择权的单独售价无法直接观察的，本公司综合考虑客户行使和不行使该选择权所能获得的折扣的差异、客户行使该选择权的可能性等全部相关信息后，予以合理估计。</w:t>
      </w:r>
    </w:p>
    <w:p w14:paraId="0318F2D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向客户授予知识产权许可的，评估该知识产权许可是否构成单项履约义务。对于构成单项履约义务的，同时满足下列条件时，本公司作为在某一时段内履行的履约义务确认相关收入；否则，应当作为在某一时点履行的履约义务确认相关收入：</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合同要求或客户能够合理预期本公司将从事对该项知识产权有重大影响的活动；</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该活动对客户将产生有利或不利影响；</w:t>
      </w:r>
      <w:r>
        <w:rPr>
          <w:rFonts w:hint="eastAsia" w:cs="Times New Roman" w:asciiTheme="minorEastAsia" w:hAnsiTheme="minorEastAsia" w:eastAsiaTheme="minorEastAsia"/>
          <w:sz w:val="21"/>
          <w:szCs w:val="21"/>
        </w:rPr>
        <w:t>③</w:t>
      </w:r>
      <w:r>
        <w:rPr>
          <w:rFonts w:cs="Times New Roman" w:asciiTheme="minorEastAsia" w:hAnsiTheme="minorEastAsia" w:eastAsiaTheme="minorEastAsia"/>
          <w:sz w:val="21"/>
          <w:szCs w:val="21"/>
        </w:rPr>
        <w:t>该活动不会导致向客户转让某项商品。</w:t>
      </w:r>
    </w:p>
    <w:p w14:paraId="78AB98BF">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本公司销售商品的同时承诺或有权选择日后再将该商品（包括相同或几乎相同的商品，或以该商品作为组成部分的商品）购回的，区分下列两种情形分别进行会计处理：</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本公司因存在与客户的远期安排而负有回购义务或享有回购权利的，表明客户在销售时点并未取得相关商品控制权，本公司作为租赁交易或融资交易进行相应的会计处理。其中，回购价格低于原售价的，视为租赁交易，按照《企业会计准则第21号——租赁》的相关规定进行会计处理；回购价格不低于原售价的，视为融资交易，在收到客户款项时确认金融负债，并将该款项和回购价格的差额在回购期间内确认为利息费用等。本公司到期未行使回购权利的，应当在该回购权利到期时终止确认金融负债，同时确认收入。</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本公司负有应客户要求回购商品义务的，应当在合同开始日评估客户是否具有行使该要求权的重大经济动因。客户具有行使该要求权重大经济动因的，本公司将售后回购作为租赁交易或融资交易，按照上述</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规定进行会计处理；否则，本公司当将其作为附有销售退回条款的销售交易，按照附有销售退回条款的销售处理。</w:t>
      </w:r>
    </w:p>
    <w:p w14:paraId="14206FE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向客户预收销售商品款项的，应当首先将该款项确认为负债，待履行了相关履约义务时再转为收入。当预收款项无需退回，且客户可能会放弃其全部或部分合同权利时，本公司预期将有权获得与客户所放弃的合同权利相关的金额的，按照客户行使合同权利的模式按比例将上述金额确认为收入；否则，本公司在客户要求其履行剩余履约义务的可能性极低时，将上述负债的相关余额转为收入。</w:t>
      </w:r>
    </w:p>
    <w:p w14:paraId="08FBEA6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在合同开始（或接近合同开始）日向客户收取的无需退回的初始费计入交易价格。该初始费与向客户转让已承诺的商品相关，并且该商品构成单项履约义务的，本公司在转让该商品时，按照分摊至该商品的交易价格确认收入；该初始费与向客户转让已承诺的商品相关，但该商品不构成单项履约义务的，本公司在包含该商品的单项履约义务履行时，按照分摊至该单项履约义务的交易价格确认收入；该初始费与向客户转让已承诺的商品不相关的，该初始费作为未来将转让商品的预收款，在未来转让该商品时确认为收入。</w:t>
      </w:r>
    </w:p>
    <w:p w14:paraId="7A0C20D2">
      <w:pPr>
        <w:pStyle w:val="10"/>
        <w:spacing w:before="0" w:beforeAutospacing="0" w:after="0" w:afterAutospacing="0" w:line="360" w:lineRule="auto"/>
        <w:ind w:firstLine="420"/>
        <w:jc w:val="both"/>
        <w:rPr>
          <w:rFonts w:ascii="Times New Roman" w:hAnsi="Times New Roman" w:cs="Times New Roman" w:eastAsiaTheme="majorEastAsia"/>
          <w:sz w:val="21"/>
          <w:szCs w:val="21"/>
        </w:rPr>
      </w:pPr>
    </w:p>
    <w:p w14:paraId="5D8791C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同类业务采用不同经营模式涉及不同收入确认方式及计量方法的情况</w:t>
      </w:r>
    </w:p>
    <w:p w14:paraId="42E403D5">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7C67B98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6C84E65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本公司的业务收入主要来源于以下业务类型：信息系统集成服务、信息系统运维服务、信息设备销售、软件开发及技术服务。</w:t>
      </w:r>
    </w:p>
    <w:p w14:paraId="1527219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1、信息系统集成服务</w:t>
      </w:r>
    </w:p>
    <w:p w14:paraId="1DB901E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按照客户需求，通过应用各种计算机软件技术以及各种硬件设备，经过集成设计，安装调试等技术性工作，提供整体解决方案。信息系统集成需安装调试后才达到预定可使用状态，主要风险和报酬（控制权）才转移给购货方（建设方），因此信息系统集成服务以完成安装调试，客户验收作为收入确认时点。当客户合同中明确约定初验、终验的，以取得客户终验报告作为收入确认时点，如合同中无明确约定初验、终验，客户在实际执行时有出具初验、终验报告，以终验报告作为收入确认时点。</w:t>
      </w:r>
    </w:p>
    <w:p w14:paraId="5B06EB6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2、信息系统运维服务</w:t>
      </w:r>
    </w:p>
    <w:p w14:paraId="4E56CAD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按照客户要求，利用公司在信息系统运维方面的专业性优势为客户提供专业的系统运维服务。信息系统运维服务按照合同约定的条款于服务完成时点（指偶发的一次性运维服务）或阶段完成时点（指定期服务的日常维护，按月确认）确认收入。</w:t>
      </w:r>
    </w:p>
    <w:p w14:paraId="50542DC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3、信息设备销售</w:t>
      </w:r>
    </w:p>
    <w:p w14:paraId="67CA5F1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公司向企业、政府部门销售电子产品（主要是系统集成服务和信息系统运维过程中，根据客户需求搭配的一些零配件，主要包括机柜、电脑、播放器、主机、投影仪等）。信息设备销售以商品转移给购货方，取得客户验收单作为收入确认时点。</w:t>
      </w:r>
    </w:p>
    <w:p w14:paraId="3043638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4、软件开发及技术服务</w:t>
      </w:r>
    </w:p>
    <w:p w14:paraId="3F45C2DE">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按照客户要求开发信息系统服务平台并部署调试。软件开发及技术服务客户为软件终端使用客户的，以完成服务并取得客户的验收报告作为收入确认时点；客户为软件中间销售商的，如销售合同中未约定需最终业主方验收的，以公司交付相关产品、客户产品已经上线、客户出具验收报告作为收入确认时点；如销售合同中明确约定需客户最终业主方验收的，以取得客户验收报告且最终业主方产品运行出具验收报告或其他验收证据作为收入确认时点。</w:t>
      </w:r>
    </w:p>
    <w:p w14:paraId="0424E38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5、光伏发电</w:t>
      </w:r>
    </w:p>
    <w:p w14:paraId="770EAB8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光伏发电收入确认遵循《企业会计准则第14号--收入》规定，以电力输送至电网公司或终端用户的控制权转移时点作为收入确认依据，根据电网公司或其他客户提供的发电量计量确认数据(如并网电表读数)，于电力实际输送至电网或用户时确认收入，采用权责发生制原则。</w:t>
      </w:r>
    </w:p>
    <w:p w14:paraId="618A6984">
      <w:pPr>
        <w:pStyle w:val="3"/>
        <w:spacing w:line="280" w:lineRule="exact"/>
        <w:jc w:val="left"/>
        <w:rPr>
          <w:rFonts w:ascii="Times New Roman" w:hAnsi="Times New Roman" w:cs="Times New Roman" w:eastAsiaTheme="majorEastAsia"/>
          <w:b/>
          <w:bCs/>
        </w:rPr>
      </w:pPr>
      <w:bookmarkStart w:id="209" w:name="_Toc989098"/>
      <w:r>
        <w:rPr>
          <w:rFonts w:ascii="Times New Roman" w:hAnsi="Times New Roman" w:cs="Times New Roman" w:eastAsiaTheme="majorEastAsia"/>
          <w:b/>
          <w:bCs/>
        </w:rPr>
        <w:t>35、合同成本</w:t>
      </w:r>
      <w:bookmarkEnd w:id="209"/>
    </w:p>
    <w:p w14:paraId="56A7E5B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合同成本分为合同履约成本与合同取得成本。</w:t>
      </w:r>
    </w:p>
    <w:p w14:paraId="1E5A32E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本公司为履行合同而发生的成本，在满足下列条件时作为合同履约成本确认为一项资产：</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该成本与一份当前或预期取得的合同直接相关；</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该成本增加了本公司未来用于履行履约义务的资源；</w:t>
      </w:r>
      <w:r>
        <w:rPr>
          <w:rFonts w:hint="eastAsia" w:cs="Times New Roman" w:asciiTheme="minorEastAsia" w:hAnsiTheme="minorEastAsia" w:eastAsiaTheme="minorEastAsia"/>
          <w:sz w:val="21"/>
          <w:szCs w:val="21"/>
        </w:rPr>
        <w:t>③</w:t>
      </w:r>
      <w:r>
        <w:rPr>
          <w:rFonts w:cs="Times New Roman" w:asciiTheme="minorEastAsia" w:hAnsiTheme="minorEastAsia" w:eastAsiaTheme="minorEastAsia"/>
          <w:sz w:val="21"/>
          <w:szCs w:val="21"/>
        </w:rPr>
        <w:t>该成本预期能够收回。</w:t>
      </w:r>
    </w:p>
    <w:p w14:paraId="06D5CC9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为取得合同发生的增量成本是指本公司不取得合同就不会发生的成本（如销售佣金等）。该成本预期能够收回的，本公司将其作为合同取得成本确认为一项资产。本公司为取得合同发生的、除预期能够收回的增量成本之外的其他支出于发生时计入当期损益。</w:t>
      </w:r>
    </w:p>
    <w:p w14:paraId="2D695A2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合同取得成本确认的资产和合同履约成本确认的资产（以下简称“与合同成本有关的资产”），采用与该资产相关的商品或服务收入确认相同的基础进行摊销，计入当期损益。摊销期限不超过一年则在发生时计入当期损益。与合同成本有关的资产，其账面价值高于下列两项的差额的，本公司将对于超出部分计提减值准备，并确认为资产减值损失：（1）因转让与该资产相关的商品或服务预期能够取得的剩余对价；（2）为转让该相关商品或服务估计将要发生的成本。</w:t>
      </w:r>
    </w:p>
    <w:p w14:paraId="69D6A83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上述资产减值准备后续发生转回的，转回后的资产账面价值不超过假定不计提减值准备情况下该资产在转回日的账面价值。</w:t>
      </w:r>
    </w:p>
    <w:p w14:paraId="099FD36B">
      <w:pPr>
        <w:pStyle w:val="3"/>
        <w:spacing w:line="280" w:lineRule="exact"/>
        <w:jc w:val="left"/>
        <w:rPr>
          <w:rFonts w:ascii="Times New Roman" w:hAnsi="Times New Roman" w:cs="Times New Roman" w:eastAsiaTheme="majorEastAsia"/>
          <w:b/>
          <w:bCs/>
        </w:rPr>
      </w:pPr>
      <w:bookmarkStart w:id="210" w:name="_Toc989099"/>
      <w:r>
        <w:rPr>
          <w:rFonts w:ascii="Times New Roman" w:hAnsi="Times New Roman" w:cs="Times New Roman" w:eastAsiaTheme="majorEastAsia"/>
          <w:b/>
          <w:bCs/>
        </w:rPr>
        <w:t>36、政府补助</w:t>
      </w:r>
      <w:bookmarkEnd w:id="210"/>
    </w:p>
    <w:p w14:paraId="60546FC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政府补助是指本公司从政府无偿取得货币性资产和非货币性资产，不包括政府以投资者身份并享有相应所有者权益而投入的资本。政府补助分为与资产相关的政府补助和与收益相关的政府补助。本公司将所取得的用于购建或以其他方式形成长期资产的政府补助界定为与资产相关的政府补助；其余政府补助界定为与收益相关的政府补助。若政府文件未明确规定补助对象，则采用以下方式将补助款划分为与收益相关的政府补助和与资产相关的政府补助：</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政府文件明确了补助所针对的特定项目的，根据该特定项目的预算中将形成资产的支出金额和计入费用的支出金额的相对比例进行划分，对该划分比例需在每个资产负债表日进行复核，必要时进行变更；</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政府文件中对用途仅作一般性表述，没有指明特定项目的，作为与收益相关的政府补助。政府补助为货币性资产的，按照收到或应收的金额计量。政府补助为非货币性资产的，按照公允价值计量；公允价值不能够可靠取得的，按照名义金额计量。按照名义金额计量的政府补助，直接计入当期损益。</w:t>
      </w:r>
    </w:p>
    <w:p w14:paraId="0B5A8388">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对于政府补助通常在实际收到时，按照实收金额予以确认和计量。但对于期末有确凿证据表明能够符合财政扶持政策规定的相关条件预计能够收到财政扶持资金，按照应收的金额计量。按照应收金额计量的政府补助应同时符合以下条件：</w:t>
      </w:r>
      <w:r>
        <w:rPr>
          <w:rFonts w:hint="eastAsia" w:cs="Times New Roman" w:asciiTheme="minorEastAsia" w:hAnsiTheme="minorEastAsia" w:eastAsiaTheme="minorEastAsia"/>
          <w:sz w:val="21"/>
          <w:szCs w:val="21"/>
        </w:rPr>
        <w:t>①</w:t>
      </w:r>
      <w:r>
        <w:rPr>
          <w:rFonts w:cs="Times New Roman" w:asciiTheme="minorEastAsia" w:hAnsiTheme="minorEastAsia" w:eastAsiaTheme="minorEastAsia"/>
          <w:sz w:val="21"/>
          <w:szCs w:val="21"/>
        </w:rPr>
        <w:t>应收补助款的金额已经过有权政府部门发文确认，或者可根据正式发布的财政资金管理办法的有关规定自行合理测算，且预计其金额不存在重大不确定性；</w:t>
      </w:r>
      <w:r>
        <w:rPr>
          <w:rFonts w:hint="eastAsia" w:cs="Times New Roman" w:asciiTheme="minorEastAsia" w:hAnsiTheme="minorEastAsia" w:eastAsiaTheme="minorEastAsia"/>
          <w:sz w:val="21"/>
          <w:szCs w:val="21"/>
        </w:rPr>
        <w:t>②</w:t>
      </w:r>
      <w:r>
        <w:rPr>
          <w:rFonts w:cs="Times New Roman" w:asciiTheme="minorEastAsia" w:hAnsiTheme="minorEastAsia" w:eastAsiaTheme="minorEastAsia"/>
          <w:sz w:val="21"/>
          <w:szCs w:val="21"/>
        </w:rPr>
        <w:t>所依据的是当地财政部门正式发布并按照《政府信息公开条例》的规定予以主动公开的财政扶持项目及其财政资金管理办法，且该管理办法应当是普惠性的（任何符合规定条件的企业均可申请），而不是专门针对特定企业制定的；</w:t>
      </w:r>
      <w:r>
        <w:rPr>
          <w:rFonts w:hint="eastAsia" w:cs="Times New Roman" w:asciiTheme="minorEastAsia" w:hAnsiTheme="minorEastAsia" w:eastAsiaTheme="minorEastAsia"/>
          <w:sz w:val="21"/>
          <w:szCs w:val="21"/>
        </w:rPr>
        <w:t>③</w:t>
      </w:r>
      <w:r>
        <w:rPr>
          <w:rFonts w:cs="Times New Roman" w:asciiTheme="minorEastAsia" w:hAnsiTheme="minorEastAsia" w:eastAsiaTheme="minorEastAsia"/>
          <w:sz w:val="21"/>
          <w:szCs w:val="21"/>
        </w:rPr>
        <w:t>相关的补助款批文中已明确承诺了拨付期限，且该款项的拨付是有相应财政预算作为保障的，因而可以合理保证其可在规定期限内收到；</w:t>
      </w:r>
      <w:r>
        <w:rPr>
          <w:rFonts w:hint="eastAsia" w:cs="Times New Roman" w:asciiTheme="minorEastAsia" w:hAnsiTheme="minorEastAsia" w:eastAsiaTheme="minorEastAsia"/>
          <w:sz w:val="21"/>
          <w:szCs w:val="21"/>
        </w:rPr>
        <w:t>④</w:t>
      </w:r>
      <w:r>
        <w:rPr>
          <w:rFonts w:cs="Times New Roman" w:asciiTheme="minorEastAsia" w:hAnsiTheme="minorEastAsia" w:eastAsiaTheme="minorEastAsia"/>
          <w:sz w:val="21"/>
          <w:szCs w:val="21"/>
        </w:rPr>
        <w:t>根据本公司和该补助事项的具体情况，应满足的其他相关条件（如有）。</w:t>
      </w:r>
    </w:p>
    <w:p w14:paraId="635D36D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w:t>
      </w:r>
    </w:p>
    <w:p w14:paraId="29F127E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同时包含与资产相关部分和与收益相关部分的政府补助，区分不同部分分别进行会计处理；难以区分的，将其整体归类为与收益相关的政府补助。</w:t>
      </w:r>
    </w:p>
    <w:p w14:paraId="79B5BF8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与本公司日常活动相关的政府补助，按照经济业务的实质，计入其他收益或冲减相关成本费用；与日常活动无关的政府补助，计入营业外收支。</w:t>
      </w:r>
    </w:p>
    <w:p w14:paraId="4378A7A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已确认的政府补助需要退回时，存在相关递延收益余额的，冲减相关递延收益账面余额，超出部分计入当期损益；属于其他情况的，直接计入当期损益。</w:t>
      </w:r>
    </w:p>
    <w:p w14:paraId="7401A831">
      <w:pPr>
        <w:pStyle w:val="3"/>
        <w:spacing w:line="280" w:lineRule="exact"/>
        <w:jc w:val="left"/>
        <w:rPr>
          <w:rFonts w:ascii="Times New Roman" w:hAnsi="Times New Roman" w:cs="Times New Roman" w:eastAsiaTheme="majorEastAsia"/>
          <w:b/>
          <w:bCs/>
        </w:rPr>
      </w:pPr>
      <w:bookmarkStart w:id="211" w:name="_Toc989100"/>
      <w:r>
        <w:rPr>
          <w:rFonts w:ascii="Times New Roman" w:hAnsi="Times New Roman" w:cs="Times New Roman" w:eastAsiaTheme="majorEastAsia"/>
          <w:b/>
          <w:bCs/>
        </w:rPr>
        <w:t>37、递延所得税资产/递延所得税负债</w:t>
      </w:r>
      <w:bookmarkEnd w:id="211"/>
    </w:p>
    <w:p w14:paraId="4C21C368">
      <w:pPr>
        <w:pStyle w:val="22"/>
        <w:overflowPunct w:val="0"/>
        <w:snapToGrid w:val="0"/>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37.1当期所得税</w:t>
      </w:r>
    </w:p>
    <w:p w14:paraId="525080D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资产负债表日，对于当期和以前期间形成的当期所得税负债（或资产），以按照税法规定计算的预期应交纳（或返还）的所得税金额计量。计算当期所得税费用所依据的应纳税所得额系根据有关税法规定对本报告期税前会计利润作相应调整后计算得出。</w:t>
      </w:r>
    </w:p>
    <w:p w14:paraId="62891360">
      <w:pPr>
        <w:pStyle w:val="22"/>
        <w:overflowPunct w:val="0"/>
        <w:snapToGrid w:val="0"/>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37.2递延所得税资产及递延所得税负债</w:t>
      </w:r>
    </w:p>
    <w:p w14:paraId="7A37C33A">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某些资产、负债项目的账面价值与其计税基础之间的差额，以及未作为资产和负债确认但按照税法规定可以确定其计税基础的项目的账面价值与计税基础之间的差额产生的暂时性差异，采用资产负债表债务法确认递延所得税资产及递延所得税负债。</w:t>
      </w:r>
    </w:p>
    <w:p w14:paraId="07A7C12D">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与商誉的初始确认有关，以及与既不是企业合并、发生时也不影响会计利润和应纳税所得额（或可抵扣亏损）且初始确认的资产和负债未导致产生等额应纳税暂时性差异和可抵扣暂时性差异的单项交易，交易中产生的资产或负债的初始确认有关的应纳税暂时性差异，不予确认有关的递延所得税负债。此外，对与子公司、联营企业及合营企业投资相关的应纳税暂时性差异，如果本公司能够控制暂时性差异转回的时间，而且该暂时性差异在可预见的未来很可能不会转回，也不予确认有关的递延所得税负债。除上述例外情况，本公司确认其他所有应纳税暂时性差异产生的递延所得税负债。</w:t>
      </w:r>
    </w:p>
    <w:p w14:paraId="393953D7">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与既不是企业合并、发生时也不影响会计利润和应纳税所得额（或可抵扣亏损）且初始确认的资产和负债未导致产生等额应纳税暂时性差异和可抵扣暂时性差异的单项交易，交易中产生的资产或负债的初始确认有关的可抵扣暂时性差异，不予确认有关的递延所得税资产。此外，对与子公司、联营企业及合营企业投资相关的可抵扣暂时性差异，如果暂时性差异在可预见的未来不是很可能转回，或者未来不是很可能获得用来抵扣可抵扣暂时性差异的应纳税所得额，不予确认有关的递延所得税资产。除上述例外情况，本公司以很可能取得用来抵扣可抵扣暂时性差异的应纳税所得额为限，确认其他可抵扣暂时性差异产生的递延所得税资产。</w:t>
      </w:r>
    </w:p>
    <w:p w14:paraId="3E20C1B3">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对于能够结转以后年度的可抵扣亏损和税款抵减，以很可能获得用来抵扣可抵扣亏损和税款抵减的未来应纳税所得额为限，确认相应的递延所得税资产。</w:t>
      </w:r>
    </w:p>
    <w:p w14:paraId="1E3E4FF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资产负债表日，对于递延所得税资产和递延所得税负债，根据税法规定，按照预期收回相关资产或清偿相关负债期间的适用税率计量。</w:t>
      </w:r>
    </w:p>
    <w:p w14:paraId="3DD4C6F9">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于资产负债表日，对递延所得税资产的账面价值进行复核，如果未来很可能无法获得足够的应纳税所得额用以抵扣递延所得税资产的利益，则减记递延所得税资产的账面价值。在很可能获得足够的应纳税所得额时，减记的金额予以转回。</w:t>
      </w:r>
    </w:p>
    <w:p w14:paraId="6A6CE397">
      <w:pPr>
        <w:pStyle w:val="22"/>
        <w:overflowPunct w:val="0"/>
        <w:snapToGrid w:val="0"/>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37.3所得税费用</w:t>
      </w:r>
    </w:p>
    <w:p w14:paraId="3920652C">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所得税费用包括当期所得税和递延所得税。</w:t>
      </w:r>
    </w:p>
    <w:p w14:paraId="0529A2B5">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14:paraId="5941A60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所得税的抵销</w:t>
      </w:r>
    </w:p>
    <w:p w14:paraId="2B14A44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当拥有以净额结算的法定权利，且意图以净额结算或取得资产、清偿负债同时进行时，本公司当期所得税资产及当期所得税负债以抵销后的净额列报。</w:t>
      </w:r>
    </w:p>
    <w:p w14:paraId="444849EB">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当拥有以净额结算当期所得税资产及当期所得税负债的法定权利，且递延所得税资产及递延所得税负债是与同一税收征管部门对同一纳税主体征收的所得税相关或者是对不同的纳税主体相关，但在未来每一具有重要性的递延所得税资产及负债转回的期间内，涉及的纳税主体意图以净额结算当期所得税资产和负债或是同时取得资产、清偿负债时，本公司递延所得税资产及递延所得税负债以抵销后的净额列报。</w:t>
      </w:r>
    </w:p>
    <w:p w14:paraId="0D6B675F">
      <w:pPr>
        <w:pStyle w:val="3"/>
        <w:spacing w:line="280" w:lineRule="exact"/>
        <w:jc w:val="left"/>
        <w:rPr>
          <w:rFonts w:ascii="Times New Roman" w:hAnsi="Times New Roman" w:cs="Times New Roman" w:eastAsiaTheme="majorEastAsia"/>
          <w:b/>
          <w:bCs/>
        </w:rPr>
      </w:pPr>
      <w:bookmarkStart w:id="212" w:name="_Toc989101"/>
      <w:r>
        <w:rPr>
          <w:rFonts w:ascii="Times New Roman" w:hAnsi="Times New Roman" w:cs="Times New Roman" w:eastAsiaTheme="majorEastAsia"/>
          <w:b/>
          <w:bCs/>
        </w:rPr>
        <w:t>38、租赁</w:t>
      </w:r>
      <w:bookmarkEnd w:id="212"/>
    </w:p>
    <w:p w14:paraId="2CA0DA90">
      <w:pPr>
        <w:keepNext/>
        <w:keepLines/>
        <w:spacing w:before="300" w:after="300" w:line="280" w:lineRule="exact"/>
        <w:outlineLvl w:val="3"/>
        <w:rPr>
          <w:rFonts w:ascii="Times New Roman" w:hAnsi="Times New Roman" w:cs="Times New Roman" w:eastAsiaTheme="majorEastAsia"/>
          <w:b/>
          <w:bCs/>
          <w:szCs w:val="21"/>
        </w:rPr>
      </w:pPr>
      <w:bookmarkStart w:id="213" w:name="_Toc989102"/>
      <w:r>
        <w:rPr>
          <w:rFonts w:ascii="Times New Roman" w:hAnsi="Times New Roman" w:cs="Times New Roman" w:eastAsiaTheme="majorEastAsia"/>
          <w:b/>
          <w:bCs/>
          <w:szCs w:val="21"/>
        </w:rPr>
        <w:t>（1） 作为承租方租赁的会计处理方法</w:t>
      </w:r>
      <w:bookmarkEnd w:id="213"/>
    </w:p>
    <w:p w14:paraId="2A629342">
      <w:pPr>
        <w:pStyle w:val="22"/>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color w:val="000000"/>
          <w:sz w:val="21"/>
          <w:szCs w:val="21"/>
        </w:rPr>
        <w:t>38.1.1初始计量</w:t>
      </w:r>
    </w:p>
    <w:p w14:paraId="538F6122">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在租赁期开始日，本公司将可在租赁期内使用租赁资产的权利确认为使用权资产，将尚未支付的租赁付款额的现值确认为租赁负债，短期租赁和低价值资产租赁除外。在计算租赁付款额的现值时，本公司采用租赁内含利率作为折现率；无法确定租赁内含利率的，采用承租人增量借款利率作为折现率。</w:t>
      </w:r>
    </w:p>
    <w:p w14:paraId="608653F6">
      <w:pPr>
        <w:pStyle w:val="22"/>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color w:val="000000"/>
          <w:sz w:val="21"/>
          <w:szCs w:val="21"/>
        </w:rPr>
        <w:t>38.1.2 后续计量</w:t>
      </w:r>
    </w:p>
    <w:p w14:paraId="306EE5E6">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本公司参照《企业会计准则第4号——固定资产》有关折旧规定对使用权资产计提折旧（详见本节“五、24 固定资产”），能够合理确定租赁期届满时取得租赁资产所有权的，本公司在租赁资产剩余使用寿命内计提折旧。无法合理确定租赁期届满时能够取得租赁资产所有权的，本公司在租赁期与租赁资产剩余使用寿命两者孰短的期间内计提折旧。</w:t>
      </w:r>
    </w:p>
    <w:p w14:paraId="094CFBC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对于租赁负债，本公司按照固定的周期性利率计算其在租赁期内各期间的利息费用，计入当期损益或计入相关资产成本。未纳入租赁负债计量的可变租赁付款额在实际发生时计入当期损益或相关资产成本。</w:t>
      </w:r>
    </w:p>
    <w:p w14:paraId="7B9D9254">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租赁期开始日后，当实质固定付款额发生变动、担保余值预计的应付金额发生变化、用于确定租赁付款额的指数或比率发生变动、购买选择权、续租选择权或终止选择权的评估结果或实际行权情况发生变化时，本公司按照变动后的租赁付款额的现值重新计量租赁负债，并相应调整使用权资产的账面价值。使用权资产账面价值已调减至零，但租赁负债仍需进一步调减的，本公司将剩余金额计入当期损益。</w:t>
      </w:r>
    </w:p>
    <w:p w14:paraId="54269C1C">
      <w:pPr>
        <w:pStyle w:val="22"/>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color w:val="000000"/>
          <w:sz w:val="21"/>
          <w:szCs w:val="21"/>
        </w:rPr>
        <w:t>38.1.3 短期租赁和低价值资产租赁</w:t>
      </w:r>
    </w:p>
    <w:p w14:paraId="2A27B140">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对于短期租赁（在租赁开始日租赁期不超过12个月的租赁）和低价值资产租赁，本公司采取简化处理方法，不确认使用权资产和租赁负债，而在租赁期内各个期间按照直线法或其他系统合理的方法将租赁付款额计入相关资产成本或当期损益。</w:t>
      </w:r>
    </w:p>
    <w:p w14:paraId="1E3BC5A2">
      <w:pPr>
        <w:keepNext/>
        <w:keepLines/>
        <w:spacing w:before="300" w:after="300" w:line="280" w:lineRule="exact"/>
        <w:outlineLvl w:val="3"/>
        <w:rPr>
          <w:rFonts w:ascii="Times New Roman" w:hAnsi="Times New Roman" w:cs="Times New Roman" w:eastAsiaTheme="majorEastAsia"/>
          <w:b/>
          <w:bCs/>
          <w:szCs w:val="21"/>
        </w:rPr>
      </w:pPr>
      <w:bookmarkStart w:id="214" w:name="_Toc989103"/>
      <w:r>
        <w:rPr>
          <w:rFonts w:ascii="Times New Roman" w:hAnsi="Times New Roman" w:cs="Times New Roman" w:eastAsiaTheme="majorEastAsia"/>
          <w:b/>
          <w:bCs/>
          <w:szCs w:val="21"/>
        </w:rPr>
        <w:t>（2） 作为出租方租赁的会计处理方法</w:t>
      </w:r>
      <w:bookmarkEnd w:id="214"/>
    </w:p>
    <w:p w14:paraId="5F8D8DD7">
      <w:pPr>
        <w:pStyle w:val="22"/>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color w:val="000000"/>
          <w:sz w:val="21"/>
          <w:szCs w:val="21"/>
        </w:rPr>
        <w:t>38.2.1经营租赁</w:t>
      </w:r>
    </w:p>
    <w:p w14:paraId="22888651">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本公司采用直线法将经营租赁的租赁收款额确认为租赁期内各期间的租金收入。与经营租赁有关的未计入租赁收款额的可变租赁付款额，于实际发生时计入当期损益。</w:t>
      </w:r>
    </w:p>
    <w:p w14:paraId="0A13864C">
      <w:pPr>
        <w:pStyle w:val="22"/>
        <w:spacing w:line="360" w:lineRule="auto"/>
        <w:ind w:left="420"/>
        <w:rPr>
          <w:rFonts w:ascii="Times New Roman" w:hAnsi="Times New Roman" w:cs="Times New Roman" w:eastAsiaTheme="majorEastAsia"/>
          <w:sz w:val="18"/>
          <w:szCs w:val="18"/>
        </w:rPr>
      </w:pPr>
      <w:r>
        <w:rPr>
          <w:rStyle w:val="14"/>
          <w:rFonts w:ascii="Times New Roman" w:hAnsi="Times New Roman" w:cs="Times New Roman" w:eastAsiaTheme="majorEastAsia"/>
          <w:sz w:val="21"/>
          <w:szCs w:val="21"/>
        </w:rPr>
        <w:t>38.2.2融资租赁</w:t>
      </w:r>
    </w:p>
    <w:p w14:paraId="707E6049">
      <w:pPr>
        <w:pStyle w:val="10"/>
        <w:spacing w:before="156" w:beforeLines="50" w:beforeAutospacing="0" w:after="156" w:afterLines="50" w:afterAutospacing="0"/>
        <w:ind w:firstLine="420"/>
        <w:jc w:val="both"/>
        <w:rPr>
          <w:rFonts w:cs="Times New Roman" w:asciiTheme="minorEastAsia" w:hAnsiTheme="minorEastAsia" w:eastAsiaTheme="minorEastAsia"/>
          <w:sz w:val="21"/>
          <w:szCs w:val="21"/>
        </w:rPr>
      </w:pPr>
      <w:r>
        <w:rPr>
          <w:rFonts w:cs="Times New Roman" w:asciiTheme="minorEastAsia" w:hAnsiTheme="minorEastAsia" w:eastAsiaTheme="minorEastAsia"/>
          <w:sz w:val="21"/>
          <w:szCs w:val="21"/>
        </w:rPr>
        <w:t>于租赁期开始日，本公司确认应收融资租赁款，并终止确认融资租赁资产。应收融资租赁款以租赁投资净额（未担保余值和租赁期开始日尚未收到的租赁收款额按照租赁内含利率折现的现值之和）进行初始计量，并按照固定的周期性利率计算确认租赁期内的利息收入。本公司取得的未纳入租赁投资净额计量的可变租赁付款额在实际发生时计入当期损益。</w:t>
      </w:r>
    </w:p>
    <w:p w14:paraId="3100D57A">
      <w:pPr>
        <w:pStyle w:val="3"/>
        <w:spacing w:line="280" w:lineRule="exact"/>
        <w:jc w:val="left"/>
        <w:rPr>
          <w:rFonts w:ascii="Times New Roman" w:hAnsi="Times New Roman" w:cs="Times New Roman" w:eastAsiaTheme="majorEastAsia"/>
          <w:b/>
          <w:bCs/>
        </w:rPr>
      </w:pPr>
      <w:bookmarkStart w:id="215" w:name="_Toc989104"/>
      <w:r>
        <w:rPr>
          <w:rFonts w:ascii="Times New Roman" w:hAnsi="Times New Roman" w:cs="Times New Roman" w:eastAsiaTheme="majorEastAsia"/>
          <w:b/>
          <w:bCs/>
        </w:rPr>
        <w:t>39、重要会计政策和会计估计变更</w:t>
      </w:r>
      <w:bookmarkEnd w:id="215"/>
    </w:p>
    <w:p w14:paraId="0F33BE8C">
      <w:pPr>
        <w:keepNext/>
        <w:keepLines/>
        <w:spacing w:before="300" w:after="300" w:line="280" w:lineRule="exact"/>
        <w:outlineLvl w:val="3"/>
        <w:rPr>
          <w:rFonts w:ascii="Times New Roman" w:hAnsi="Times New Roman" w:cs="Times New Roman" w:eastAsiaTheme="majorEastAsia"/>
          <w:b/>
          <w:bCs/>
          <w:sz w:val="18"/>
          <w:szCs w:val="18"/>
        </w:rPr>
      </w:pPr>
      <w:bookmarkStart w:id="216" w:name="_Toc989105"/>
      <w:r>
        <w:rPr>
          <w:rFonts w:ascii="Times New Roman" w:hAnsi="Times New Roman" w:cs="Times New Roman" w:eastAsiaTheme="majorEastAsia"/>
          <w:b/>
          <w:bCs/>
          <w:sz w:val="18"/>
          <w:szCs w:val="18"/>
        </w:rPr>
        <w:t>（1） 重要会计政策变更</w:t>
      </w:r>
      <w:bookmarkEnd w:id="216"/>
    </w:p>
    <w:p w14:paraId="7A5B121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6C71B59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998"/>
        <w:gridCol w:w="1167"/>
        <w:gridCol w:w="688"/>
      </w:tblGrid>
      <w:tr w14:paraId="19D0CC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059" w:type="pct"/>
            <w:tcBorders>
              <w:top w:val="single" w:color="auto" w:sz="2" w:space="0"/>
              <w:left w:val="single" w:color="auto" w:sz="2" w:space="0"/>
              <w:bottom w:val="single" w:color="auto" w:sz="2" w:space="0"/>
              <w:right w:val="single" w:color="auto" w:sz="2" w:space="0"/>
            </w:tcBorders>
            <w:shd w:val="clear" w:color="auto" w:fill="D3D3D3"/>
            <w:vAlign w:val="center"/>
          </w:tcPr>
          <w:p w14:paraId="282CA0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会计政策变更的内容和原因</w:t>
            </w:r>
          </w:p>
        </w:tc>
        <w:tc>
          <w:tcPr>
            <w:tcW w:w="592" w:type="pct"/>
            <w:tcBorders>
              <w:top w:val="single" w:color="auto" w:sz="2" w:space="0"/>
              <w:left w:val="single" w:color="auto" w:sz="2" w:space="0"/>
              <w:bottom w:val="single" w:color="auto" w:sz="2" w:space="0"/>
              <w:right w:val="single" w:color="auto" w:sz="2" w:space="0"/>
            </w:tcBorders>
            <w:shd w:val="clear" w:color="auto" w:fill="D3D3D3"/>
            <w:vAlign w:val="center"/>
          </w:tcPr>
          <w:p w14:paraId="7990637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受重要影响的报表项目名称</w:t>
            </w:r>
          </w:p>
        </w:tc>
        <w:tc>
          <w:tcPr>
            <w:tcW w:w="349" w:type="pct"/>
            <w:tcBorders>
              <w:top w:val="single" w:color="auto" w:sz="2" w:space="0"/>
              <w:left w:val="single" w:color="auto" w:sz="2" w:space="0"/>
              <w:bottom w:val="single" w:color="auto" w:sz="2" w:space="0"/>
              <w:right w:val="single" w:color="auto" w:sz="2" w:space="0"/>
            </w:tcBorders>
            <w:shd w:val="clear" w:color="auto" w:fill="D3D3D3"/>
            <w:vAlign w:val="center"/>
          </w:tcPr>
          <w:p w14:paraId="62AB13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影响金额</w:t>
            </w:r>
          </w:p>
        </w:tc>
      </w:tr>
      <w:tr w14:paraId="40CBEE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59" w:type="pct"/>
            <w:tcBorders>
              <w:top w:val="single" w:color="auto" w:sz="2" w:space="0"/>
              <w:left w:val="single" w:color="auto" w:sz="2" w:space="0"/>
              <w:bottom w:val="single" w:color="auto" w:sz="2" w:space="0"/>
              <w:right w:val="single" w:color="auto" w:sz="2" w:space="0"/>
            </w:tcBorders>
            <w:vAlign w:val="center"/>
          </w:tcPr>
          <w:p w14:paraId="2212D0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政部于2023年10月25日发布了《企业会计准则解释第17号》(财会【2023】21号)，“关于流动负债与非流动负债的划分”、“关于供应商融资安排的披露”、“关于售后租回交易的会计处理”的内容自2024年1月1日起施行。</w:t>
            </w:r>
          </w:p>
        </w:tc>
        <w:tc>
          <w:tcPr>
            <w:tcW w:w="592" w:type="pct"/>
            <w:tcBorders>
              <w:top w:val="single" w:color="auto" w:sz="2" w:space="0"/>
              <w:left w:val="single" w:color="auto" w:sz="2" w:space="0"/>
              <w:bottom w:val="single" w:color="auto" w:sz="2" w:space="0"/>
              <w:right w:val="single" w:color="auto" w:sz="2" w:space="0"/>
            </w:tcBorders>
            <w:vAlign w:val="center"/>
          </w:tcPr>
          <w:p w14:paraId="4BEF26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349" w:type="pct"/>
            <w:tcBorders>
              <w:top w:val="single" w:color="auto" w:sz="2" w:space="0"/>
              <w:left w:val="single" w:color="auto" w:sz="2" w:space="0"/>
              <w:bottom w:val="single" w:color="auto" w:sz="2" w:space="0"/>
              <w:right w:val="single" w:color="auto" w:sz="2" w:space="0"/>
            </w:tcBorders>
            <w:vAlign w:val="center"/>
          </w:tcPr>
          <w:p w14:paraId="4751B2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1F5D6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59" w:type="pct"/>
            <w:tcBorders>
              <w:top w:val="single" w:color="auto" w:sz="2" w:space="0"/>
              <w:left w:val="single" w:color="auto" w:sz="2" w:space="0"/>
              <w:bottom w:val="single" w:color="auto" w:sz="2" w:space="0"/>
              <w:right w:val="single" w:color="auto" w:sz="2" w:space="0"/>
            </w:tcBorders>
            <w:vAlign w:val="center"/>
          </w:tcPr>
          <w:p w14:paraId="4D9EE3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政部于2024年12月6日发布了《企业会计准则解释第18号》(财会【2024】24号)，“关于浮动收费法下作为基础项目持有的投资性房地产的后续计量”、“关于不属于单项履约义务的保证类质量保证的会计处理”的内容自印发之日起施行。</w:t>
            </w:r>
          </w:p>
        </w:tc>
        <w:tc>
          <w:tcPr>
            <w:tcW w:w="592" w:type="pct"/>
            <w:tcBorders>
              <w:top w:val="single" w:color="auto" w:sz="2" w:space="0"/>
              <w:left w:val="single" w:color="auto" w:sz="2" w:space="0"/>
              <w:bottom w:val="single" w:color="auto" w:sz="2" w:space="0"/>
              <w:right w:val="single" w:color="auto" w:sz="2" w:space="0"/>
            </w:tcBorders>
            <w:vAlign w:val="center"/>
          </w:tcPr>
          <w:p w14:paraId="039010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349" w:type="pct"/>
            <w:tcBorders>
              <w:top w:val="single" w:color="auto" w:sz="2" w:space="0"/>
              <w:left w:val="single" w:color="auto" w:sz="2" w:space="0"/>
              <w:bottom w:val="single" w:color="auto" w:sz="2" w:space="0"/>
              <w:right w:val="single" w:color="auto" w:sz="2" w:space="0"/>
            </w:tcBorders>
            <w:vAlign w:val="center"/>
          </w:tcPr>
          <w:p w14:paraId="2DA58A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bl>
    <w:p w14:paraId="7CFB9F90">
      <w:pPr>
        <w:keepNext/>
        <w:keepLines/>
        <w:spacing w:before="300" w:after="300" w:line="280" w:lineRule="exact"/>
        <w:outlineLvl w:val="3"/>
        <w:rPr>
          <w:rFonts w:ascii="Times New Roman" w:hAnsi="Times New Roman" w:cs="Times New Roman" w:eastAsiaTheme="majorEastAsia"/>
          <w:b/>
          <w:bCs/>
          <w:sz w:val="18"/>
          <w:szCs w:val="18"/>
        </w:rPr>
      </w:pPr>
      <w:bookmarkStart w:id="217" w:name="_Toc989106"/>
      <w:r>
        <w:rPr>
          <w:rFonts w:ascii="Times New Roman" w:hAnsi="Times New Roman" w:cs="Times New Roman" w:eastAsiaTheme="majorEastAsia"/>
          <w:b/>
          <w:bCs/>
          <w:sz w:val="18"/>
          <w:szCs w:val="18"/>
        </w:rPr>
        <w:t>（2） 重要会计估计变更</w:t>
      </w:r>
      <w:bookmarkEnd w:id="217"/>
    </w:p>
    <w:p w14:paraId="07E707AA">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1BE4892">
      <w:pPr>
        <w:keepNext/>
        <w:keepLines/>
        <w:spacing w:before="300" w:after="300" w:line="280" w:lineRule="exact"/>
        <w:outlineLvl w:val="3"/>
        <w:rPr>
          <w:rFonts w:ascii="Times New Roman" w:hAnsi="Times New Roman" w:cs="Times New Roman" w:eastAsiaTheme="majorEastAsia"/>
          <w:b/>
          <w:bCs/>
          <w:sz w:val="18"/>
          <w:szCs w:val="18"/>
        </w:rPr>
      </w:pPr>
      <w:bookmarkStart w:id="218" w:name="_Toc989107"/>
      <w:r>
        <w:rPr>
          <w:rFonts w:ascii="Times New Roman" w:hAnsi="Times New Roman" w:cs="Times New Roman" w:eastAsiaTheme="majorEastAsia"/>
          <w:b/>
          <w:bCs/>
          <w:sz w:val="18"/>
          <w:szCs w:val="18"/>
        </w:rPr>
        <w:t>（3） 2024年起首次执行新会计准则调整首次执行当年年初财务报表相关项目情况</w:t>
      </w:r>
      <w:bookmarkEnd w:id="218"/>
    </w:p>
    <w:p w14:paraId="6C367C1E">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9242085">
      <w:pPr>
        <w:pStyle w:val="3"/>
        <w:spacing w:line="280" w:lineRule="exact"/>
        <w:jc w:val="left"/>
        <w:rPr>
          <w:rFonts w:ascii="Times New Roman" w:hAnsi="Times New Roman" w:cs="Times New Roman" w:eastAsiaTheme="majorEastAsia"/>
          <w:b/>
          <w:bCs/>
        </w:rPr>
      </w:pPr>
      <w:bookmarkStart w:id="219" w:name="_Toc989108"/>
      <w:r>
        <w:rPr>
          <w:rFonts w:ascii="Times New Roman" w:hAnsi="Times New Roman" w:cs="Times New Roman" w:eastAsiaTheme="majorEastAsia"/>
          <w:b/>
          <w:bCs/>
        </w:rPr>
        <w:t>40、其他</w:t>
      </w:r>
      <w:bookmarkEnd w:id="219"/>
    </w:p>
    <w:p w14:paraId="370D2BE9">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780EF6FA">
      <w:pPr>
        <w:pStyle w:val="2"/>
        <w:spacing w:before="300" w:after="300" w:line="320" w:lineRule="exact"/>
        <w:rPr>
          <w:rFonts w:ascii="Times New Roman" w:hAnsi="Times New Roman" w:cs="Times New Roman" w:eastAsiaTheme="majorEastAsia"/>
          <w:b/>
          <w:bCs/>
          <w:sz w:val="24"/>
          <w:szCs w:val="24"/>
        </w:rPr>
      </w:pPr>
      <w:bookmarkStart w:id="220" w:name="_Toc989109"/>
      <w:r>
        <w:rPr>
          <w:rFonts w:ascii="Times New Roman" w:hAnsi="Times New Roman" w:cs="Times New Roman" w:eastAsiaTheme="majorEastAsia"/>
          <w:b/>
          <w:bCs/>
          <w:sz w:val="24"/>
          <w:szCs w:val="24"/>
        </w:rPr>
        <w:t>六、税项</w:t>
      </w:r>
      <w:bookmarkEnd w:id="220"/>
    </w:p>
    <w:p w14:paraId="3211A574">
      <w:pPr>
        <w:pStyle w:val="3"/>
        <w:spacing w:line="280" w:lineRule="exact"/>
        <w:jc w:val="left"/>
        <w:rPr>
          <w:rFonts w:ascii="Times New Roman" w:hAnsi="Times New Roman" w:cs="Times New Roman" w:eastAsiaTheme="majorEastAsia"/>
          <w:b/>
          <w:bCs/>
        </w:rPr>
      </w:pPr>
      <w:bookmarkStart w:id="221" w:name="_Toc989110"/>
      <w:r>
        <w:rPr>
          <w:rFonts w:ascii="Times New Roman" w:hAnsi="Times New Roman" w:cs="Times New Roman" w:eastAsiaTheme="majorEastAsia"/>
          <w:b/>
          <w:bCs/>
        </w:rPr>
        <w:t>1、主要税种及税率</w:t>
      </w:r>
      <w:bookmarkEnd w:id="221"/>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74"/>
        <w:gridCol w:w="3152"/>
      </w:tblGrid>
      <w:tr w14:paraId="59A3BE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B1AE8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税种</w:t>
            </w:r>
          </w:p>
        </w:tc>
        <w:tc>
          <w:tcPr>
            <w:tcW w:w="3274" w:type="dxa"/>
            <w:tcBorders>
              <w:top w:val="single" w:color="auto" w:sz="2" w:space="0"/>
              <w:left w:val="single" w:color="auto" w:sz="2" w:space="0"/>
              <w:bottom w:val="single" w:color="auto" w:sz="2" w:space="0"/>
              <w:right w:val="single" w:color="auto" w:sz="2" w:space="0"/>
            </w:tcBorders>
            <w:shd w:val="clear" w:color="auto" w:fill="D3D3D3"/>
            <w:vAlign w:val="center"/>
          </w:tcPr>
          <w:p w14:paraId="06B887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计税依据</w:t>
            </w:r>
          </w:p>
        </w:tc>
        <w:tc>
          <w:tcPr>
            <w:tcW w:w="3152" w:type="dxa"/>
            <w:tcBorders>
              <w:top w:val="single" w:color="auto" w:sz="2" w:space="0"/>
              <w:left w:val="single" w:color="auto" w:sz="2" w:space="0"/>
              <w:bottom w:val="single" w:color="auto" w:sz="2" w:space="0"/>
              <w:right w:val="single" w:color="auto" w:sz="2" w:space="0"/>
            </w:tcBorders>
            <w:shd w:val="clear" w:color="auto" w:fill="D3D3D3"/>
            <w:vAlign w:val="center"/>
          </w:tcPr>
          <w:p w14:paraId="5A69B7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税率</w:t>
            </w:r>
          </w:p>
        </w:tc>
      </w:tr>
      <w:tr w14:paraId="19462D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45995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增值税</w:t>
            </w:r>
          </w:p>
        </w:tc>
        <w:tc>
          <w:tcPr>
            <w:tcW w:w="3274" w:type="dxa"/>
            <w:tcBorders>
              <w:top w:val="single" w:color="auto" w:sz="2" w:space="0"/>
              <w:left w:val="single" w:color="auto" w:sz="2" w:space="0"/>
              <w:bottom w:val="single" w:color="auto" w:sz="2" w:space="0"/>
              <w:right w:val="single" w:color="auto" w:sz="2" w:space="0"/>
            </w:tcBorders>
            <w:vAlign w:val="center"/>
          </w:tcPr>
          <w:p w14:paraId="038131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应纳税增值额(应纳税额按应纳税销售额乘以适用税率扣除当期允许抵扣的进项税后的余额计算)</w:t>
            </w:r>
          </w:p>
        </w:tc>
        <w:tc>
          <w:tcPr>
            <w:tcW w:w="3152" w:type="dxa"/>
            <w:tcBorders>
              <w:top w:val="single" w:color="auto" w:sz="2" w:space="0"/>
              <w:left w:val="single" w:color="auto" w:sz="2" w:space="0"/>
              <w:bottom w:val="single" w:color="auto" w:sz="2" w:space="0"/>
              <w:right w:val="single" w:color="auto" w:sz="2" w:space="0"/>
            </w:tcBorders>
            <w:vAlign w:val="center"/>
          </w:tcPr>
          <w:p w14:paraId="34DD536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13%、9%、6%、0%</w:t>
            </w:r>
          </w:p>
        </w:tc>
      </w:tr>
      <w:tr w14:paraId="0661A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A5B3A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城市维护建设税</w:t>
            </w:r>
          </w:p>
        </w:tc>
        <w:tc>
          <w:tcPr>
            <w:tcW w:w="3274" w:type="dxa"/>
            <w:tcBorders>
              <w:top w:val="single" w:color="auto" w:sz="2" w:space="0"/>
              <w:left w:val="single" w:color="auto" w:sz="2" w:space="0"/>
              <w:bottom w:val="single" w:color="auto" w:sz="2" w:space="0"/>
              <w:right w:val="single" w:color="auto" w:sz="2" w:space="0"/>
            </w:tcBorders>
            <w:vAlign w:val="center"/>
          </w:tcPr>
          <w:p w14:paraId="158C56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缴纳的增值税及消费税税额</w:t>
            </w:r>
          </w:p>
        </w:tc>
        <w:tc>
          <w:tcPr>
            <w:tcW w:w="3152" w:type="dxa"/>
            <w:tcBorders>
              <w:top w:val="single" w:color="auto" w:sz="2" w:space="0"/>
              <w:left w:val="single" w:color="auto" w:sz="2" w:space="0"/>
              <w:bottom w:val="single" w:color="auto" w:sz="2" w:space="0"/>
              <w:right w:val="single" w:color="auto" w:sz="2" w:space="0"/>
            </w:tcBorders>
            <w:vAlign w:val="center"/>
          </w:tcPr>
          <w:p w14:paraId="6F8A4C1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7%</w:t>
            </w:r>
          </w:p>
        </w:tc>
      </w:tr>
      <w:tr w14:paraId="4ACAE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313D4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企业所得税</w:t>
            </w:r>
          </w:p>
        </w:tc>
        <w:tc>
          <w:tcPr>
            <w:tcW w:w="3274" w:type="dxa"/>
            <w:tcBorders>
              <w:top w:val="single" w:color="auto" w:sz="2" w:space="0"/>
              <w:left w:val="single" w:color="auto" w:sz="2" w:space="0"/>
              <w:bottom w:val="single" w:color="auto" w:sz="2" w:space="0"/>
              <w:right w:val="single" w:color="auto" w:sz="2" w:space="0"/>
            </w:tcBorders>
            <w:vAlign w:val="center"/>
          </w:tcPr>
          <w:p w14:paraId="64A1BF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应纳税所得额（如存在不同企业所得税税率纳税主体的，披露下表）</w:t>
            </w:r>
          </w:p>
        </w:tc>
        <w:tc>
          <w:tcPr>
            <w:tcW w:w="3152" w:type="dxa"/>
            <w:tcBorders>
              <w:top w:val="single" w:color="auto" w:sz="2" w:space="0"/>
              <w:left w:val="single" w:color="auto" w:sz="2" w:space="0"/>
              <w:bottom w:val="single" w:color="auto" w:sz="2" w:space="0"/>
              <w:right w:val="single" w:color="auto" w:sz="2" w:space="0"/>
            </w:tcBorders>
            <w:vAlign w:val="center"/>
          </w:tcPr>
          <w:p w14:paraId="624699E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15%、8.25%、20%、25%</w:t>
            </w:r>
          </w:p>
        </w:tc>
      </w:tr>
      <w:tr w14:paraId="5B55C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EB9AC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教育费附加</w:t>
            </w:r>
          </w:p>
        </w:tc>
        <w:tc>
          <w:tcPr>
            <w:tcW w:w="3274" w:type="dxa"/>
            <w:tcBorders>
              <w:top w:val="single" w:color="auto" w:sz="2" w:space="0"/>
              <w:left w:val="single" w:color="auto" w:sz="2" w:space="0"/>
              <w:bottom w:val="single" w:color="auto" w:sz="2" w:space="0"/>
              <w:right w:val="single" w:color="auto" w:sz="2" w:space="0"/>
            </w:tcBorders>
            <w:vAlign w:val="center"/>
          </w:tcPr>
          <w:p w14:paraId="5DD845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缴纳的增值税及消费税税额</w:t>
            </w:r>
          </w:p>
        </w:tc>
        <w:tc>
          <w:tcPr>
            <w:tcW w:w="3152" w:type="dxa"/>
            <w:tcBorders>
              <w:top w:val="single" w:color="auto" w:sz="2" w:space="0"/>
              <w:left w:val="single" w:color="auto" w:sz="2" w:space="0"/>
              <w:bottom w:val="single" w:color="auto" w:sz="2" w:space="0"/>
              <w:right w:val="single" w:color="auto" w:sz="2" w:space="0"/>
            </w:tcBorders>
            <w:vAlign w:val="center"/>
          </w:tcPr>
          <w:p w14:paraId="5D45AA6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3%、2%</w:t>
            </w:r>
          </w:p>
        </w:tc>
      </w:tr>
    </w:tbl>
    <w:p w14:paraId="1824A48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存在不同企业所得税税率纳税主体的，披露情况说明</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487"/>
        <w:gridCol w:w="3152"/>
      </w:tblGrid>
      <w:tr w14:paraId="5C8999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6487" w:type="dxa"/>
            <w:tcBorders>
              <w:top w:val="single" w:color="auto" w:sz="2" w:space="0"/>
              <w:left w:val="single" w:color="auto" w:sz="2" w:space="0"/>
              <w:bottom w:val="single" w:color="auto" w:sz="2" w:space="0"/>
              <w:right w:val="single" w:color="auto" w:sz="2" w:space="0"/>
            </w:tcBorders>
            <w:shd w:val="clear" w:color="auto" w:fill="D3D3D3"/>
            <w:vAlign w:val="center"/>
          </w:tcPr>
          <w:p w14:paraId="0E1DD0F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纳税主体名称</w:t>
            </w:r>
          </w:p>
        </w:tc>
        <w:tc>
          <w:tcPr>
            <w:tcW w:w="3152" w:type="dxa"/>
            <w:tcBorders>
              <w:top w:val="single" w:color="auto" w:sz="2" w:space="0"/>
              <w:left w:val="single" w:color="auto" w:sz="2" w:space="0"/>
              <w:bottom w:val="single" w:color="auto" w:sz="2" w:space="0"/>
              <w:right w:val="single" w:color="auto" w:sz="2" w:space="0"/>
            </w:tcBorders>
            <w:shd w:val="clear" w:color="auto" w:fill="D3D3D3"/>
            <w:vAlign w:val="center"/>
          </w:tcPr>
          <w:p w14:paraId="0C85C4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所得税税率</w:t>
            </w:r>
          </w:p>
        </w:tc>
      </w:tr>
      <w:tr w14:paraId="2CEC8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7496C3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广东天亿马信息产业股份有限公司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02E92EE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15%</w:t>
            </w:r>
          </w:p>
        </w:tc>
      </w:tr>
      <w:tr w14:paraId="5C7D61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11B086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0BF32D4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15%</w:t>
            </w:r>
          </w:p>
        </w:tc>
      </w:tr>
      <w:tr w14:paraId="499FC2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9E6AF1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549D467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15%</w:t>
            </w:r>
          </w:p>
        </w:tc>
      </w:tr>
      <w:tr w14:paraId="28DC16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471AA8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7E17364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15%</w:t>
            </w:r>
          </w:p>
        </w:tc>
      </w:tr>
      <w:tr w14:paraId="36A488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4C4CA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43066A4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5CE25F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31E25A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3C632CD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677330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8CA0B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粤科睿肯（上海）科技有限公司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7730C66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26A5BE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79BB1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7CC9F1C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6711A8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76B814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78C1141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7A89E8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18CE1A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桓台爱道光伏发电有限公司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007C1AA0">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73A479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27F1A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邯郸庚源新能源科技有限公司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2F979F9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705C7A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590E93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湖南天晨新能源有限公司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38B7E0E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008F9A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6E83DE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广东天亿马新能源产业发展有限公司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5BDB185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795697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33439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深圳市亿泰新能源有限公司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3EFCB29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4B9EDB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CC010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广西亿泰新能源有限公司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6ECD60B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144C5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1FF62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广东天亿马数字产业有限公司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4B18772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2E564E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332738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广州市天亿马信息技术有限公司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1D3B91A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119AA3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78524F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深圳市天亿马信息技术有限公司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0CABB0E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25%</w:t>
            </w:r>
          </w:p>
        </w:tc>
      </w:tr>
      <w:tr w14:paraId="136416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E8EF92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天亿马（香港）信息产业有限公司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6508165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8.25%</w:t>
            </w:r>
          </w:p>
        </w:tc>
      </w:tr>
      <w:tr w14:paraId="018307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7471D9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59045F3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25%</w:t>
            </w:r>
          </w:p>
        </w:tc>
      </w:tr>
      <w:tr w14:paraId="2D988C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698DBA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湖南亿道电力有限公司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4E4A42B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79E937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5AF2CA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海南天亿马数字能源有限公司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42848B4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2C0535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2F469F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天亿马新能源（衡阳）有限公司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2C2141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1F5646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16E3B8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衡阳凯晶新能源有限公司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719035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6C6D81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36929D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广州路创轨道科技有限公司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1AB1A8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r w14:paraId="53CB99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6487" w:type="dxa"/>
            <w:tcBorders>
              <w:top w:val="single" w:color="auto" w:sz="2" w:space="0"/>
              <w:left w:val="single" w:color="auto" w:sz="2" w:space="0"/>
              <w:bottom w:val="single" w:color="auto" w:sz="2" w:space="0"/>
              <w:right w:val="single" w:color="auto" w:sz="2" w:space="0"/>
            </w:tcBorders>
            <w:vAlign w:val="center"/>
          </w:tcPr>
          <w:p w14:paraId="738590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惠州市天亿马信息技术有限公司</w:t>
            </w:r>
          </w:p>
        </w:tc>
        <w:tc>
          <w:tcPr>
            <w:tcW w:w="3152" w:type="dxa"/>
            <w:tcBorders>
              <w:top w:val="single" w:color="auto" w:sz="2" w:space="0"/>
              <w:left w:val="single" w:color="auto" w:sz="2" w:space="0"/>
              <w:bottom w:val="single" w:color="auto" w:sz="2" w:space="0"/>
              <w:right w:val="single" w:color="auto" w:sz="2" w:space="0"/>
            </w:tcBorders>
            <w:vAlign w:val="center"/>
          </w:tcPr>
          <w:p w14:paraId="443BFCA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w:t>
            </w:r>
          </w:p>
        </w:tc>
      </w:tr>
    </w:tbl>
    <w:p w14:paraId="76BBC6A0">
      <w:pPr>
        <w:pStyle w:val="3"/>
        <w:spacing w:line="280" w:lineRule="exact"/>
        <w:jc w:val="left"/>
        <w:rPr>
          <w:rFonts w:ascii="Times New Roman" w:hAnsi="Times New Roman" w:cs="Times New Roman" w:eastAsiaTheme="majorEastAsia"/>
          <w:b/>
          <w:bCs/>
        </w:rPr>
      </w:pPr>
      <w:bookmarkStart w:id="222" w:name="_Toc989111"/>
      <w:r>
        <w:rPr>
          <w:rFonts w:ascii="Times New Roman" w:hAnsi="Times New Roman" w:cs="Times New Roman" w:eastAsiaTheme="majorEastAsia"/>
          <w:b/>
          <w:bCs/>
        </w:rPr>
        <w:t>2、税收优惠</w:t>
      </w:r>
      <w:bookmarkEnd w:id="222"/>
    </w:p>
    <w:p w14:paraId="54E4EAB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公司于2023年12月28日取得广东省科学技术厅、广东省财政厅、国家税务总局广东省税务局联合下发的编号GR202344010435的高新技术企业证书，证书有效期为三年（2023—2025年）。根据企业所得税法第二十八条规定：“国家需要重点扶持的高新技术企业，减按15%的税率征收企业所得税”，2023年度至2025年度，本公司适用15%的企业所得税税率。</w:t>
      </w:r>
    </w:p>
    <w:p w14:paraId="1F3247CC">
      <w:pPr>
        <w:pStyle w:val="10"/>
        <w:spacing w:before="156" w:beforeLines="50" w:beforeAutospacing="0" w:after="156" w:afterLines="50" w:afterAutospacing="0"/>
        <w:ind w:firstLine="420"/>
        <w:rPr>
          <w:rFonts w:ascii="Times New Roman" w:hAnsi="Times New Roman" w:cs="Times New Roman" w:eastAsiaTheme="majorEastAsia"/>
          <w:sz w:val="22"/>
          <w:szCs w:val="22"/>
        </w:rPr>
      </w:pPr>
      <w:r>
        <w:rPr>
          <w:rFonts w:ascii="Times New Roman" w:hAnsi="Times New Roman" w:cs="Times New Roman" w:eastAsiaTheme="majorEastAsia"/>
          <w:color w:val="000000"/>
          <w:sz w:val="21"/>
          <w:szCs w:val="21"/>
        </w:rPr>
        <w:t>子公司天亿马信息技术有限公司于2024年11月28日取得广东省科学技术厅、广东省财政厅、国家税务总局广东省税务局联合下发的编号GR202444006228的高新技术企业证书，证书有效期为三年（2024—2026年）。根据企业所得税法第二十八条规定：“国家需要重点扶持的高新技术企业，减按15%的税率征收企业所得税”，2024年度至2026年度，天亿马技术适用15%的企业所得税税率。</w:t>
      </w:r>
    </w:p>
    <w:p w14:paraId="55324C14">
      <w:pPr>
        <w:pStyle w:val="10"/>
        <w:spacing w:before="156" w:beforeLines="50" w:beforeAutospacing="0" w:after="156" w:afterLines="50" w:afterAutospacing="0"/>
        <w:ind w:firstLine="420"/>
        <w:rPr>
          <w:rFonts w:ascii="Times New Roman" w:hAnsi="Times New Roman" w:cs="Times New Roman" w:eastAsiaTheme="majorEastAsia"/>
          <w:sz w:val="22"/>
          <w:szCs w:val="22"/>
        </w:rPr>
      </w:pPr>
      <w:r>
        <w:rPr>
          <w:rFonts w:ascii="Times New Roman" w:hAnsi="Times New Roman" w:cs="Times New Roman" w:eastAsiaTheme="majorEastAsia"/>
          <w:color w:val="000000"/>
          <w:sz w:val="21"/>
          <w:szCs w:val="21"/>
        </w:rPr>
        <w:t>子公司深圳市互联精英信息技术有限公司于2022年12月19日取得深圳市科技创新委员会、深圳市财政局、国家税务总局深圳市税务局联合下发的编号GR202244206303的高新技术企业证书，证书有效期为三年（2022—2024年）。根据企业所得税法第二十八条规定：“国家需要重点扶持的高新技术企业，减按15%的税率征收企业所得税”，2022年度至2024年度，互联精英适用15%的企业所得税税率。</w:t>
      </w:r>
    </w:p>
    <w:p w14:paraId="6778497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根据《财政部 税务总局关于进一步支持小微企业和个体工商户发展有关税费政策的公告》（财政部税务总局公告2023年第12号），对小型微利企业减按25%计算应纳税所得额，按20%的税率缴纳企业所得税政策，延续执行至2027年12月31日。2023年广东天亿马信息科技有限公司适用小微企业税务优惠。</w:t>
      </w:r>
    </w:p>
    <w:p w14:paraId="4AF387B8">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子公司天亿马（香港）信息产业有限公司依照香港立法局颁布的《税务条例》，依据课税年度的应纳税所得额按16.5%的税率缴纳利得税。于2019年4月1日及之后的税务年度采用“两级税制”，不超过200万港币的应评税利润适用 8.25%税率，超过200万港币的应评税利润适用 16.5%税率。</w:t>
      </w:r>
    </w:p>
    <w:p w14:paraId="76E8F2ED">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根据《财政部 税务总局 科技部关于进一步提高科技型中小企业研发费用税前加计扣除比例的公告》（2022年第16号），科技型中小企业开展研发活动中实际发生的研发费用，未形成无形资产计入当期损益的，在按规定据实扣除的基础上，自2022年1月1日起，再按照实际发生额的100%在税前加计扣除；形成无形资产的，自2022年1月1日起，按照无形资产成本的200%在税前摊销。2023年天亿马信息技术有限公司、深圳市互联精英信息技术有限公司符合相关条件，研究开发费研发费用税前加计扣除比例为100%。</w:t>
      </w:r>
    </w:p>
    <w:p w14:paraId="6ADB97E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公司需遵守《深圳证券交易所上市公司自律监管指引第3号——行业信息披露》中的“软件与信息技术服务业”的披露要求</w:t>
      </w:r>
    </w:p>
    <w:p w14:paraId="290E97B7">
      <w:pPr>
        <w:rPr>
          <w:rFonts w:ascii="Times New Roman" w:hAnsi="Times New Roman" w:cs="Times New Roman" w:eastAsiaTheme="majorEastAsia"/>
          <w:sz w:val="18"/>
          <w:szCs w:val="18"/>
        </w:rPr>
      </w:pPr>
    </w:p>
    <w:p w14:paraId="4F58F012">
      <w:pPr>
        <w:pStyle w:val="3"/>
        <w:spacing w:line="280" w:lineRule="exact"/>
        <w:jc w:val="left"/>
        <w:rPr>
          <w:rFonts w:ascii="Times New Roman" w:hAnsi="Times New Roman" w:cs="Times New Roman" w:eastAsiaTheme="majorEastAsia"/>
          <w:b/>
          <w:bCs/>
        </w:rPr>
      </w:pPr>
      <w:bookmarkStart w:id="223" w:name="_Toc989112"/>
      <w:r>
        <w:rPr>
          <w:rFonts w:ascii="Times New Roman" w:hAnsi="Times New Roman" w:cs="Times New Roman" w:eastAsiaTheme="majorEastAsia"/>
          <w:b/>
          <w:bCs/>
        </w:rPr>
        <w:t>3、其他</w:t>
      </w:r>
      <w:bookmarkEnd w:id="223"/>
    </w:p>
    <w:p w14:paraId="2A5D3617">
      <w:pPr>
        <w:rPr>
          <w:rFonts w:ascii="Times New Roman" w:hAnsi="Times New Roman" w:cs="Times New Roman" w:eastAsiaTheme="majorEastAsia"/>
          <w:sz w:val="18"/>
          <w:szCs w:val="18"/>
        </w:rPr>
      </w:pPr>
    </w:p>
    <w:p w14:paraId="662867CD">
      <w:pPr>
        <w:pStyle w:val="2"/>
        <w:spacing w:before="300" w:after="300" w:line="320" w:lineRule="exact"/>
        <w:rPr>
          <w:rFonts w:ascii="Times New Roman" w:hAnsi="Times New Roman" w:cs="Times New Roman" w:eastAsiaTheme="majorEastAsia"/>
          <w:b/>
          <w:bCs/>
          <w:sz w:val="24"/>
          <w:szCs w:val="24"/>
        </w:rPr>
      </w:pPr>
      <w:bookmarkStart w:id="224" w:name="_Toc989113"/>
      <w:r>
        <w:rPr>
          <w:rFonts w:ascii="Times New Roman" w:hAnsi="Times New Roman" w:cs="Times New Roman" w:eastAsiaTheme="majorEastAsia"/>
          <w:b/>
          <w:bCs/>
          <w:sz w:val="24"/>
          <w:szCs w:val="24"/>
        </w:rPr>
        <w:t>七、合并财务报表项目注释</w:t>
      </w:r>
      <w:bookmarkEnd w:id="224"/>
    </w:p>
    <w:p w14:paraId="2E518DAB">
      <w:pPr>
        <w:pStyle w:val="3"/>
        <w:spacing w:line="280" w:lineRule="exact"/>
        <w:jc w:val="left"/>
        <w:rPr>
          <w:rFonts w:ascii="Times New Roman" w:hAnsi="Times New Roman" w:cs="Times New Roman" w:eastAsiaTheme="majorEastAsia"/>
          <w:b/>
          <w:bCs/>
        </w:rPr>
      </w:pPr>
      <w:bookmarkStart w:id="225" w:name="_Toc989114"/>
      <w:r>
        <w:rPr>
          <w:rFonts w:ascii="Times New Roman" w:hAnsi="Times New Roman" w:cs="Times New Roman" w:eastAsiaTheme="majorEastAsia"/>
          <w:b/>
          <w:bCs/>
        </w:rPr>
        <w:t>1、货币资金</w:t>
      </w:r>
      <w:bookmarkEnd w:id="225"/>
    </w:p>
    <w:p w14:paraId="32A307F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728F0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1F80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9C3FC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F591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7FC14C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768D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库存现金</w:t>
            </w:r>
          </w:p>
        </w:tc>
        <w:tc>
          <w:tcPr>
            <w:tcW w:w="3213" w:type="dxa"/>
            <w:tcBorders>
              <w:top w:val="single" w:color="auto" w:sz="2" w:space="0"/>
              <w:left w:val="single" w:color="auto" w:sz="2" w:space="0"/>
              <w:bottom w:val="single" w:color="auto" w:sz="2" w:space="0"/>
              <w:right w:val="single" w:color="auto" w:sz="2" w:space="0"/>
            </w:tcBorders>
            <w:vAlign w:val="center"/>
          </w:tcPr>
          <w:p w14:paraId="706485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118,274.31</w:t>
            </w:r>
          </w:p>
        </w:tc>
        <w:tc>
          <w:tcPr>
            <w:tcW w:w="3213" w:type="dxa"/>
            <w:tcBorders>
              <w:top w:val="single" w:color="auto" w:sz="2" w:space="0"/>
              <w:left w:val="single" w:color="auto" w:sz="2" w:space="0"/>
              <w:bottom w:val="single" w:color="auto" w:sz="2" w:space="0"/>
              <w:right w:val="single" w:color="auto" w:sz="2" w:space="0"/>
            </w:tcBorders>
            <w:vAlign w:val="center"/>
          </w:tcPr>
          <w:p w14:paraId="2C015F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21,725.40</w:t>
            </w:r>
          </w:p>
        </w:tc>
      </w:tr>
      <w:tr w14:paraId="0EF9B8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2691B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银行存款</w:t>
            </w:r>
          </w:p>
        </w:tc>
        <w:tc>
          <w:tcPr>
            <w:tcW w:w="3213" w:type="dxa"/>
            <w:tcBorders>
              <w:top w:val="single" w:color="auto" w:sz="2" w:space="0"/>
              <w:left w:val="single" w:color="auto" w:sz="2" w:space="0"/>
              <w:bottom w:val="single" w:color="auto" w:sz="2" w:space="0"/>
              <w:right w:val="single" w:color="auto" w:sz="2" w:space="0"/>
            </w:tcBorders>
            <w:vAlign w:val="center"/>
          </w:tcPr>
          <w:p w14:paraId="342ADA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332,882,832.98</w:t>
            </w:r>
          </w:p>
        </w:tc>
        <w:tc>
          <w:tcPr>
            <w:tcW w:w="3213" w:type="dxa"/>
            <w:tcBorders>
              <w:top w:val="single" w:color="auto" w:sz="2" w:space="0"/>
              <w:left w:val="single" w:color="auto" w:sz="2" w:space="0"/>
              <w:bottom w:val="single" w:color="auto" w:sz="2" w:space="0"/>
              <w:right w:val="single" w:color="auto" w:sz="2" w:space="0"/>
            </w:tcBorders>
            <w:vAlign w:val="center"/>
          </w:tcPr>
          <w:p w14:paraId="070AF4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481,995,211.36</w:t>
            </w:r>
          </w:p>
        </w:tc>
      </w:tr>
      <w:tr w14:paraId="7F0226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71E0A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6E0037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1,622,727.95</w:t>
            </w:r>
          </w:p>
        </w:tc>
        <w:tc>
          <w:tcPr>
            <w:tcW w:w="3213" w:type="dxa"/>
            <w:tcBorders>
              <w:top w:val="single" w:color="auto" w:sz="2" w:space="0"/>
              <w:left w:val="single" w:color="auto" w:sz="2" w:space="0"/>
              <w:bottom w:val="single" w:color="auto" w:sz="2" w:space="0"/>
              <w:right w:val="single" w:color="auto" w:sz="2" w:space="0"/>
            </w:tcBorders>
            <w:vAlign w:val="center"/>
          </w:tcPr>
          <w:p w14:paraId="37D866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24,700,171.00</w:t>
            </w:r>
          </w:p>
        </w:tc>
      </w:tr>
      <w:tr w14:paraId="7B07EA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D7464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6CB7C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334,623,835.24</w:t>
            </w:r>
          </w:p>
        </w:tc>
        <w:tc>
          <w:tcPr>
            <w:tcW w:w="3213" w:type="dxa"/>
            <w:tcBorders>
              <w:top w:val="single" w:color="auto" w:sz="2" w:space="0"/>
              <w:left w:val="single" w:color="auto" w:sz="2" w:space="0"/>
              <w:bottom w:val="single" w:color="auto" w:sz="2" w:space="0"/>
              <w:right w:val="single" w:color="auto" w:sz="2" w:space="0"/>
            </w:tcBorders>
            <w:vAlign w:val="center"/>
          </w:tcPr>
          <w:p w14:paraId="0A3C23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506,717,107.76</w:t>
            </w:r>
          </w:p>
        </w:tc>
      </w:tr>
      <w:tr w14:paraId="7162B1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C2786E">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其中：存放在境外的款项总额</w:t>
            </w:r>
          </w:p>
        </w:tc>
        <w:tc>
          <w:tcPr>
            <w:tcW w:w="3213" w:type="dxa"/>
            <w:tcBorders>
              <w:top w:val="single" w:color="auto" w:sz="2" w:space="0"/>
              <w:left w:val="single" w:color="auto" w:sz="2" w:space="0"/>
              <w:bottom w:val="single" w:color="auto" w:sz="2" w:space="0"/>
              <w:right w:val="single" w:color="auto" w:sz="2" w:space="0"/>
            </w:tcBorders>
            <w:vAlign w:val="center"/>
          </w:tcPr>
          <w:p w14:paraId="451353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3,327,875.01</w:t>
            </w:r>
          </w:p>
        </w:tc>
        <w:tc>
          <w:tcPr>
            <w:tcW w:w="3213" w:type="dxa"/>
            <w:tcBorders>
              <w:top w:val="single" w:color="auto" w:sz="2" w:space="0"/>
              <w:left w:val="single" w:color="auto" w:sz="2" w:space="0"/>
              <w:bottom w:val="single" w:color="auto" w:sz="2" w:space="0"/>
              <w:right w:val="single" w:color="auto" w:sz="2" w:space="0"/>
            </w:tcBorders>
            <w:vAlign w:val="center"/>
          </w:tcPr>
          <w:p w14:paraId="7D5044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3,256,008.13</w:t>
            </w:r>
          </w:p>
        </w:tc>
      </w:tr>
    </w:tbl>
    <w:p w14:paraId="09833C0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52744C2D">
      <w:pPr>
        <w:pStyle w:val="10"/>
        <w:spacing w:before="156" w:beforeLines="50" w:beforeAutospacing="0" w:after="156" w:afterLines="50" w:afterAutospacing="0"/>
        <w:ind w:firstLine="420"/>
        <w:jc w:val="both"/>
        <w:rPr>
          <w:rFonts w:ascii="Times New Roman" w:hAnsi="Times New Roman" w:cs="Times New Roman" w:eastAsiaTheme="majorEastAsia"/>
          <w:color w:val="000000"/>
          <w:sz w:val="21"/>
          <w:szCs w:val="21"/>
        </w:rPr>
      </w:pPr>
      <w:r>
        <w:rPr>
          <w:rFonts w:ascii="Times New Roman" w:hAnsi="Times New Roman" w:cs="Times New Roman" w:eastAsiaTheme="majorEastAsia"/>
          <w:color w:val="000000"/>
          <w:sz w:val="21"/>
          <w:szCs w:val="21"/>
        </w:rPr>
        <w:t>注：因抵押、质押或冻结等对使用有限制的货币资金详见本报告第十节 七、26所有权或使用权受到限制的资产。</w:t>
      </w:r>
    </w:p>
    <w:p w14:paraId="6AA6DA4C">
      <w:pPr>
        <w:pStyle w:val="3"/>
        <w:spacing w:line="280" w:lineRule="exact"/>
        <w:jc w:val="left"/>
        <w:rPr>
          <w:rFonts w:ascii="Times New Roman" w:hAnsi="Times New Roman" w:cs="Times New Roman" w:eastAsiaTheme="majorEastAsia"/>
          <w:b/>
          <w:bCs/>
        </w:rPr>
      </w:pPr>
      <w:bookmarkStart w:id="226" w:name="_Toc989115"/>
      <w:r>
        <w:rPr>
          <w:rFonts w:ascii="Times New Roman" w:hAnsi="Times New Roman" w:cs="Times New Roman" w:eastAsiaTheme="majorEastAsia"/>
          <w:b/>
          <w:bCs/>
        </w:rPr>
        <w:t>2、交易性金融资产</w:t>
      </w:r>
      <w:bookmarkEnd w:id="226"/>
    </w:p>
    <w:p w14:paraId="2B2EEFF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14CB0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3718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65EF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8CC26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7FF95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745E7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以公允价值计量且其变动计入当期损益的金融资产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79255F7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A68F0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r>
      <w:tr w14:paraId="715E9E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30683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6E76A6">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266EA4">
            <w:pPr>
              <w:rPr>
                <w:rFonts w:ascii="Times New Roman" w:hAnsi="Times New Roman" w:cs="Times New Roman" w:eastAsiaTheme="majorEastAsia"/>
              </w:rPr>
            </w:pPr>
          </w:p>
        </w:tc>
      </w:tr>
      <w:tr w14:paraId="5C6703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7C009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2D43754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09AFF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r>
      <w:tr w14:paraId="1E4817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6B1BA5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666C81">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F7051F">
            <w:pPr>
              <w:rPr>
                <w:rFonts w:ascii="Times New Roman" w:hAnsi="Times New Roman" w:cs="Times New Roman" w:eastAsiaTheme="majorEastAsia"/>
              </w:rPr>
            </w:pPr>
          </w:p>
        </w:tc>
      </w:tr>
      <w:tr w14:paraId="42E817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9298F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279669B">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5464D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20,017,095.89</w:t>
            </w:r>
          </w:p>
        </w:tc>
      </w:tr>
    </w:tbl>
    <w:p w14:paraId="24E27EFD">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 w:val="18"/>
          <w:szCs w:val="18"/>
        </w:rPr>
        <w:t>其他说明：</w:t>
      </w:r>
      <w:r>
        <w:rPr>
          <w:rFonts w:ascii="Times New Roman" w:hAnsi="Times New Roman" w:cs="Times New Roman" w:eastAsiaTheme="majorEastAsia"/>
          <w:szCs w:val="21"/>
        </w:rPr>
        <w:t>不适用。</w:t>
      </w:r>
    </w:p>
    <w:p w14:paraId="6EA68745">
      <w:pPr>
        <w:pStyle w:val="3"/>
        <w:spacing w:line="280" w:lineRule="exact"/>
        <w:jc w:val="left"/>
        <w:rPr>
          <w:rFonts w:ascii="Times New Roman" w:hAnsi="Times New Roman" w:cs="Times New Roman" w:eastAsiaTheme="majorEastAsia"/>
          <w:b/>
          <w:bCs/>
        </w:rPr>
      </w:pPr>
      <w:bookmarkStart w:id="227" w:name="_Toc989116"/>
      <w:r>
        <w:rPr>
          <w:rFonts w:ascii="Times New Roman" w:hAnsi="Times New Roman" w:cs="Times New Roman" w:eastAsiaTheme="majorEastAsia"/>
          <w:b/>
          <w:bCs/>
        </w:rPr>
        <w:t>3、应收票据</w:t>
      </w:r>
      <w:bookmarkEnd w:id="227"/>
    </w:p>
    <w:p w14:paraId="3B3BF0F7">
      <w:pPr>
        <w:keepNext/>
        <w:keepLines/>
        <w:spacing w:before="300" w:after="300" w:line="280" w:lineRule="exact"/>
        <w:outlineLvl w:val="3"/>
        <w:rPr>
          <w:rFonts w:ascii="Times New Roman" w:hAnsi="Times New Roman" w:cs="Times New Roman" w:eastAsiaTheme="majorEastAsia"/>
          <w:b/>
          <w:bCs/>
          <w:szCs w:val="21"/>
        </w:rPr>
      </w:pPr>
      <w:bookmarkStart w:id="228" w:name="_Toc989117"/>
      <w:r>
        <w:rPr>
          <w:rFonts w:ascii="Times New Roman" w:hAnsi="Times New Roman" w:cs="Times New Roman" w:eastAsiaTheme="majorEastAsia"/>
          <w:b/>
          <w:bCs/>
          <w:szCs w:val="21"/>
        </w:rPr>
        <w:t>（1） 应收票据分类列示</w:t>
      </w:r>
      <w:bookmarkEnd w:id="228"/>
    </w:p>
    <w:p w14:paraId="17C515B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D946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2DC9E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E1C6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61031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8D106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7B6DC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银行承兑票据</w:t>
            </w:r>
          </w:p>
        </w:tc>
        <w:tc>
          <w:tcPr>
            <w:tcW w:w="3213" w:type="dxa"/>
            <w:tcBorders>
              <w:top w:val="single" w:color="auto" w:sz="2" w:space="0"/>
              <w:left w:val="single" w:color="auto" w:sz="2" w:space="0"/>
              <w:bottom w:val="single" w:color="auto" w:sz="2" w:space="0"/>
              <w:right w:val="single" w:color="auto" w:sz="2" w:space="0"/>
            </w:tcBorders>
            <w:vAlign w:val="center"/>
          </w:tcPr>
          <w:p w14:paraId="7648EF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3213" w:type="dxa"/>
            <w:tcBorders>
              <w:top w:val="single" w:color="auto" w:sz="2" w:space="0"/>
              <w:left w:val="single" w:color="auto" w:sz="2" w:space="0"/>
              <w:bottom w:val="single" w:color="auto" w:sz="2" w:space="0"/>
              <w:right w:val="single" w:color="auto" w:sz="2" w:space="0"/>
            </w:tcBorders>
            <w:vAlign w:val="center"/>
          </w:tcPr>
          <w:p w14:paraId="0B2607E0">
            <w:pPr>
              <w:spacing w:line="240" w:lineRule="exact"/>
              <w:jc w:val="right"/>
              <w:rPr>
                <w:rFonts w:ascii="Times New Roman" w:hAnsi="Times New Roman" w:cs="Times New Roman" w:eastAsiaTheme="majorEastAsia"/>
                <w:sz w:val="18"/>
                <w:szCs w:val="18"/>
              </w:rPr>
            </w:pPr>
          </w:p>
        </w:tc>
      </w:tr>
      <w:tr w14:paraId="0034AA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17CA3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5253D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3213" w:type="dxa"/>
            <w:tcBorders>
              <w:top w:val="single" w:color="auto" w:sz="2" w:space="0"/>
              <w:left w:val="single" w:color="auto" w:sz="2" w:space="0"/>
              <w:bottom w:val="single" w:color="auto" w:sz="2" w:space="0"/>
              <w:right w:val="single" w:color="auto" w:sz="2" w:space="0"/>
            </w:tcBorders>
            <w:vAlign w:val="center"/>
          </w:tcPr>
          <w:p w14:paraId="2A12BF4C">
            <w:pPr>
              <w:spacing w:line="240" w:lineRule="exact"/>
              <w:jc w:val="right"/>
              <w:rPr>
                <w:rFonts w:ascii="Times New Roman" w:hAnsi="Times New Roman" w:cs="Times New Roman" w:eastAsiaTheme="majorEastAsia"/>
                <w:sz w:val="18"/>
                <w:szCs w:val="18"/>
              </w:rPr>
            </w:pPr>
          </w:p>
        </w:tc>
      </w:tr>
    </w:tbl>
    <w:p w14:paraId="29A0A712">
      <w:pPr>
        <w:keepNext/>
        <w:keepLines/>
        <w:spacing w:before="300" w:after="300" w:line="280" w:lineRule="exact"/>
        <w:outlineLvl w:val="3"/>
        <w:rPr>
          <w:rFonts w:ascii="Times New Roman" w:hAnsi="Times New Roman" w:cs="Times New Roman" w:eastAsiaTheme="majorEastAsia"/>
          <w:b/>
          <w:bCs/>
          <w:szCs w:val="21"/>
        </w:rPr>
      </w:pPr>
      <w:bookmarkStart w:id="229" w:name="_Toc989118"/>
      <w:r>
        <w:rPr>
          <w:rFonts w:ascii="Times New Roman" w:hAnsi="Times New Roman" w:cs="Times New Roman" w:eastAsiaTheme="majorEastAsia"/>
          <w:b/>
          <w:bCs/>
          <w:szCs w:val="21"/>
        </w:rPr>
        <w:t>（2） 按坏账计提方法分类披露</w:t>
      </w:r>
      <w:bookmarkEnd w:id="229"/>
    </w:p>
    <w:p w14:paraId="537BE2D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74"/>
        <w:gridCol w:w="1161"/>
        <w:gridCol w:w="861"/>
        <w:gridCol w:w="528"/>
        <w:gridCol w:w="793"/>
        <w:gridCol w:w="1161"/>
        <w:gridCol w:w="529"/>
        <w:gridCol w:w="529"/>
        <w:gridCol w:w="529"/>
        <w:gridCol w:w="794"/>
        <w:gridCol w:w="794"/>
      </w:tblGrid>
      <w:tr w14:paraId="74534B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5061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0" w:type="auto"/>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338D3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0" w:type="auto"/>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D19AF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BD243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18F328">
            <w:pPr>
              <w:rPr>
                <w:rFonts w:ascii="Times New Roman" w:hAnsi="Times New Roman" w:cs="Times New Roman" w:eastAsiaTheme="majorEastAsia"/>
              </w:rPr>
            </w:pPr>
          </w:p>
        </w:tc>
        <w:tc>
          <w:tcPr>
            <w:tcW w:w="0" w:type="auto"/>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4F1F06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0" w:type="auto"/>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C2CAA2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5BCC47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0" w:type="auto"/>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89869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0" w:type="auto"/>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A980E0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111C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7EDCD9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39440C">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2B0EC4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084C3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B73DCB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C1F25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C4C3BB">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DA403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2AC26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495FA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2FF61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1D89CC8">
            <w:pPr>
              <w:rPr>
                <w:rFonts w:ascii="Times New Roman" w:hAnsi="Times New Roman" w:cs="Times New Roman" w:eastAsiaTheme="majorEastAsia"/>
              </w:rPr>
            </w:pPr>
          </w:p>
        </w:tc>
      </w:tr>
      <w:tr w14:paraId="06ADA9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9BB844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3B3E5CE">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F178725">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01BA33F">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55F0EF5">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4719184">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1D33F55">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04AB674">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E8F0319">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6686695">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226862F">
            <w:pPr>
              <w:rPr>
                <w:rFonts w:ascii="Times New Roman" w:hAnsi="Times New Roman" w:cs="Times New Roman" w:eastAsiaTheme="majorEastAsia"/>
              </w:rPr>
            </w:pPr>
          </w:p>
        </w:tc>
      </w:tr>
      <w:tr w14:paraId="1FA6F6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7FCFFB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按组合计提坏账准备的应收票据</w:t>
            </w:r>
          </w:p>
        </w:tc>
        <w:tc>
          <w:tcPr>
            <w:tcW w:w="0" w:type="auto"/>
            <w:tcBorders>
              <w:top w:val="single" w:color="auto" w:sz="2" w:space="0"/>
              <w:left w:val="single" w:color="auto" w:sz="2" w:space="0"/>
              <w:bottom w:val="single" w:color="auto" w:sz="2" w:space="0"/>
              <w:right w:val="single" w:color="auto" w:sz="2" w:space="0"/>
            </w:tcBorders>
            <w:vAlign w:val="center"/>
          </w:tcPr>
          <w:p w14:paraId="0B700F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488A58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5ECC7EBF">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1B52A81">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2E9FD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0D0AD17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2502EF4">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671CEFC">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392D42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B2E1B8C">
            <w:pPr>
              <w:spacing w:line="240" w:lineRule="exact"/>
              <w:jc w:val="right"/>
              <w:rPr>
                <w:rFonts w:ascii="Times New Roman" w:hAnsi="Times New Roman" w:cs="Times New Roman" w:eastAsiaTheme="majorEastAsia"/>
                <w:sz w:val="18"/>
                <w:szCs w:val="18"/>
              </w:rPr>
            </w:pPr>
          </w:p>
        </w:tc>
      </w:tr>
      <w:tr w14:paraId="41B590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34B2E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EEEC49C">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2177F17">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39825AE">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630EF84">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20E7B57">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006DBE7">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983C385">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74EB6E2F">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B544E87">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E24D355">
            <w:pPr>
              <w:rPr>
                <w:rFonts w:ascii="Times New Roman" w:hAnsi="Times New Roman" w:cs="Times New Roman" w:eastAsiaTheme="majorEastAsia"/>
              </w:rPr>
            </w:pPr>
          </w:p>
        </w:tc>
      </w:tr>
      <w:tr w14:paraId="22246B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B64DC5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0" w:type="auto"/>
            <w:tcBorders>
              <w:top w:val="single" w:color="auto" w:sz="2" w:space="0"/>
              <w:left w:val="single" w:color="auto" w:sz="2" w:space="0"/>
              <w:bottom w:val="single" w:color="auto" w:sz="2" w:space="0"/>
              <w:right w:val="single" w:color="auto" w:sz="2" w:space="0"/>
            </w:tcBorders>
            <w:vAlign w:val="center"/>
          </w:tcPr>
          <w:p w14:paraId="1CBE3B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375447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751B46E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09C35CB">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ED63F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30DDF146">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0AC848B">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3D98897">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269FC49">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734E5CB">
            <w:pPr>
              <w:spacing w:line="240" w:lineRule="exact"/>
              <w:jc w:val="right"/>
              <w:rPr>
                <w:rFonts w:ascii="Times New Roman" w:hAnsi="Times New Roman" w:cs="Times New Roman" w:eastAsiaTheme="majorEastAsia"/>
                <w:sz w:val="18"/>
                <w:szCs w:val="18"/>
              </w:rPr>
            </w:pPr>
          </w:p>
        </w:tc>
      </w:tr>
      <w:tr w14:paraId="42148C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70C28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0" w:type="auto"/>
            <w:tcBorders>
              <w:top w:val="single" w:color="auto" w:sz="2" w:space="0"/>
              <w:left w:val="single" w:color="auto" w:sz="2" w:space="0"/>
              <w:bottom w:val="single" w:color="auto" w:sz="2" w:space="0"/>
              <w:right w:val="single" w:color="auto" w:sz="2" w:space="0"/>
            </w:tcBorders>
            <w:vAlign w:val="center"/>
          </w:tcPr>
          <w:p w14:paraId="32AD6F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415ED6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5E6285A1">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359666E">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20D0C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0" w:type="auto"/>
            <w:tcBorders>
              <w:top w:val="single" w:color="auto" w:sz="2" w:space="0"/>
              <w:left w:val="single" w:color="auto" w:sz="2" w:space="0"/>
              <w:bottom w:val="single" w:color="auto" w:sz="2" w:space="0"/>
              <w:right w:val="single" w:color="auto" w:sz="2" w:space="0"/>
            </w:tcBorders>
            <w:vAlign w:val="center"/>
          </w:tcPr>
          <w:p w14:paraId="50EF1EFB">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D51A6F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AC17E4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F8BD68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D1DE159">
            <w:pPr>
              <w:spacing w:line="240" w:lineRule="exact"/>
              <w:jc w:val="right"/>
              <w:rPr>
                <w:rFonts w:ascii="Times New Roman" w:hAnsi="Times New Roman" w:cs="Times New Roman" w:eastAsiaTheme="majorEastAsia"/>
                <w:sz w:val="18"/>
                <w:szCs w:val="18"/>
              </w:rPr>
            </w:pPr>
          </w:p>
        </w:tc>
      </w:tr>
    </w:tbl>
    <w:p w14:paraId="77F855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w:t>
      </w:r>
    </w:p>
    <w:p w14:paraId="68344E1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235"/>
        <w:gridCol w:w="2584"/>
        <w:gridCol w:w="2410"/>
        <w:gridCol w:w="2410"/>
      </w:tblGrid>
      <w:tr w14:paraId="52FF14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3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E261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404"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41B3117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6CD2A4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3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EAD9B3">
            <w:pPr>
              <w:rPr>
                <w:rFonts w:ascii="Times New Roman" w:hAnsi="Times New Roman" w:cs="Times New Roman" w:eastAsiaTheme="majorEastAsia"/>
              </w:rPr>
            </w:pPr>
          </w:p>
        </w:tc>
        <w:tc>
          <w:tcPr>
            <w:tcW w:w="2584" w:type="dxa"/>
            <w:tcBorders>
              <w:top w:val="single" w:color="auto" w:sz="2" w:space="0"/>
              <w:left w:val="single" w:color="auto" w:sz="2" w:space="0"/>
              <w:bottom w:val="single" w:color="auto" w:sz="2" w:space="0"/>
              <w:right w:val="single" w:color="auto" w:sz="2" w:space="0"/>
            </w:tcBorders>
            <w:shd w:val="clear" w:color="auto" w:fill="D3D3D3"/>
            <w:vAlign w:val="center"/>
          </w:tcPr>
          <w:p w14:paraId="2C9CBC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9EB3E9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28ABC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7C35CE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35"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75520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 年以内</w:t>
            </w:r>
          </w:p>
        </w:tc>
        <w:tc>
          <w:tcPr>
            <w:tcW w:w="2584" w:type="dxa"/>
            <w:tcBorders>
              <w:top w:val="single" w:color="auto" w:sz="2" w:space="0"/>
              <w:left w:val="single" w:color="auto" w:sz="2" w:space="0"/>
              <w:bottom w:val="single" w:color="auto" w:sz="2" w:space="0"/>
              <w:right w:val="single" w:color="auto" w:sz="2" w:space="0"/>
            </w:tcBorders>
            <w:vAlign w:val="center"/>
          </w:tcPr>
          <w:p w14:paraId="7CFF0F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2410" w:type="dxa"/>
            <w:tcBorders>
              <w:top w:val="single" w:color="auto" w:sz="2" w:space="0"/>
              <w:left w:val="single" w:color="auto" w:sz="2" w:space="0"/>
              <w:bottom w:val="single" w:color="auto" w:sz="2" w:space="0"/>
              <w:right w:val="single" w:color="auto" w:sz="2" w:space="0"/>
            </w:tcBorders>
            <w:vAlign w:val="center"/>
          </w:tcPr>
          <w:p w14:paraId="0EE77487">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3F8D2B6">
            <w:pPr>
              <w:spacing w:line="240" w:lineRule="exact"/>
              <w:jc w:val="right"/>
              <w:rPr>
                <w:rFonts w:ascii="Times New Roman" w:hAnsi="Times New Roman" w:cs="Times New Roman" w:eastAsiaTheme="majorEastAsia"/>
                <w:sz w:val="18"/>
                <w:szCs w:val="18"/>
              </w:rPr>
            </w:pPr>
          </w:p>
        </w:tc>
      </w:tr>
      <w:tr w14:paraId="7E349A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235" w:type="dxa"/>
            <w:tcBorders>
              <w:top w:val="single" w:color="auto" w:sz="2" w:space="0"/>
              <w:left w:val="single" w:color="auto" w:sz="2" w:space="0"/>
              <w:bottom w:val="single" w:color="auto" w:sz="2" w:space="0"/>
              <w:right w:val="single" w:color="auto" w:sz="2" w:space="0"/>
            </w:tcBorders>
            <w:shd w:val="clear" w:color="auto" w:fill="D3D3D3"/>
            <w:vAlign w:val="center"/>
          </w:tcPr>
          <w:p w14:paraId="6616361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584" w:type="dxa"/>
            <w:tcBorders>
              <w:top w:val="single" w:color="auto" w:sz="2" w:space="0"/>
              <w:left w:val="single" w:color="auto" w:sz="2" w:space="0"/>
              <w:bottom w:val="single" w:color="auto" w:sz="2" w:space="0"/>
              <w:right w:val="single" w:color="auto" w:sz="2" w:space="0"/>
            </w:tcBorders>
            <w:vAlign w:val="center"/>
          </w:tcPr>
          <w:p w14:paraId="236DCC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2,570,000.00</w:t>
            </w:r>
          </w:p>
        </w:tc>
        <w:tc>
          <w:tcPr>
            <w:tcW w:w="2410" w:type="dxa"/>
            <w:tcBorders>
              <w:top w:val="single" w:color="auto" w:sz="2" w:space="0"/>
              <w:left w:val="single" w:color="auto" w:sz="2" w:space="0"/>
              <w:bottom w:val="single" w:color="auto" w:sz="2" w:space="0"/>
              <w:right w:val="single" w:color="auto" w:sz="2" w:space="0"/>
            </w:tcBorders>
            <w:vAlign w:val="center"/>
          </w:tcPr>
          <w:p w14:paraId="2FC1D893">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0A6086">
            <w:pPr>
              <w:rPr>
                <w:rFonts w:ascii="Times New Roman" w:hAnsi="Times New Roman" w:cs="Times New Roman" w:eastAsiaTheme="majorEastAsia"/>
              </w:rPr>
            </w:pPr>
          </w:p>
        </w:tc>
      </w:tr>
    </w:tbl>
    <w:p w14:paraId="011B6A8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08E2A4E1">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本组合为信用等级较高银行承兑的银行承兑汇票，且不计坏账准备。</w:t>
      </w:r>
    </w:p>
    <w:p w14:paraId="4BC6A5B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如是按照预期信用损失一般模型计提应收票据坏账准备：</w:t>
      </w:r>
    </w:p>
    <w:p w14:paraId="24A3EA51">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C8CBEC4">
      <w:pPr>
        <w:keepNext/>
        <w:keepLines/>
        <w:spacing w:before="300" w:after="300" w:line="280" w:lineRule="exact"/>
        <w:outlineLvl w:val="3"/>
        <w:rPr>
          <w:rFonts w:ascii="Times New Roman" w:hAnsi="Times New Roman" w:cs="Times New Roman" w:eastAsiaTheme="majorEastAsia"/>
          <w:b/>
          <w:bCs/>
          <w:szCs w:val="21"/>
        </w:rPr>
      </w:pPr>
      <w:bookmarkStart w:id="230" w:name="_Toc989119"/>
      <w:r>
        <w:rPr>
          <w:rFonts w:ascii="Times New Roman" w:hAnsi="Times New Roman" w:cs="Times New Roman" w:eastAsiaTheme="majorEastAsia"/>
          <w:b/>
          <w:bCs/>
          <w:szCs w:val="21"/>
        </w:rPr>
        <w:t>（3） 本期计提、收回或转回的坏账准备情况</w:t>
      </w:r>
      <w:bookmarkEnd w:id="230"/>
    </w:p>
    <w:p w14:paraId="2D1350F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本期计提坏账准备情况：</w:t>
      </w:r>
    </w:p>
    <w:p w14:paraId="41C53B9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415C9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4DA2E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43294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E0F7B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ACF53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91B74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432D76">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32F368B">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0C75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4A787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9C0E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3E8A5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667CE90">
            <w:pPr>
              <w:rPr>
                <w:rFonts w:ascii="Times New Roman" w:hAnsi="Times New Roman" w:cs="Times New Roman" w:eastAsiaTheme="majorEastAsia"/>
              </w:rPr>
            </w:pPr>
          </w:p>
        </w:tc>
      </w:tr>
    </w:tbl>
    <w:p w14:paraId="21F4A25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p>
    <w:p w14:paraId="103EF3AD">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4B94636">
      <w:pPr>
        <w:keepNext/>
        <w:keepLines/>
        <w:spacing w:before="300" w:after="300" w:line="280" w:lineRule="exact"/>
        <w:outlineLvl w:val="3"/>
        <w:rPr>
          <w:rFonts w:ascii="Times New Roman" w:hAnsi="Times New Roman" w:cs="Times New Roman" w:eastAsiaTheme="majorEastAsia"/>
          <w:b/>
          <w:bCs/>
          <w:szCs w:val="21"/>
        </w:rPr>
      </w:pPr>
      <w:bookmarkStart w:id="231" w:name="_Toc989120"/>
      <w:r>
        <w:rPr>
          <w:rFonts w:ascii="Times New Roman" w:hAnsi="Times New Roman" w:cs="Times New Roman" w:eastAsiaTheme="majorEastAsia"/>
          <w:b/>
          <w:bCs/>
          <w:szCs w:val="21"/>
        </w:rPr>
        <w:t>（4） 本期实际核销的应收票据情况</w:t>
      </w:r>
      <w:bookmarkEnd w:id="231"/>
    </w:p>
    <w:p w14:paraId="734FEEF5">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应收票据核销说明：本期无核销的应收票据。</w:t>
      </w:r>
    </w:p>
    <w:p w14:paraId="29E0F95F">
      <w:pPr>
        <w:pStyle w:val="3"/>
        <w:spacing w:line="280" w:lineRule="exact"/>
        <w:jc w:val="left"/>
        <w:rPr>
          <w:rFonts w:ascii="Times New Roman" w:hAnsi="Times New Roman" w:cs="Times New Roman" w:eastAsiaTheme="majorEastAsia"/>
          <w:b/>
          <w:bCs/>
        </w:rPr>
      </w:pPr>
      <w:bookmarkStart w:id="232" w:name="_Toc989121"/>
      <w:r>
        <w:rPr>
          <w:rFonts w:ascii="Times New Roman" w:hAnsi="Times New Roman" w:cs="Times New Roman" w:eastAsiaTheme="majorEastAsia"/>
          <w:b/>
          <w:bCs/>
        </w:rPr>
        <w:t>4、应收账款</w:t>
      </w:r>
      <w:bookmarkEnd w:id="232"/>
    </w:p>
    <w:p w14:paraId="2727DB4F">
      <w:pPr>
        <w:keepNext/>
        <w:keepLines/>
        <w:spacing w:before="300" w:after="300" w:line="280" w:lineRule="exact"/>
        <w:outlineLvl w:val="3"/>
        <w:rPr>
          <w:rFonts w:ascii="Times New Roman" w:hAnsi="Times New Roman" w:cs="Times New Roman" w:eastAsiaTheme="majorEastAsia"/>
          <w:b/>
          <w:bCs/>
          <w:szCs w:val="21"/>
        </w:rPr>
      </w:pPr>
      <w:bookmarkStart w:id="233" w:name="_Toc989122"/>
      <w:r>
        <w:rPr>
          <w:rFonts w:ascii="Times New Roman" w:hAnsi="Times New Roman" w:cs="Times New Roman" w:eastAsiaTheme="majorEastAsia"/>
          <w:b/>
          <w:bCs/>
          <w:szCs w:val="21"/>
        </w:rPr>
        <w:t>（1） 按账龄披露</w:t>
      </w:r>
      <w:bookmarkEnd w:id="233"/>
    </w:p>
    <w:p w14:paraId="2E427846">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533CF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2E82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6AB7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807C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58B558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35FF1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505869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105,506,477.36</w:t>
            </w:r>
          </w:p>
        </w:tc>
        <w:tc>
          <w:tcPr>
            <w:tcW w:w="3213" w:type="dxa"/>
            <w:tcBorders>
              <w:top w:val="single" w:color="auto" w:sz="2" w:space="0"/>
              <w:left w:val="single" w:color="auto" w:sz="2" w:space="0"/>
              <w:bottom w:val="single" w:color="auto" w:sz="2" w:space="0"/>
              <w:right w:val="single" w:color="auto" w:sz="2" w:space="0"/>
            </w:tcBorders>
            <w:vAlign w:val="center"/>
          </w:tcPr>
          <w:p w14:paraId="174961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174,394,754.46</w:t>
            </w:r>
          </w:p>
        </w:tc>
      </w:tr>
      <w:tr w14:paraId="697070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278DC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6C169C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115,898,063.35</w:t>
            </w:r>
          </w:p>
        </w:tc>
        <w:tc>
          <w:tcPr>
            <w:tcW w:w="3213" w:type="dxa"/>
            <w:tcBorders>
              <w:top w:val="single" w:color="auto" w:sz="2" w:space="0"/>
              <w:left w:val="single" w:color="auto" w:sz="2" w:space="0"/>
              <w:bottom w:val="single" w:color="auto" w:sz="2" w:space="0"/>
              <w:right w:val="single" w:color="auto" w:sz="2" w:space="0"/>
            </w:tcBorders>
            <w:vAlign w:val="center"/>
          </w:tcPr>
          <w:p w14:paraId="00FB2D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83,609,230.53</w:t>
            </w:r>
          </w:p>
        </w:tc>
      </w:tr>
      <w:tr w14:paraId="5513B8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F2F7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2FB493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63,766,791.23</w:t>
            </w:r>
          </w:p>
        </w:tc>
        <w:tc>
          <w:tcPr>
            <w:tcW w:w="3213" w:type="dxa"/>
            <w:tcBorders>
              <w:top w:val="single" w:color="auto" w:sz="2" w:space="0"/>
              <w:left w:val="single" w:color="auto" w:sz="2" w:space="0"/>
              <w:bottom w:val="single" w:color="auto" w:sz="2" w:space="0"/>
              <w:right w:val="single" w:color="auto" w:sz="2" w:space="0"/>
            </w:tcBorders>
            <w:vAlign w:val="center"/>
          </w:tcPr>
          <w:p w14:paraId="36FC79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72,082,675.09</w:t>
            </w:r>
          </w:p>
        </w:tc>
      </w:tr>
      <w:tr w14:paraId="6A1D8D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37369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4B110F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73,036,285.79</w:t>
            </w:r>
          </w:p>
        </w:tc>
        <w:tc>
          <w:tcPr>
            <w:tcW w:w="3213" w:type="dxa"/>
            <w:tcBorders>
              <w:top w:val="single" w:color="auto" w:sz="2" w:space="0"/>
              <w:left w:val="single" w:color="auto" w:sz="2" w:space="0"/>
              <w:bottom w:val="single" w:color="auto" w:sz="2" w:space="0"/>
              <w:right w:val="single" w:color="auto" w:sz="2" w:space="0"/>
            </w:tcBorders>
            <w:vAlign w:val="center"/>
          </w:tcPr>
          <w:p w14:paraId="0DE9EF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35,213,574.67</w:t>
            </w:r>
          </w:p>
        </w:tc>
      </w:tr>
      <w:tr w14:paraId="7E31F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AC06A84">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6FE194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49,897,104.09</w:t>
            </w:r>
          </w:p>
        </w:tc>
        <w:tc>
          <w:tcPr>
            <w:tcW w:w="3213" w:type="dxa"/>
            <w:tcBorders>
              <w:top w:val="single" w:color="auto" w:sz="2" w:space="0"/>
              <w:left w:val="single" w:color="auto" w:sz="2" w:space="0"/>
              <w:bottom w:val="single" w:color="auto" w:sz="2" w:space="0"/>
              <w:right w:val="single" w:color="auto" w:sz="2" w:space="0"/>
            </w:tcBorders>
            <w:vAlign w:val="center"/>
          </w:tcPr>
          <w:p w14:paraId="4673F6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14,116,503.24</w:t>
            </w:r>
          </w:p>
        </w:tc>
      </w:tr>
      <w:tr w14:paraId="63A918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2246A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05E62F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8,761,197.95</w:t>
            </w:r>
          </w:p>
        </w:tc>
        <w:tc>
          <w:tcPr>
            <w:tcW w:w="3213" w:type="dxa"/>
            <w:tcBorders>
              <w:top w:val="single" w:color="auto" w:sz="2" w:space="0"/>
              <w:left w:val="single" w:color="auto" w:sz="2" w:space="0"/>
              <w:bottom w:val="single" w:color="auto" w:sz="2" w:space="0"/>
              <w:right w:val="single" w:color="auto" w:sz="2" w:space="0"/>
            </w:tcBorders>
            <w:vAlign w:val="center"/>
          </w:tcPr>
          <w:p w14:paraId="3CE7BB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15,281,903.42</w:t>
            </w:r>
          </w:p>
        </w:tc>
      </w:tr>
      <w:tr w14:paraId="424885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B7646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48B9D7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14,377,983.75</w:t>
            </w:r>
          </w:p>
        </w:tc>
        <w:tc>
          <w:tcPr>
            <w:tcW w:w="3213" w:type="dxa"/>
            <w:tcBorders>
              <w:top w:val="single" w:color="auto" w:sz="2" w:space="0"/>
              <w:left w:val="single" w:color="auto" w:sz="2" w:space="0"/>
              <w:bottom w:val="single" w:color="auto" w:sz="2" w:space="0"/>
              <w:right w:val="single" w:color="auto" w:sz="2" w:space="0"/>
            </w:tcBorders>
            <w:vAlign w:val="center"/>
          </w:tcPr>
          <w:p w14:paraId="5D3695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5,815,168.01</w:t>
            </w:r>
          </w:p>
        </w:tc>
      </w:tr>
      <w:tr w14:paraId="03843B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F70A0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CF542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358,207,617.73</w:t>
            </w:r>
          </w:p>
        </w:tc>
        <w:tc>
          <w:tcPr>
            <w:tcW w:w="3213" w:type="dxa"/>
            <w:tcBorders>
              <w:top w:val="single" w:color="auto" w:sz="2" w:space="0"/>
              <w:left w:val="single" w:color="auto" w:sz="2" w:space="0"/>
              <w:bottom w:val="single" w:color="auto" w:sz="2" w:space="0"/>
              <w:right w:val="single" w:color="auto" w:sz="2" w:space="0"/>
            </w:tcBorders>
            <w:vAlign w:val="center"/>
          </w:tcPr>
          <w:p w14:paraId="19DA5B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365,300,234.75</w:t>
            </w:r>
          </w:p>
        </w:tc>
      </w:tr>
    </w:tbl>
    <w:p w14:paraId="6137ED2F">
      <w:pPr>
        <w:keepNext/>
        <w:keepLines/>
        <w:spacing w:before="300" w:after="300" w:line="280" w:lineRule="exact"/>
        <w:outlineLvl w:val="3"/>
        <w:rPr>
          <w:rFonts w:ascii="Times New Roman" w:hAnsi="Times New Roman" w:cs="Times New Roman" w:eastAsiaTheme="majorEastAsia"/>
          <w:b/>
          <w:bCs/>
          <w:szCs w:val="21"/>
        </w:rPr>
      </w:pPr>
      <w:bookmarkStart w:id="234" w:name="_Toc989123"/>
      <w:r>
        <w:rPr>
          <w:rFonts w:ascii="Times New Roman" w:hAnsi="Times New Roman" w:cs="Times New Roman" w:eastAsiaTheme="majorEastAsia"/>
          <w:b/>
          <w:bCs/>
          <w:szCs w:val="21"/>
        </w:rPr>
        <w:t>（2） 按坏账计提方法分类披露</w:t>
      </w:r>
      <w:bookmarkEnd w:id="234"/>
    </w:p>
    <w:p w14:paraId="702CC89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69B5BF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5DAA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32EE84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0B9238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765FB1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EDA4EA2">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698634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DAFE8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24266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F67DC2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7CEEB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B59A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0161B1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994223D">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F00A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62ECC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F3E28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C534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E9A713">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D2450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56933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B851D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8F8944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551B675">
            <w:pPr>
              <w:rPr>
                <w:rFonts w:ascii="Times New Roman" w:hAnsi="Times New Roman" w:cs="Times New Roman" w:eastAsiaTheme="majorEastAsia"/>
              </w:rPr>
            </w:pPr>
          </w:p>
        </w:tc>
      </w:tr>
      <w:tr w14:paraId="37377D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AE1A1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CC92E7E">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AA57BB2">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B82BA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3BB051D">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3AF260C">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9BF296B">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E340926">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5907085">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56909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9864D9">
            <w:pPr>
              <w:rPr>
                <w:rFonts w:ascii="Times New Roman" w:hAnsi="Times New Roman" w:cs="Times New Roman" w:eastAsiaTheme="majorEastAsia"/>
              </w:rPr>
            </w:pPr>
          </w:p>
        </w:tc>
      </w:tr>
      <w:tr w14:paraId="4340A1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3A945F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0C360B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358,207,617.73</w:t>
            </w:r>
          </w:p>
        </w:tc>
        <w:tc>
          <w:tcPr>
            <w:tcW w:w="876" w:type="dxa"/>
            <w:tcBorders>
              <w:top w:val="single" w:color="auto" w:sz="2" w:space="0"/>
              <w:left w:val="single" w:color="auto" w:sz="2" w:space="0"/>
              <w:bottom w:val="single" w:color="auto" w:sz="2" w:space="0"/>
              <w:right w:val="single" w:color="auto" w:sz="2" w:space="0"/>
            </w:tcBorders>
            <w:vAlign w:val="center"/>
          </w:tcPr>
          <w:p w14:paraId="10EE37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17664B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83,337,736.00</w:t>
            </w:r>
          </w:p>
        </w:tc>
        <w:tc>
          <w:tcPr>
            <w:tcW w:w="876" w:type="dxa"/>
            <w:tcBorders>
              <w:top w:val="single" w:color="auto" w:sz="2" w:space="0"/>
              <w:left w:val="single" w:color="auto" w:sz="2" w:space="0"/>
              <w:bottom w:val="single" w:color="auto" w:sz="2" w:space="0"/>
              <w:right w:val="single" w:color="auto" w:sz="2" w:space="0"/>
            </w:tcBorders>
            <w:vAlign w:val="center"/>
          </w:tcPr>
          <w:p w14:paraId="19C850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23.27%</w:t>
            </w:r>
          </w:p>
        </w:tc>
        <w:tc>
          <w:tcPr>
            <w:tcW w:w="876" w:type="dxa"/>
            <w:tcBorders>
              <w:top w:val="single" w:color="auto" w:sz="2" w:space="0"/>
              <w:left w:val="single" w:color="auto" w:sz="2" w:space="0"/>
              <w:bottom w:val="single" w:color="auto" w:sz="2" w:space="0"/>
              <w:right w:val="single" w:color="auto" w:sz="2" w:space="0"/>
            </w:tcBorders>
            <w:vAlign w:val="center"/>
          </w:tcPr>
          <w:p w14:paraId="53C544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274,869,881.73</w:t>
            </w:r>
          </w:p>
        </w:tc>
        <w:tc>
          <w:tcPr>
            <w:tcW w:w="876" w:type="dxa"/>
            <w:tcBorders>
              <w:top w:val="single" w:color="auto" w:sz="2" w:space="0"/>
              <w:left w:val="single" w:color="auto" w:sz="2" w:space="0"/>
              <w:bottom w:val="single" w:color="auto" w:sz="2" w:space="0"/>
              <w:right w:val="single" w:color="auto" w:sz="2" w:space="0"/>
            </w:tcBorders>
            <w:vAlign w:val="center"/>
          </w:tcPr>
          <w:p w14:paraId="12FF49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365,300,234.75</w:t>
            </w:r>
          </w:p>
        </w:tc>
        <w:tc>
          <w:tcPr>
            <w:tcW w:w="876" w:type="dxa"/>
            <w:tcBorders>
              <w:top w:val="single" w:color="auto" w:sz="2" w:space="0"/>
              <w:left w:val="single" w:color="auto" w:sz="2" w:space="0"/>
              <w:bottom w:val="single" w:color="auto" w:sz="2" w:space="0"/>
              <w:right w:val="single" w:color="auto" w:sz="2" w:space="0"/>
            </w:tcBorders>
            <w:vAlign w:val="center"/>
          </w:tcPr>
          <w:p w14:paraId="7AD277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3484C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65,426,774.81</w:t>
            </w:r>
          </w:p>
        </w:tc>
        <w:tc>
          <w:tcPr>
            <w:tcW w:w="876" w:type="dxa"/>
            <w:tcBorders>
              <w:top w:val="single" w:color="auto" w:sz="2" w:space="0"/>
              <w:left w:val="single" w:color="auto" w:sz="2" w:space="0"/>
              <w:bottom w:val="single" w:color="auto" w:sz="2" w:space="0"/>
              <w:right w:val="single" w:color="auto" w:sz="2" w:space="0"/>
            </w:tcBorders>
            <w:vAlign w:val="center"/>
          </w:tcPr>
          <w:p w14:paraId="1D94C9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17.91%</w:t>
            </w:r>
          </w:p>
        </w:tc>
        <w:tc>
          <w:tcPr>
            <w:tcW w:w="876" w:type="dxa"/>
            <w:tcBorders>
              <w:top w:val="single" w:color="auto" w:sz="2" w:space="0"/>
              <w:left w:val="single" w:color="auto" w:sz="2" w:space="0"/>
              <w:bottom w:val="single" w:color="auto" w:sz="2" w:space="0"/>
              <w:right w:val="single" w:color="auto" w:sz="2" w:space="0"/>
            </w:tcBorders>
            <w:vAlign w:val="center"/>
          </w:tcPr>
          <w:p w14:paraId="24C4C7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299,873,459.94</w:t>
            </w:r>
          </w:p>
        </w:tc>
      </w:tr>
      <w:tr w14:paraId="3B8298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147AC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98FEBB">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F4F41E">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3C325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A30936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3DACCA">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3D8B8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2262978">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399579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26524BE">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06EC996">
            <w:pPr>
              <w:rPr>
                <w:rFonts w:ascii="Times New Roman" w:hAnsi="Times New Roman" w:cs="Times New Roman" w:eastAsiaTheme="majorEastAsia"/>
              </w:rPr>
            </w:pPr>
          </w:p>
        </w:tc>
      </w:tr>
      <w:tr w14:paraId="3D0685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0EC579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5C800A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91,176,131.62</w:t>
            </w:r>
          </w:p>
        </w:tc>
        <w:tc>
          <w:tcPr>
            <w:tcW w:w="876" w:type="dxa"/>
            <w:tcBorders>
              <w:top w:val="single" w:color="auto" w:sz="2" w:space="0"/>
              <w:left w:val="single" w:color="auto" w:sz="2" w:space="0"/>
              <w:bottom w:val="single" w:color="auto" w:sz="2" w:space="0"/>
              <w:right w:val="single" w:color="auto" w:sz="2" w:space="0"/>
            </w:tcBorders>
            <w:vAlign w:val="center"/>
          </w:tcPr>
          <w:p w14:paraId="6EACD5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25.45%</w:t>
            </w:r>
          </w:p>
        </w:tc>
        <w:tc>
          <w:tcPr>
            <w:tcW w:w="876" w:type="dxa"/>
            <w:tcBorders>
              <w:top w:val="single" w:color="auto" w:sz="2" w:space="0"/>
              <w:left w:val="single" w:color="auto" w:sz="2" w:space="0"/>
              <w:bottom w:val="single" w:color="auto" w:sz="2" w:space="0"/>
              <w:right w:val="single" w:color="auto" w:sz="2" w:space="0"/>
            </w:tcBorders>
            <w:vAlign w:val="center"/>
          </w:tcPr>
          <w:p w14:paraId="722F64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23,129,981.57</w:t>
            </w:r>
          </w:p>
        </w:tc>
        <w:tc>
          <w:tcPr>
            <w:tcW w:w="876" w:type="dxa"/>
            <w:tcBorders>
              <w:top w:val="single" w:color="auto" w:sz="2" w:space="0"/>
              <w:left w:val="single" w:color="auto" w:sz="2" w:space="0"/>
              <w:bottom w:val="single" w:color="auto" w:sz="2" w:space="0"/>
              <w:right w:val="single" w:color="auto" w:sz="2" w:space="0"/>
            </w:tcBorders>
            <w:vAlign w:val="center"/>
          </w:tcPr>
          <w:p w14:paraId="0E9EB2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25.37%</w:t>
            </w:r>
          </w:p>
        </w:tc>
        <w:tc>
          <w:tcPr>
            <w:tcW w:w="876" w:type="dxa"/>
            <w:tcBorders>
              <w:top w:val="single" w:color="auto" w:sz="2" w:space="0"/>
              <w:left w:val="single" w:color="auto" w:sz="2" w:space="0"/>
              <w:bottom w:val="single" w:color="auto" w:sz="2" w:space="0"/>
              <w:right w:val="single" w:color="auto" w:sz="2" w:space="0"/>
            </w:tcBorders>
            <w:vAlign w:val="center"/>
          </w:tcPr>
          <w:p w14:paraId="57A9FC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68,046,150.05</w:t>
            </w:r>
          </w:p>
        </w:tc>
        <w:tc>
          <w:tcPr>
            <w:tcW w:w="876" w:type="dxa"/>
            <w:tcBorders>
              <w:top w:val="single" w:color="auto" w:sz="2" w:space="0"/>
              <w:left w:val="single" w:color="auto" w:sz="2" w:space="0"/>
              <w:bottom w:val="single" w:color="auto" w:sz="2" w:space="0"/>
              <w:right w:val="single" w:color="auto" w:sz="2" w:space="0"/>
            </w:tcBorders>
            <w:vAlign w:val="center"/>
          </w:tcPr>
          <w:p w14:paraId="66468E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98,830,182.79</w:t>
            </w:r>
          </w:p>
        </w:tc>
        <w:tc>
          <w:tcPr>
            <w:tcW w:w="876" w:type="dxa"/>
            <w:tcBorders>
              <w:top w:val="single" w:color="auto" w:sz="2" w:space="0"/>
              <w:left w:val="single" w:color="auto" w:sz="2" w:space="0"/>
              <w:bottom w:val="single" w:color="auto" w:sz="2" w:space="0"/>
              <w:right w:val="single" w:color="auto" w:sz="2" w:space="0"/>
            </w:tcBorders>
            <w:vAlign w:val="center"/>
          </w:tcPr>
          <w:p w14:paraId="01B9F6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27.05%</w:t>
            </w:r>
          </w:p>
        </w:tc>
        <w:tc>
          <w:tcPr>
            <w:tcW w:w="876" w:type="dxa"/>
            <w:tcBorders>
              <w:top w:val="single" w:color="auto" w:sz="2" w:space="0"/>
              <w:left w:val="single" w:color="auto" w:sz="2" w:space="0"/>
              <w:bottom w:val="single" w:color="auto" w:sz="2" w:space="0"/>
              <w:right w:val="single" w:color="auto" w:sz="2" w:space="0"/>
            </w:tcBorders>
            <w:vAlign w:val="center"/>
          </w:tcPr>
          <w:p w14:paraId="1D9CD8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21,411,098.47</w:t>
            </w:r>
          </w:p>
        </w:tc>
        <w:tc>
          <w:tcPr>
            <w:tcW w:w="876" w:type="dxa"/>
            <w:tcBorders>
              <w:top w:val="single" w:color="auto" w:sz="2" w:space="0"/>
              <w:left w:val="single" w:color="auto" w:sz="2" w:space="0"/>
              <w:bottom w:val="single" w:color="auto" w:sz="2" w:space="0"/>
              <w:right w:val="single" w:color="auto" w:sz="2" w:space="0"/>
            </w:tcBorders>
            <w:vAlign w:val="center"/>
          </w:tcPr>
          <w:p w14:paraId="5E12B0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21.66%</w:t>
            </w:r>
          </w:p>
        </w:tc>
        <w:tc>
          <w:tcPr>
            <w:tcW w:w="876" w:type="dxa"/>
            <w:tcBorders>
              <w:top w:val="single" w:color="auto" w:sz="2" w:space="0"/>
              <w:left w:val="single" w:color="auto" w:sz="2" w:space="0"/>
              <w:bottom w:val="single" w:color="auto" w:sz="2" w:space="0"/>
              <w:right w:val="single" w:color="auto" w:sz="2" w:space="0"/>
            </w:tcBorders>
            <w:vAlign w:val="center"/>
          </w:tcPr>
          <w:p w14:paraId="5046DB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77,419,084.32</w:t>
            </w:r>
          </w:p>
        </w:tc>
      </w:tr>
      <w:tr w14:paraId="2D8D6D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29078F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6A3CB7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267,031,486.11</w:t>
            </w:r>
          </w:p>
        </w:tc>
        <w:tc>
          <w:tcPr>
            <w:tcW w:w="876" w:type="dxa"/>
            <w:tcBorders>
              <w:top w:val="single" w:color="auto" w:sz="2" w:space="0"/>
              <w:left w:val="single" w:color="auto" w:sz="2" w:space="0"/>
              <w:bottom w:val="single" w:color="auto" w:sz="2" w:space="0"/>
              <w:right w:val="single" w:color="auto" w:sz="2" w:space="0"/>
            </w:tcBorders>
            <w:vAlign w:val="center"/>
          </w:tcPr>
          <w:p w14:paraId="57387A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74.55%</w:t>
            </w:r>
          </w:p>
        </w:tc>
        <w:tc>
          <w:tcPr>
            <w:tcW w:w="876" w:type="dxa"/>
            <w:tcBorders>
              <w:top w:val="single" w:color="auto" w:sz="2" w:space="0"/>
              <w:left w:val="single" w:color="auto" w:sz="2" w:space="0"/>
              <w:bottom w:val="single" w:color="auto" w:sz="2" w:space="0"/>
              <w:right w:val="single" w:color="auto" w:sz="2" w:space="0"/>
            </w:tcBorders>
            <w:vAlign w:val="center"/>
          </w:tcPr>
          <w:p w14:paraId="1A8A01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60,207,754.43</w:t>
            </w:r>
          </w:p>
        </w:tc>
        <w:tc>
          <w:tcPr>
            <w:tcW w:w="876" w:type="dxa"/>
            <w:tcBorders>
              <w:top w:val="single" w:color="auto" w:sz="2" w:space="0"/>
              <w:left w:val="single" w:color="auto" w:sz="2" w:space="0"/>
              <w:bottom w:val="single" w:color="auto" w:sz="2" w:space="0"/>
              <w:right w:val="single" w:color="auto" w:sz="2" w:space="0"/>
            </w:tcBorders>
            <w:vAlign w:val="center"/>
          </w:tcPr>
          <w:p w14:paraId="76C744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22.55%</w:t>
            </w:r>
          </w:p>
        </w:tc>
        <w:tc>
          <w:tcPr>
            <w:tcW w:w="876" w:type="dxa"/>
            <w:tcBorders>
              <w:top w:val="single" w:color="auto" w:sz="2" w:space="0"/>
              <w:left w:val="single" w:color="auto" w:sz="2" w:space="0"/>
              <w:bottom w:val="single" w:color="auto" w:sz="2" w:space="0"/>
              <w:right w:val="single" w:color="auto" w:sz="2" w:space="0"/>
            </w:tcBorders>
            <w:vAlign w:val="center"/>
          </w:tcPr>
          <w:p w14:paraId="6C1FDA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206,823,731.68</w:t>
            </w:r>
          </w:p>
        </w:tc>
        <w:tc>
          <w:tcPr>
            <w:tcW w:w="876" w:type="dxa"/>
            <w:tcBorders>
              <w:top w:val="single" w:color="auto" w:sz="2" w:space="0"/>
              <w:left w:val="single" w:color="auto" w:sz="2" w:space="0"/>
              <w:bottom w:val="single" w:color="auto" w:sz="2" w:space="0"/>
              <w:right w:val="single" w:color="auto" w:sz="2" w:space="0"/>
            </w:tcBorders>
            <w:vAlign w:val="center"/>
          </w:tcPr>
          <w:p w14:paraId="3A30F0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266,470,051.96</w:t>
            </w:r>
          </w:p>
        </w:tc>
        <w:tc>
          <w:tcPr>
            <w:tcW w:w="876" w:type="dxa"/>
            <w:tcBorders>
              <w:top w:val="single" w:color="auto" w:sz="2" w:space="0"/>
              <w:left w:val="single" w:color="auto" w:sz="2" w:space="0"/>
              <w:bottom w:val="single" w:color="auto" w:sz="2" w:space="0"/>
              <w:right w:val="single" w:color="auto" w:sz="2" w:space="0"/>
            </w:tcBorders>
            <w:vAlign w:val="center"/>
          </w:tcPr>
          <w:p w14:paraId="166332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72.95%</w:t>
            </w:r>
          </w:p>
        </w:tc>
        <w:tc>
          <w:tcPr>
            <w:tcW w:w="876" w:type="dxa"/>
            <w:tcBorders>
              <w:top w:val="single" w:color="auto" w:sz="2" w:space="0"/>
              <w:left w:val="single" w:color="auto" w:sz="2" w:space="0"/>
              <w:bottom w:val="single" w:color="auto" w:sz="2" w:space="0"/>
              <w:right w:val="single" w:color="auto" w:sz="2" w:space="0"/>
            </w:tcBorders>
            <w:vAlign w:val="center"/>
          </w:tcPr>
          <w:p w14:paraId="13E6CA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44,015,676.34</w:t>
            </w:r>
          </w:p>
        </w:tc>
        <w:tc>
          <w:tcPr>
            <w:tcW w:w="876" w:type="dxa"/>
            <w:tcBorders>
              <w:top w:val="single" w:color="auto" w:sz="2" w:space="0"/>
              <w:left w:val="single" w:color="auto" w:sz="2" w:space="0"/>
              <w:bottom w:val="single" w:color="auto" w:sz="2" w:space="0"/>
              <w:right w:val="single" w:color="auto" w:sz="2" w:space="0"/>
            </w:tcBorders>
            <w:vAlign w:val="center"/>
          </w:tcPr>
          <w:p w14:paraId="090D50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16.52%</w:t>
            </w:r>
          </w:p>
        </w:tc>
        <w:tc>
          <w:tcPr>
            <w:tcW w:w="876" w:type="dxa"/>
            <w:tcBorders>
              <w:top w:val="single" w:color="auto" w:sz="2" w:space="0"/>
              <w:left w:val="single" w:color="auto" w:sz="2" w:space="0"/>
              <w:bottom w:val="single" w:color="auto" w:sz="2" w:space="0"/>
              <w:right w:val="single" w:color="auto" w:sz="2" w:space="0"/>
            </w:tcBorders>
            <w:vAlign w:val="center"/>
          </w:tcPr>
          <w:p w14:paraId="07E565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222,454,375.62</w:t>
            </w:r>
          </w:p>
        </w:tc>
      </w:tr>
      <w:tr w14:paraId="13C033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D5E0A7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1C36E5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358,207,617.73</w:t>
            </w:r>
          </w:p>
        </w:tc>
        <w:tc>
          <w:tcPr>
            <w:tcW w:w="876" w:type="dxa"/>
            <w:tcBorders>
              <w:top w:val="single" w:color="auto" w:sz="2" w:space="0"/>
              <w:left w:val="single" w:color="auto" w:sz="2" w:space="0"/>
              <w:bottom w:val="single" w:color="auto" w:sz="2" w:space="0"/>
              <w:right w:val="single" w:color="auto" w:sz="2" w:space="0"/>
            </w:tcBorders>
            <w:vAlign w:val="center"/>
          </w:tcPr>
          <w:p w14:paraId="48FEB7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00994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83,337,736.00</w:t>
            </w:r>
          </w:p>
        </w:tc>
        <w:tc>
          <w:tcPr>
            <w:tcW w:w="876" w:type="dxa"/>
            <w:tcBorders>
              <w:top w:val="single" w:color="auto" w:sz="2" w:space="0"/>
              <w:left w:val="single" w:color="auto" w:sz="2" w:space="0"/>
              <w:bottom w:val="single" w:color="auto" w:sz="2" w:space="0"/>
              <w:right w:val="single" w:color="auto" w:sz="2" w:space="0"/>
            </w:tcBorders>
            <w:vAlign w:val="center"/>
          </w:tcPr>
          <w:p w14:paraId="100F7B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23.27%</w:t>
            </w:r>
          </w:p>
        </w:tc>
        <w:tc>
          <w:tcPr>
            <w:tcW w:w="876" w:type="dxa"/>
            <w:tcBorders>
              <w:top w:val="single" w:color="auto" w:sz="2" w:space="0"/>
              <w:left w:val="single" w:color="auto" w:sz="2" w:space="0"/>
              <w:bottom w:val="single" w:color="auto" w:sz="2" w:space="0"/>
              <w:right w:val="single" w:color="auto" w:sz="2" w:space="0"/>
            </w:tcBorders>
            <w:vAlign w:val="center"/>
          </w:tcPr>
          <w:p w14:paraId="5AE42A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274,869,881.73</w:t>
            </w:r>
          </w:p>
        </w:tc>
        <w:tc>
          <w:tcPr>
            <w:tcW w:w="876" w:type="dxa"/>
            <w:tcBorders>
              <w:top w:val="single" w:color="auto" w:sz="2" w:space="0"/>
              <w:left w:val="single" w:color="auto" w:sz="2" w:space="0"/>
              <w:bottom w:val="single" w:color="auto" w:sz="2" w:space="0"/>
              <w:right w:val="single" w:color="auto" w:sz="2" w:space="0"/>
            </w:tcBorders>
            <w:vAlign w:val="center"/>
          </w:tcPr>
          <w:p w14:paraId="1D7E54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365,300,234.75</w:t>
            </w:r>
          </w:p>
        </w:tc>
        <w:tc>
          <w:tcPr>
            <w:tcW w:w="876" w:type="dxa"/>
            <w:tcBorders>
              <w:top w:val="single" w:color="auto" w:sz="2" w:space="0"/>
              <w:left w:val="single" w:color="auto" w:sz="2" w:space="0"/>
              <w:bottom w:val="single" w:color="auto" w:sz="2" w:space="0"/>
              <w:right w:val="single" w:color="auto" w:sz="2" w:space="0"/>
            </w:tcBorders>
            <w:vAlign w:val="center"/>
          </w:tcPr>
          <w:p w14:paraId="7CF8E2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760DF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65,426,774.81</w:t>
            </w:r>
          </w:p>
        </w:tc>
        <w:tc>
          <w:tcPr>
            <w:tcW w:w="876" w:type="dxa"/>
            <w:tcBorders>
              <w:top w:val="single" w:color="auto" w:sz="2" w:space="0"/>
              <w:left w:val="single" w:color="auto" w:sz="2" w:space="0"/>
              <w:bottom w:val="single" w:color="auto" w:sz="2" w:space="0"/>
              <w:right w:val="single" w:color="auto" w:sz="2" w:space="0"/>
            </w:tcBorders>
            <w:vAlign w:val="center"/>
          </w:tcPr>
          <w:p w14:paraId="186283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17.91%</w:t>
            </w:r>
          </w:p>
        </w:tc>
        <w:tc>
          <w:tcPr>
            <w:tcW w:w="876" w:type="dxa"/>
            <w:tcBorders>
              <w:top w:val="single" w:color="auto" w:sz="2" w:space="0"/>
              <w:left w:val="single" w:color="auto" w:sz="2" w:space="0"/>
              <w:bottom w:val="single" w:color="auto" w:sz="2" w:space="0"/>
              <w:right w:val="single" w:color="auto" w:sz="2" w:space="0"/>
            </w:tcBorders>
            <w:vAlign w:val="center"/>
          </w:tcPr>
          <w:p w14:paraId="5EEE90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299,873,459.94</w:t>
            </w:r>
          </w:p>
        </w:tc>
      </w:tr>
    </w:tbl>
    <w:p w14:paraId="49B6B43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按组合计提坏账准备：组合1</w:t>
      </w:r>
    </w:p>
    <w:p w14:paraId="505BCBB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2C294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6F0D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DE7EC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0FB15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EE3C6B">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116DA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873D1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DF82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5F859B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2D485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6D280A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40,810,549.15</w:t>
            </w:r>
          </w:p>
        </w:tc>
        <w:tc>
          <w:tcPr>
            <w:tcW w:w="2410" w:type="dxa"/>
            <w:tcBorders>
              <w:top w:val="single" w:color="auto" w:sz="2" w:space="0"/>
              <w:left w:val="single" w:color="auto" w:sz="2" w:space="0"/>
              <w:bottom w:val="single" w:color="auto" w:sz="2" w:space="0"/>
              <w:right w:val="single" w:color="auto" w:sz="2" w:space="0"/>
            </w:tcBorders>
            <w:vAlign w:val="center"/>
          </w:tcPr>
          <w:p w14:paraId="5A403A9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2,040,527.47</w:t>
            </w:r>
          </w:p>
        </w:tc>
        <w:tc>
          <w:tcPr>
            <w:tcW w:w="2410" w:type="dxa"/>
            <w:tcBorders>
              <w:top w:val="single" w:color="auto" w:sz="2" w:space="0"/>
              <w:left w:val="single" w:color="auto" w:sz="2" w:space="0"/>
              <w:bottom w:val="single" w:color="auto" w:sz="2" w:space="0"/>
              <w:right w:val="single" w:color="auto" w:sz="2" w:space="0"/>
            </w:tcBorders>
            <w:vAlign w:val="center"/>
          </w:tcPr>
          <w:p w14:paraId="65AED2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5DBA8C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428CD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0E334D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12,878,695.57</w:t>
            </w:r>
          </w:p>
        </w:tc>
        <w:tc>
          <w:tcPr>
            <w:tcW w:w="2410" w:type="dxa"/>
            <w:tcBorders>
              <w:top w:val="single" w:color="auto" w:sz="2" w:space="0"/>
              <w:left w:val="single" w:color="auto" w:sz="2" w:space="0"/>
              <w:bottom w:val="single" w:color="auto" w:sz="2" w:space="0"/>
              <w:right w:val="single" w:color="auto" w:sz="2" w:space="0"/>
            </w:tcBorders>
            <w:vAlign w:val="center"/>
          </w:tcPr>
          <w:p w14:paraId="598CF6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1,287,869.56</w:t>
            </w:r>
          </w:p>
        </w:tc>
        <w:tc>
          <w:tcPr>
            <w:tcW w:w="2410" w:type="dxa"/>
            <w:tcBorders>
              <w:top w:val="single" w:color="auto" w:sz="2" w:space="0"/>
              <w:left w:val="single" w:color="auto" w:sz="2" w:space="0"/>
              <w:bottom w:val="single" w:color="auto" w:sz="2" w:space="0"/>
              <w:right w:val="single" w:color="auto" w:sz="2" w:space="0"/>
            </w:tcBorders>
            <w:vAlign w:val="center"/>
          </w:tcPr>
          <w:p w14:paraId="274E55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r>
      <w:tr w14:paraId="6A6523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DF863F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1CB78F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15,224,672.35</w:t>
            </w:r>
          </w:p>
        </w:tc>
        <w:tc>
          <w:tcPr>
            <w:tcW w:w="2410" w:type="dxa"/>
            <w:tcBorders>
              <w:top w:val="single" w:color="auto" w:sz="2" w:space="0"/>
              <w:left w:val="single" w:color="auto" w:sz="2" w:space="0"/>
              <w:bottom w:val="single" w:color="auto" w:sz="2" w:space="0"/>
              <w:right w:val="single" w:color="auto" w:sz="2" w:space="0"/>
            </w:tcBorders>
            <w:vAlign w:val="center"/>
          </w:tcPr>
          <w:p w14:paraId="5893F9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4,567,401.72</w:t>
            </w:r>
          </w:p>
        </w:tc>
        <w:tc>
          <w:tcPr>
            <w:tcW w:w="2410" w:type="dxa"/>
            <w:tcBorders>
              <w:top w:val="single" w:color="auto" w:sz="2" w:space="0"/>
              <w:left w:val="single" w:color="auto" w:sz="2" w:space="0"/>
              <w:bottom w:val="single" w:color="auto" w:sz="2" w:space="0"/>
              <w:right w:val="single" w:color="auto" w:sz="2" w:space="0"/>
            </w:tcBorders>
            <w:vAlign w:val="center"/>
          </w:tcPr>
          <w:p w14:paraId="0EFC1B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r>
      <w:tr w14:paraId="5BC096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A6FEC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679E1A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12,565,732.79</w:t>
            </w:r>
          </w:p>
        </w:tc>
        <w:tc>
          <w:tcPr>
            <w:tcW w:w="2410" w:type="dxa"/>
            <w:tcBorders>
              <w:top w:val="single" w:color="auto" w:sz="2" w:space="0"/>
              <w:left w:val="single" w:color="auto" w:sz="2" w:space="0"/>
              <w:bottom w:val="single" w:color="auto" w:sz="2" w:space="0"/>
              <w:right w:val="single" w:color="auto" w:sz="2" w:space="0"/>
            </w:tcBorders>
            <w:vAlign w:val="center"/>
          </w:tcPr>
          <w:p w14:paraId="419462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6,282,866.40</w:t>
            </w:r>
          </w:p>
        </w:tc>
        <w:tc>
          <w:tcPr>
            <w:tcW w:w="2410" w:type="dxa"/>
            <w:tcBorders>
              <w:top w:val="single" w:color="auto" w:sz="2" w:space="0"/>
              <w:left w:val="single" w:color="auto" w:sz="2" w:space="0"/>
              <w:bottom w:val="single" w:color="auto" w:sz="2" w:space="0"/>
              <w:right w:val="single" w:color="auto" w:sz="2" w:space="0"/>
            </w:tcBorders>
            <w:vAlign w:val="center"/>
          </w:tcPr>
          <w:p w14:paraId="3953EF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r w14:paraId="5A22EF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56B97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3FE20D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3,725,826.73</w:t>
            </w:r>
          </w:p>
        </w:tc>
        <w:tc>
          <w:tcPr>
            <w:tcW w:w="2410" w:type="dxa"/>
            <w:tcBorders>
              <w:top w:val="single" w:color="auto" w:sz="2" w:space="0"/>
              <w:left w:val="single" w:color="auto" w:sz="2" w:space="0"/>
              <w:bottom w:val="single" w:color="auto" w:sz="2" w:space="0"/>
              <w:right w:val="single" w:color="auto" w:sz="2" w:space="0"/>
            </w:tcBorders>
            <w:vAlign w:val="center"/>
          </w:tcPr>
          <w:p w14:paraId="768ED5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2,980,661.39</w:t>
            </w:r>
          </w:p>
        </w:tc>
        <w:tc>
          <w:tcPr>
            <w:tcW w:w="2410" w:type="dxa"/>
            <w:tcBorders>
              <w:top w:val="single" w:color="auto" w:sz="2" w:space="0"/>
              <w:left w:val="single" w:color="auto" w:sz="2" w:space="0"/>
              <w:bottom w:val="single" w:color="auto" w:sz="2" w:space="0"/>
              <w:right w:val="single" w:color="auto" w:sz="2" w:space="0"/>
            </w:tcBorders>
            <w:vAlign w:val="center"/>
          </w:tcPr>
          <w:p w14:paraId="25969D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w:t>
            </w:r>
          </w:p>
        </w:tc>
      </w:tr>
      <w:tr w14:paraId="223509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1D875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32A014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5,970,655.03</w:t>
            </w:r>
          </w:p>
        </w:tc>
        <w:tc>
          <w:tcPr>
            <w:tcW w:w="2410" w:type="dxa"/>
            <w:tcBorders>
              <w:top w:val="single" w:color="auto" w:sz="2" w:space="0"/>
              <w:left w:val="single" w:color="auto" w:sz="2" w:space="0"/>
              <w:bottom w:val="single" w:color="auto" w:sz="2" w:space="0"/>
              <w:right w:val="single" w:color="auto" w:sz="2" w:space="0"/>
            </w:tcBorders>
            <w:vAlign w:val="center"/>
          </w:tcPr>
          <w:p w14:paraId="4FC76C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5,970,655.03</w:t>
            </w:r>
          </w:p>
        </w:tc>
        <w:tc>
          <w:tcPr>
            <w:tcW w:w="2410" w:type="dxa"/>
            <w:tcBorders>
              <w:top w:val="single" w:color="auto" w:sz="2" w:space="0"/>
              <w:left w:val="single" w:color="auto" w:sz="2" w:space="0"/>
              <w:bottom w:val="single" w:color="auto" w:sz="2" w:space="0"/>
              <w:right w:val="single" w:color="auto" w:sz="2" w:space="0"/>
            </w:tcBorders>
            <w:vAlign w:val="center"/>
          </w:tcPr>
          <w:p w14:paraId="2EA3F9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723323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B1E4B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7E54AF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91,176,131.62</w:t>
            </w:r>
          </w:p>
        </w:tc>
        <w:tc>
          <w:tcPr>
            <w:tcW w:w="2410" w:type="dxa"/>
            <w:tcBorders>
              <w:top w:val="single" w:color="auto" w:sz="2" w:space="0"/>
              <w:left w:val="single" w:color="auto" w:sz="2" w:space="0"/>
              <w:bottom w:val="single" w:color="auto" w:sz="2" w:space="0"/>
              <w:right w:val="single" w:color="auto" w:sz="2" w:space="0"/>
            </w:tcBorders>
            <w:vAlign w:val="center"/>
          </w:tcPr>
          <w:p w14:paraId="247D34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23,129,981.57</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0D7212">
            <w:pPr>
              <w:rPr>
                <w:rFonts w:ascii="Times New Roman" w:hAnsi="Times New Roman" w:cs="Times New Roman" w:eastAsiaTheme="majorEastAsia"/>
              </w:rPr>
            </w:pPr>
          </w:p>
        </w:tc>
      </w:tr>
    </w:tbl>
    <w:p w14:paraId="1164087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06851D2C">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对于划分为账龄组合的应收账款，本集团参考历史信用损失经验，结合当前状况以及对未来经济状况的预测，编制应收账款客户账龄分析表与整个存续期预期信用损失率对照表，计算预期信用损失。</w:t>
      </w:r>
    </w:p>
    <w:p w14:paraId="7213EA8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按组合计提坏账准备：组合2</w:t>
      </w:r>
    </w:p>
    <w:p w14:paraId="1CDE97BB">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59B158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412A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D8ED2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7968DD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CE40C6">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AB210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0290E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A964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20680F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A139D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2FBC49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64,695,928.21</w:t>
            </w:r>
          </w:p>
        </w:tc>
        <w:tc>
          <w:tcPr>
            <w:tcW w:w="2410" w:type="dxa"/>
            <w:tcBorders>
              <w:top w:val="single" w:color="auto" w:sz="2" w:space="0"/>
              <w:left w:val="single" w:color="auto" w:sz="2" w:space="0"/>
              <w:bottom w:val="single" w:color="auto" w:sz="2" w:space="0"/>
              <w:right w:val="single" w:color="auto" w:sz="2" w:space="0"/>
            </w:tcBorders>
            <w:vAlign w:val="center"/>
          </w:tcPr>
          <w:p w14:paraId="10F09F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3,234,796.40</w:t>
            </w:r>
          </w:p>
        </w:tc>
        <w:tc>
          <w:tcPr>
            <w:tcW w:w="2410" w:type="dxa"/>
            <w:tcBorders>
              <w:top w:val="single" w:color="auto" w:sz="2" w:space="0"/>
              <w:left w:val="single" w:color="auto" w:sz="2" w:space="0"/>
              <w:bottom w:val="single" w:color="auto" w:sz="2" w:space="0"/>
              <w:right w:val="single" w:color="auto" w:sz="2" w:space="0"/>
            </w:tcBorders>
            <w:vAlign w:val="center"/>
          </w:tcPr>
          <w:p w14:paraId="0CA79A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3EF22D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1150D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10412B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103,019,367.78</w:t>
            </w:r>
          </w:p>
        </w:tc>
        <w:tc>
          <w:tcPr>
            <w:tcW w:w="2410" w:type="dxa"/>
            <w:tcBorders>
              <w:top w:val="single" w:color="auto" w:sz="2" w:space="0"/>
              <w:left w:val="single" w:color="auto" w:sz="2" w:space="0"/>
              <w:bottom w:val="single" w:color="auto" w:sz="2" w:space="0"/>
              <w:right w:val="single" w:color="auto" w:sz="2" w:space="0"/>
            </w:tcBorders>
            <w:vAlign w:val="center"/>
          </w:tcPr>
          <w:p w14:paraId="1703C2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10,301,936.78</w:t>
            </w:r>
          </w:p>
        </w:tc>
        <w:tc>
          <w:tcPr>
            <w:tcW w:w="2410" w:type="dxa"/>
            <w:tcBorders>
              <w:top w:val="single" w:color="auto" w:sz="2" w:space="0"/>
              <w:left w:val="single" w:color="auto" w:sz="2" w:space="0"/>
              <w:bottom w:val="single" w:color="auto" w:sz="2" w:space="0"/>
              <w:right w:val="single" w:color="auto" w:sz="2" w:space="0"/>
            </w:tcBorders>
            <w:vAlign w:val="center"/>
          </w:tcPr>
          <w:p w14:paraId="71AF2E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r>
      <w:tr w14:paraId="3DCC33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41E72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7FC9F1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48,542,118.88</w:t>
            </w:r>
          </w:p>
        </w:tc>
        <w:tc>
          <w:tcPr>
            <w:tcW w:w="2410" w:type="dxa"/>
            <w:tcBorders>
              <w:top w:val="single" w:color="auto" w:sz="2" w:space="0"/>
              <w:left w:val="single" w:color="auto" w:sz="2" w:space="0"/>
              <w:bottom w:val="single" w:color="auto" w:sz="2" w:space="0"/>
              <w:right w:val="single" w:color="auto" w:sz="2" w:space="0"/>
            </w:tcBorders>
            <w:vAlign w:val="center"/>
          </w:tcPr>
          <w:p w14:paraId="303F5B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14,562,635.66</w:t>
            </w:r>
          </w:p>
        </w:tc>
        <w:tc>
          <w:tcPr>
            <w:tcW w:w="2410" w:type="dxa"/>
            <w:tcBorders>
              <w:top w:val="single" w:color="auto" w:sz="2" w:space="0"/>
              <w:left w:val="single" w:color="auto" w:sz="2" w:space="0"/>
              <w:bottom w:val="single" w:color="auto" w:sz="2" w:space="0"/>
              <w:right w:val="single" w:color="auto" w:sz="2" w:space="0"/>
            </w:tcBorders>
            <w:vAlign w:val="center"/>
          </w:tcPr>
          <w:p w14:paraId="6DE02A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r>
      <w:tr w14:paraId="3B765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39037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49F6CD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37,331,371.30</w:t>
            </w:r>
          </w:p>
        </w:tc>
        <w:tc>
          <w:tcPr>
            <w:tcW w:w="2410" w:type="dxa"/>
            <w:tcBorders>
              <w:top w:val="single" w:color="auto" w:sz="2" w:space="0"/>
              <w:left w:val="single" w:color="auto" w:sz="2" w:space="0"/>
              <w:bottom w:val="single" w:color="auto" w:sz="2" w:space="0"/>
              <w:right w:val="single" w:color="auto" w:sz="2" w:space="0"/>
            </w:tcBorders>
            <w:vAlign w:val="center"/>
          </w:tcPr>
          <w:p w14:paraId="7815EC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18,665,685.65</w:t>
            </w:r>
          </w:p>
        </w:tc>
        <w:tc>
          <w:tcPr>
            <w:tcW w:w="2410" w:type="dxa"/>
            <w:tcBorders>
              <w:top w:val="single" w:color="auto" w:sz="2" w:space="0"/>
              <w:left w:val="single" w:color="auto" w:sz="2" w:space="0"/>
              <w:bottom w:val="single" w:color="auto" w:sz="2" w:space="0"/>
              <w:right w:val="single" w:color="auto" w:sz="2" w:space="0"/>
            </w:tcBorders>
            <w:vAlign w:val="center"/>
          </w:tcPr>
          <w:p w14:paraId="079825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r w14:paraId="70A92B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3977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19C299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5,035,371.22</w:t>
            </w:r>
          </w:p>
        </w:tc>
        <w:tc>
          <w:tcPr>
            <w:tcW w:w="2410" w:type="dxa"/>
            <w:tcBorders>
              <w:top w:val="single" w:color="auto" w:sz="2" w:space="0"/>
              <w:left w:val="single" w:color="auto" w:sz="2" w:space="0"/>
              <w:bottom w:val="single" w:color="auto" w:sz="2" w:space="0"/>
              <w:right w:val="single" w:color="auto" w:sz="2" w:space="0"/>
            </w:tcBorders>
            <w:vAlign w:val="center"/>
          </w:tcPr>
          <w:p w14:paraId="354E85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5,035,371.22</w:t>
            </w:r>
          </w:p>
        </w:tc>
        <w:tc>
          <w:tcPr>
            <w:tcW w:w="2410" w:type="dxa"/>
            <w:tcBorders>
              <w:top w:val="single" w:color="auto" w:sz="2" w:space="0"/>
              <w:left w:val="single" w:color="auto" w:sz="2" w:space="0"/>
              <w:bottom w:val="single" w:color="auto" w:sz="2" w:space="0"/>
              <w:right w:val="single" w:color="auto" w:sz="2" w:space="0"/>
            </w:tcBorders>
            <w:vAlign w:val="center"/>
          </w:tcPr>
          <w:p w14:paraId="5BF59C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6FBFAE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68E02A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7B59FA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8,407,328.72</w:t>
            </w:r>
          </w:p>
        </w:tc>
        <w:tc>
          <w:tcPr>
            <w:tcW w:w="2410" w:type="dxa"/>
            <w:tcBorders>
              <w:top w:val="single" w:color="auto" w:sz="2" w:space="0"/>
              <w:left w:val="single" w:color="auto" w:sz="2" w:space="0"/>
              <w:bottom w:val="single" w:color="auto" w:sz="2" w:space="0"/>
              <w:right w:val="single" w:color="auto" w:sz="2" w:space="0"/>
            </w:tcBorders>
            <w:vAlign w:val="center"/>
          </w:tcPr>
          <w:p w14:paraId="01F98C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8,407,328.72</w:t>
            </w:r>
          </w:p>
        </w:tc>
        <w:tc>
          <w:tcPr>
            <w:tcW w:w="2410" w:type="dxa"/>
            <w:tcBorders>
              <w:top w:val="single" w:color="auto" w:sz="2" w:space="0"/>
              <w:left w:val="single" w:color="auto" w:sz="2" w:space="0"/>
              <w:bottom w:val="single" w:color="auto" w:sz="2" w:space="0"/>
              <w:right w:val="single" w:color="auto" w:sz="2" w:space="0"/>
            </w:tcBorders>
            <w:vAlign w:val="center"/>
          </w:tcPr>
          <w:p w14:paraId="670D7C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0016DE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4A742A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3A331F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267,031,486.11</w:t>
            </w:r>
          </w:p>
        </w:tc>
        <w:tc>
          <w:tcPr>
            <w:tcW w:w="2410" w:type="dxa"/>
            <w:tcBorders>
              <w:top w:val="single" w:color="auto" w:sz="2" w:space="0"/>
              <w:left w:val="single" w:color="auto" w:sz="2" w:space="0"/>
              <w:bottom w:val="single" w:color="auto" w:sz="2" w:space="0"/>
              <w:right w:val="single" w:color="auto" w:sz="2" w:space="0"/>
            </w:tcBorders>
            <w:vAlign w:val="center"/>
          </w:tcPr>
          <w:p w14:paraId="1DC9AD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60,207,754.43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FCB900">
            <w:pPr>
              <w:rPr>
                <w:rFonts w:ascii="Times New Roman" w:hAnsi="Times New Roman" w:cs="Times New Roman" w:eastAsiaTheme="majorEastAsia"/>
              </w:rPr>
            </w:pPr>
          </w:p>
        </w:tc>
      </w:tr>
    </w:tbl>
    <w:p w14:paraId="1B75F24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587EC784">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对于划分为账龄组合的应收账款，本集团参考历史信用损失经验，结合当前状况以及对未来经济状况的预测，编制应收账款客户账龄分析表与整个存续期预期信用损失率对照表，计算预期信用损失。</w:t>
      </w:r>
    </w:p>
    <w:p w14:paraId="54EB36B2">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如是按照预期信用损失一般模型计提应收账款坏账准备：</w:t>
      </w:r>
    </w:p>
    <w:p w14:paraId="691923BD">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AE59385">
      <w:pPr>
        <w:keepNext/>
        <w:keepLines/>
        <w:spacing w:before="300" w:after="300" w:line="280" w:lineRule="exact"/>
        <w:outlineLvl w:val="3"/>
        <w:rPr>
          <w:rFonts w:ascii="Times New Roman" w:hAnsi="Times New Roman" w:cs="Times New Roman" w:eastAsiaTheme="majorEastAsia"/>
          <w:b/>
          <w:bCs/>
          <w:szCs w:val="21"/>
        </w:rPr>
      </w:pPr>
      <w:bookmarkStart w:id="235" w:name="_Toc989124"/>
      <w:r>
        <w:rPr>
          <w:rFonts w:ascii="Times New Roman" w:hAnsi="Times New Roman" w:cs="Times New Roman" w:eastAsiaTheme="majorEastAsia"/>
          <w:b/>
          <w:bCs/>
          <w:szCs w:val="21"/>
        </w:rPr>
        <w:t>（3） 本期计提、收回或转回的坏账准备情况</w:t>
      </w:r>
      <w:bookmarkEnd w:id="235"/>
    </w:p>
    <w:p w14:paraId="0B6AB4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本期计提坏账准备情况：</w:t>
      </w:r>
    </w:p>
    <w:p w14:paraId="61232092">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4A13E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6666B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12E4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B98EE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DBE6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54EBE8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12597F">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EC9813">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0AF7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4D8B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39168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5188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1C99747">
            <w:pPr>
              <w:rPr>
                <w:rFonts w:ascii="Times New Roman" w:hAnsi="Times New Roman" w:cs="Times New Roman" w:eastAsiaTheme="majorEastAsia"/>
              </w:rPr>
            </w:pPr>
          </w:p>
        </w:tc>
      </w:tr>
      <w:tr w14:paraId="717A7C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29CA4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账龄组合</w:t>
            </w:r>
          </w:p>
        </w:tc>
        <w:tc>
          <w:tcPr>
            <w:tcW w:w="1377" w:type="dxa"/>
            <w:tcBorders>
              <w:top w:val="single" w:color="auto" w:sz="2" w:space="0"/>
              <w:left w:val="single" w:color="auto" w:sz="2" w:space="0"/>
              <w:bottom w:val="single" w:color="auto" w:sz="2" w:space="0"/>
              <w:right w:val="single" w:color="auto" w:sz="2" w:space="0"/>
            </w:tcBorders>
            <w:vAlign w:val="center"/>
          </w:tcPr>
          <w:p w14:paraId="11C8C4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65,426,774.81</w:t>
            </w:r>
          </w:p>
        </w:tc>
        <w:tc>
          <w:tcPr>
            <w:tcW w:w="1377" w:type="dxa"/>
            <w:tcBorders>
              <w:top w:val="single" w:color="auto" w:sz="2" w:space="0"/>
              <w:left w:val="single" w:color="auto" w:sz="2" w:space="0"/>
              <w:bottom w:val="single" w:color="auto" w:sz="2" w:space="0"/>
              <w:right w:val="single" w:color="auto" w:sz="2" w:space="0"/>
            </w:tcBorders>
            <w:vAlign w:val="center"/>
          </w:tcPr>
          <w:p w14:paraId="611596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17,378,236.83</w:t>
            </w:r>
          </w:p>
        </w:tc>
        <w:tc>
          <w:tcPr>
            <w:tcW w:w="1377" w:type="dxa"/>
            <w:tcBorders>
              <w:top w:val="single" w:color="auto" w:sz="2" w:space="0"/>
              <w:left w:val="single" w:color="auto" w:sz="2" w:space="0"/>
              <w:bottom w:val="single" w:color="auto" w:sz="2" w:space="0"/>
              <w:right w:val="single" w:color="auto" w:sz="2" w:space="0"/>
            </w:tcBorders>
            <w:vAlign w:val="center"/>
          </w:tcPr>
          <w:p w14:paraId="4FAD27A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FA988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50A6A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-532,724.36</w:t>
            </w:r>
          </w:p>
        </w:tc>
        <w:tc>
          <w:tcPr>
            <w:tcW w:w="1377" w:type="dxa"/>
            <w:tcBorders>
              <w:top w:val="single" w:color="auto" w:sz="2" w:space="0"/>
              <w:left w:val="single" w:color="auto" w:sz="2" w:space="0"/>
              <w:bottom w:val="single" w:color="auto" w:sz="2" w:space="0"/>
              <w:right w:val="single" w:color="auto" w:sz="2" w:space="0"/>
            </w:tcBorders>
            <w:vAlign w:val="center"/>
          </w:tcPr>
          <w:p w14:paraId="4E36CB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83,337,736.00</w:t>
            </w:r>
          </w:p>
        </w:tc>
      </w:tr>
      <w:tr w14:paraId="1BEA58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5FE80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748022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65,426,774.81</w:t>
            </w:r>
          </w:p>
        </w:tc>
        <w:tc>
          <w:tcPr>
            <w:tcW w:w="1377" w:type="dxa"/>
            <w:tcBorders>
              <w:top w:val="single" w:color="auto" w:sz="2" w:space="0"/>
              <w:left w:val="single" w:color="auto" w:sz="2" w:space="0"/>
              <w:bottom w:val="single" w:color="auto" w:sz="2" w:space="0"/>
              <w:right w:val="single" w:color="auto" w:sz="2" w:space="0"/>
            </w:tcBorders>
            <w:vAlign w:val="center"/>
          </w:tcPr>
          <w:p w14:paraId="044996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17,378,236.83</w:t>
            </w:r>
          </w:p>
        </w:tc>
        <w:tc>
          <w:tcPr>
            <w:tcW w:w="1377" w:type="dxa"/>
            <w:tcBorders>
              <w:top w:val="single" w:color="auto" w:sz="2" w:space="0"/>
              <w:left w:val="single" w:color="auto" w:sz="2" w:space="0"/>
              <w:bottom w:val="single" w:color="auto" w:sz="2" w:space="0"/>
              <w:right w:val="single" w:color="auto" w:sz="2" w:space="0"/>
            </w:tcBorders>
            <w:vAlign w:val="center"/>
          </w:tcPr>
          <w:p w14:paraId="2CF8E61D">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5662A3">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5666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-532,724.36</w:t>
            </w:r>
          </w:p>
        </w:tc>
        <w:tc>
          <w:tcPr>
            <w:tcW w:w="1377" w:type="dxa"/>
            <w:tcBorders>
              <w:top w:val="single" w:color="auto" w:sz="2" w:space="0"/>
              <w:left w:val="single" w:color="auto" w:sz="2" w:space="0"/>
              <w:bottom w:val="single" w:color="auto" w:sz="2" w:space="0"/>
              <w:right w:val="single" w:color="auto" w:sz="2" w:space="0"/>
            </w:tcBorders>
            <w:vAlign w:val="center"/>
          </w:tcPr>
          <w:p w14:paraId="285C48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83,337,736.00</w:t>
            </w:r>
          </w:p>
        </w:tc>
      </w:tr>
    </w:tbl>
    <w:p w14:paraId="728E2A8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p>
    <w:p w14:paraId="3E7DDE88">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1B2E1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CEA141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0E3A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4FE6D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9569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C8023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确定原坏账准备计提比例的依据及其合理性</w:t>
            </w:r>
          </w:p>
        </w:tc>
      </w:tr>
      <w:tr w14:paraId="133BE1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8C7C68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928" w:type="dxa"/>
            <w:tcBorders>
              <w:top w:val="single" w:color="auto" w:sz="2" w:space="0"/>
              <w:left w:val="single" w:color="auto" w:sz="2" w:space="0"/>
              <w:bottom w:val="single" w:color="auto" w:sz="2" w:space="0"/>
              <w:right w:val="single" w:color="auto" w:sz="2" w:space="0"/>
            </w:tcBorders>
            <w:vAlign w:val="center"/>
          </w:tcPr>
          <w:p w14:paraId="40C055CD">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6B302CD">
            <w:pPr>
              <w:spacing w:line="240" w:lineRule="exac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C974AF9">
            <w:pPr>
              <w:spacing w:line="240" w:lineRule="exac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F6D8DC4">
            <w:pPr>
              <w:spacing w:line="240" w:lineRule="exact"/>
              <w:rPr>
                <w:rFonts w:ascii="Times New Roman" w:hAnsi="Times New Roman" w:cs="Times New Roman" w:eastAsiaTheme="majorEastAsia"/>
                <w:sz w:val="18"/>
                <w:szCs w:val="18"/>
              </w:rPr>
            </w:pPr>
          </w:p>
        </w:tc>
      </w:tr>
    </w:tbl>
    <w:p w14:paraId="0659DEB7">
      <w:pPr>
        <w:keepNext/>
        <w:keepLines/>
        <w:spacing w:before="300" w:after="300" w:line="280" w:lineRule="exact"/>
        <w:outlineLvl w:val="3"/>
        <w:rPr>
          <w:rFonts w:ascii="Times New Roman" w:hAnsi="Times New Roman" w:cs="Times New Roman" w:eastAsiaTheme="majorEastAsia"/>
          <w:b/>
          <w:bCs/>
          <w:szCs w:val="21"/>
        </w:rPr>
      </w:pPr>
      <w:bookmarkStart w:id="236" w:name="_Toc989125"/>
      <w:r>
        <w:rPr>
          <w:rFonts w:ascii="Times New Roman" w:hAnsi="Times New Roman" w:cs="Times New Roman" w:eastAsiaTheme="majorEastAsia"/>
          <w:b/>
          <w:bCs/>
          <w:szCs w:val="21"/>
        </w:rPr>
        <w:t>（4） 本期实际核销的应收账款情况</w:t>
      </w:r>
      <w:bookmarkEnd w:id="236"/>
    </w:p>
    <w:p w14:paraId="0D26D336">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本期无实际核销的应收账款。</w:t>
      </w:r>
    </w:p>
    <w:p w14:paraId="6274FADA">
      <w:pPr>
        <w:keepNext/>
        <w:keepLines/>
        <w:spacing w:before="300" w:after="300" w:line="280" w:lineRule="exact"/>
        <w:outlineLvl w:val="3"/>
        <w:rPr>
          <w:rFonts w:ascii="Times New Roman" w:hAnsi="Times New Roman" w:cs="Times New Roman" w:eastAsiaTheme="majorEastAsia"/>
          <w:b/>
          <w:bCs/>
          <w:szCs w:val="21"/>
        </w:rPr>
      </w:pPr>
      <w:bookmarkStart w:id="237" w:name="_Toc989126"/>
      <w:r>
        <w:rPr>
          <w:rFonts w:ascii="Times New Roman" w:hAnsi="Times New Roman" w:cs="Times New Roman" w:eastAsiaTheme="majorEastAsia"/>
          <w:b/>
          <w:bCs/>
          <w:szCs w:val="21"/>
        </w:rPr>
        <w:t>（5） 按欠款方归集的期末余额前五名的应收账款和合同资产情况</w:t>
      </w:r>
      <w:bookmarkEnd w:id="237"/>
    </w:p>
    <w:p w14:paraId="5C485A6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7903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A8DDF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D0A61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B9579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529C0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A0300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BB77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应收账款坏账准备和合同资产减值准备期末余额</w:t>
            </w:r>
          </w:p>
        </w:tc>
      </w:tr>
      <w:tr w14:paraId="6CCA84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76160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客户A</w:t>
            </w:r>
          </w:p>
        </w:tc>
        <w:tc>
          <w:tcPr>
            <w:tcW w:w="1606" w:type="dxa"/>
            <w:tcBorders>
              <w:top w:val="single" w:color="auto" w:sz="2" w:space="0"/>
              <w:left w:val="single" w:color="auto" w:sz="2" w:space="0"/>
              <w:bottom w:val="single" w:color="auto" w:sz="2" w:space="0"/>
              <w:right w:val="single" w:color="auto" w:sz="2" w:space="0"/>
            </w:tcBorders>
            <w:vAlign w:val="center"/>
          </w:tcPr>
          <w:p w14:paraId="5064E3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49,930,114.09</w:t>
            </w:r>
          </w:p>
        </w:tc>
        <w:tc>
          <w:tcPr>
            <w:tcW w:w="1606" w:type="dxa"/>
            <w:tcBorders>
              <w:top w:val="single" w:color="auto" w:sz="2" w:space="0"/>
              <w:left w:val="single" w:color="auto" w:sz="2" w:space="0"/>
              <w:bottom w:val="single" w:color="auto" w:sz="2" w:space="0"/>
              <w:right w:val="single" w:color="auto" w:sz="2" w:space="0"/>
            </w:tcBorders>
            <w:vAlign w:val="center"/>
          </w:tcPr>
          <w:p w14:paraId="6487E4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2,489,343.85</w:t>
            </w:r>
          </w:p>
        </w:tc>
        <w:tc>
          <w:tcPr>
            <w:tcW w:w="1606" w:type="dxa"/>
            <w:tcBorders>
              <w:top w:val="single" w:color="auto" w:sz="2" w:space="0"/>
              <w:left w:val="single" w:color="auto" w:sz="2" w:space="0"/>
              <w:bottom w:val="single" w:color="auto" w:sz="2" w:space="0"/>
              <w:right w:val="single" w:color="auto" w:sz="2" w:space="0"/>
            </w:tcBorders>
            <w:vAlign w:val="center"/>
          </w:tcPr>
          <w:p w14:paraId="4373A9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52,419,457.94</w:t>
            </w:r>
          </w:p>
        </w:tc>
        <w:tc>
          <w:tcPr>
            <w:tcW w:w="1606" w:type="dxa"/>
            <w:tcBorders>
              <w:top w:val="single" w:color="auto" w:sz="2" w:space="0"/>
              <w:left w:val="single" w:color="auto" w:sz="2" w:space="0"/>
              <w:bottom w:val="single" w:color="auto" w:sz="2" w:space="0"/>
              <w:right w:val="single" w:color="auto" w:sz="2" w:space="0"/>
            </w:tcBorders>
            <w:vAlign w:val="center"/>
          </w:tcPr>
          <w:p w14:paraId="40287A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14.37%</w:t>
            </w:r>
          </w:p>
        </w:tc>
        <w:tc>
          <w:tcPr>
            <w:tcW w:w="1606" w:type="dxa"/>
            <w:tcBorders>
              <w:top w:val="single" w:color="auto" w:sz="2" w:space="0"/>
              <w:left w:val="single" w:color="auto" w:sz="2" w:space="0"/>
              <w:bottom w:val="single" w:color="auto" w:sz="2" w:space="0"/>
              <w:right w:val="single" w:color="auto" w:sz="2" w:space="0"/>
            </w:tcBorders>
            <w:vAlign w:val="center"/>
          </w:tcPr>
          <w:p w14:paraId="22377E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13,060,872.13</w:t>
            </w:r>
          </w:p>
        </w:tc>
      </w:tr>
      <w:tr w14:paraId="238525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F0676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客户B</w:t>
            </w:r>
          </w:p>
        </w:tc>
        <w:tc>
          <w:tcPr>
            <w:tcW w:w="1606" w:type="dxa"/>
            <w:tcBorders>
              <w:top w:val="single" w:color="auto" w:sz="2" w:space="0"/>
              <w:left w:val="single" w:color="auto" w:sz="2" w:space="0"/>
              <w:bottom w:val="single" w:color="auto" w:sz="2" w:space="0"/>
              <w:right w:val="single" w:color="auto" w:sz="2" w:space="0"/>
            </w:tcBorders>
            <w:vAlign w:val="center"/>
          </w:tcPr>
          <w:p w14:paraId="1EE39C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42,729,844.13</w:t>
            </w:r>
          </w:p>
        </w:tc>
        <w:tc>
          <w:tcPr>
            <w:tcW w:w="1606" w:type="dxa"/>
            <w:tcBorders>
              <w:top w:val="single" w:color="auto" w:sz="2" w:space="0"/>
              <w:left w:val="single" w:color="auto" w:sz="2" w:space="0"/>
              <w:bottom w:val="single" w:color="auto" w:sz="2" w:space="0"/>
              <w:right w:val="single" w:color="auto" w:sz="2" w:space="0"/>
            </w:tcBorders>
            <w:vAlign w:val="center"/>
          </w:tcPr>
          <w:p w14:paraId="78079185">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4D677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42,729,844.13</w:t>
            </w:r>
          </w:p>
        </w:tc>
        <w:tc>
          <w:tcPr>
            <w:tcW w:w="1606" w:type="dxa"/>
            <w:tcBorders>
              <w:top w:val="single" w:color="auto" w:sz="2" w:space="0"/>
              <w:left w:val="single" w:color="auto" w:sz="2" w:space="0"/>
              <w:bottom w:val="single" w:color="auto" w:sz="2" w:space="0"/>
              <w:right w:val="single" w:color="auto" w:sz="2" w:space="0"/>
            </w:tcBorders>
            <w:vAlign w:val="center"/>
          </w:tcPr>
          <w:p w14:paraId="2B83DB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w:t>
            </w:r>
          </w:p>
        </w:tc>
        <w:tc>
          <w:tcPr>
            <w:tcW w:w="1606" w:type="dxa"/>
            <w:tcBorders>
              <w:top w:val="single" w:color="auto" w:sz="2" w:space="0"/>
              <w:left w:val="single" w:color="auto" w:sz="2" w:space="0"/>
              <w:bottom w:val="single" w:color="auto" w:sz="2" w:space="0"/>
              <w:right w:val="single" w:color="auto" w:sz="2" w:space="0"/>
            </w:tcBorders>
            <w:vAlign w:val="center"/>
          </w:tcPr>
          <w:p w14:paraId="5CFC33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16,267,684.57</w:t>
            </w:r>
          </w:p>
        </w:tc>
      </w:tr>
      <w:tr w14:paraId="118BA2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68744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客户C</w:t>
            </w:r>
          </w:p>
        </w:tc>
        <w:tc>
          <w:tcPr>
            <w:tcW w:w="1606" w:type="dxa"/>
            <w:tcBorders>
              <w:top w:val="single" w:color="auto" w:sz="2" w:space="0"/>
              <w:left w:val="single" w:color="auto" w:sz="2" w:space="0"/>
              <w:bottom w:val="single" w:color="auto" w:sz="2" w:space="0"/>
              <w:right w:val="single" w:color="auto" w:sz="2" w:space="0"/>
            </w:tcBorders>
            <w:vAlign w:val="center"/>
          </w:tcPr>
          <w:p w14:paraId="2509C0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21,371,385.72</w:t>
            </w:r>
          </w:p>
        </w:tc>
        <w:tc>
          <w:tcPr>
            <w:tcW w:w="1606" w:type="dxa"/>
            <w:tcBorders>
              <w:top w:val="single" w:color="auto" w:sz="2" w:space="0"/>
              <w:left w:val="single" w:color="auto" w:sz="2" w:space="0"/>
              <w:bottom w:val="single" w:color="auto" w:sz="2" w:space="0"/>
              <w:right w:val="single" w:color="auto" w:sz="2" w:space="0"/>
            </w:tcBorders>
            <w:vAlign w:val="center"/>
          </w:tcPr>
          <w:p w14:paraId="5DDED007">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5F761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21,371,385.72</w:t>
            </w:r>
          </w:p>
        </w:tc>
        <w:tc>
          <w:tcPr>
            <w:tcW w:w="1606" w:type="dxa"/>
            <w:tcBorders>
              <w:top w:val="single" w:color="auto" w:sz="2" w:space="0"/>
              <w:left w:val="single" w:color="auto" w:sz="2" w:space="0"/>
              <w:bottom w:val="single" w:color="auto" w:sz="2" w:space="0"/>
              <w:right w:val="single" w:color="auto" w:sz="2" w:space="0"/>
            </w:tcBorders>
            <w:vAlign w:val="center"/>
          </w:tcPr>
          <w:p w14:paraId="60758B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5.86%</w:t>
            </w:r>
          </w:p>
        </w:tc>
        <w:tc>
          <w:tcPr>
            <w:tcW w:w="1606" w:type="dxa"/>
            <w:tcBorders>
              <w:top w:val="single" w:color="auto" w:sz="2" w:space="0"/>
              <w:left w:val="single" w:color="auto" w:sz="2" w:space="0"/>
              <w:bottom w:val="single" w:color="auto" w:sz="2" w:space="0"/>
              <w:right w:val="single" w:color="auto" w:sz="2" w:space="0"/>
            </w:tcBorders>
            <w:vAlign w:val="center"/>
          </w:tcPr>
          <w:p w14:paraId="1A9D88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1,489,778.13</w:t>
            </w:r>
          </w:p>
        </w:tc>
      </w:tr>
      <w:tr w14:paraId="33A88B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8DDC0A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客户D</w:t>
            </w:r>
          </w:p>
        </w:tc>
        <w:tc>
          <w:tcPr>
            <w:tcW w:w="1606" w:type="dxa"/>
            <w:tcBorders>
              <w:top w:val="single" w:color="auto" w:sz="2" w:space="0"/>
              <w:left w:val="single" w:color="auto" w:sz="2" w:space="0"/>
              <w:bottom w:val="single" w:color="auto" w:sz="2" w:space="0"/>
              <w:right w:val="single" w:color="auto" w:sz="2" w:space="0"/>
            </w:tcBorders>
            <w:vAlign w:val="center"/>
          </w:tcPr>
          <w:p w14:paraId="04022F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20,800,854.72</w:t>
            </w:r>
          </w:p>
        </w:tc>
        <w:tc>
          <w:tcPr>
            <w:tcW w:w="1606" w:type="dxa"/>
            <w:tcBorders>
              <w:top w:val="single" w:color="auto" w:sz="2" w:space="0"/>
              <w:left w:val="single" w:color="auto" w:sz="2" w:space="0"/>
              <w:bottom w:val="single" w:color="auto" w:sz="2" w:space="0"/>
              <w:right w:val="single" w:color="auto" w:sz="2" w:space="0"/>
            </w:tcBorders>
            <w:vAlign w:val="center"/>
          </w:tcPr>
          <w:p w14:paraId="430F188F">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4FBAE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20,800,854.72</w:t>
            </w:r>
          </w:p>
        </w:tc>
        <w:tc>
          <w:tcPr>
            <w:tcW w:w="1606" w:type="dxa"/>
            <w:tcBorders>
              <w:top w:val="single" w:color="auto" w:sz="2" w:space="0"/>
              <w:left w:val="single" w:color="auto" w:sz="2" w:space="0"/>
              <w:bottom w:val="single" w:color="auto" w:sz="2" w:space="0"/>
              <w:right w:val="single" w:color="auto" w:sz="2" w:space="0"/>
            </w:tcBorders>
            <w:vAlign w:val="center"/>
          </w:tcPr>
          <w:p w14:paraId="14CB28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5.70%</w:t>
            </w:r>
          </w:p>
        </w:tc>
        <w:tc>
          <w:tcPr>
            <w:tcW w:w="1606" w:type="dxa"/>
            <w:tcBorders>
              <w:top w:val="single" w:color="auto" w:sz="2" w:space="0"/>
              <w:left w:val="single" w:color="auto" w:sz="2" w:space="0"/>
              <w:bottom w:val="single" w:color="auto" w:sz="2" w:space="0"/>
              <w:right w:val="single" w:color="auto" w:sz="2" w:space="0"/>
            </w:tcBorders>
            <w:vAlign w:val="center"/>
          </w:tcPr>
          <w:p w14:paraId="133EEC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w:t>
            </w:r>
          </w:p>
        </w:tc>
      </w:tr>
      <w:tr w14:paraId="53E10F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418A3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客户E</w:t>
            </w:r>
          </w:p>
        </w:tc>
        <w:tc>
          <w:tcPr>
            <w:tcW w:w="1606" w:type="dxa"/>
            <w:tcBorders>
              <w:top w:val="single" w:color="auto" w:sz="2" w:space="0"/>
              <w:left w:val="single" w:color="auto" w:sz="2" w:space="0"/>
              <w:bottom w:val="single" w:color="auto" w:sz="2" w:space="0"/>
              <w:right w:val="single" w:color="auto" w:sz="2" w:space="0"/>
            </w:tcBorders>
            <w:vAlign w:val="center"/>
          </w:tcPr>
          <w:p w14:paraId="374634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14,286,708.41</w:t>
            </w:r>
          </w:p>
        </w:tc>
        <w:tc>
          <w:tcPr>
            <w:tcW w:w="1606" w:type="dxa"/>
            <w:tcBorders>
              <w:top w:val="single" w:color="auto" w:sz="2" w:space="0"/>
              <w:left w:val="single" w:color="auto" w:sz="2" w:space="0"/>
              <w:bottom w:val="single" w:color="auto" w:sz="2" w:space="0"/>
              <w:right w:val="single" w:color="auto" w:sz="2" w:space="0"/>
            </w:tcBorders>
            <w:vAlign w:val="center"/>
          </w:tcPr>
          <w:p w14:paraId="1CB39815">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5B512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14,286,708.41</w:t>
            </w:r>
          </w:p>
        </w:tc>
        <w:tc>
          <w:tcPr>
            <w:tcW w:w="1606" w:type="dxa"/>
            <w:tcBorders>
              <w:top w:val="single" w:color="auto" w:sz="2" w:space="0"/>
              <w:left w:val="single" w:color="auto" w:sz="2" w:space="0"/>
              <w:bottom w:val="single" w:color="auto" w:sz="2" w:space="0"/>
              <w:right w:val="single" w:color="auto" w:sz="2" w:space="0"/>
            </w:tcBorders>
            <w:vAlign w:val="center"/>
          </w:tcPr>
          <w:p w14:paraId="2BBE84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3.92%</w:t>
            </w:r>
          </w:p>
        </w:tc>
        <w:tc>
          <w:tcPr>
            <w:tcW w:w="1606" w:type="dxa"/>
            <w:tcBorders>
              <w:top w:val="single" w:color="auto" w:sz="2" w:space="0"/>
              <w:left w:val="single" w:color="auto" w:sz="2" w:space="0"/>
              <w:bottom w:val="single" w:color="auto" w:sz="2" w:space="0"/>
              <w:right w:val="single" w:color="auto" w:sz="2" w:space="0"/>
            </w:tcBorders>
            <w:vAlign w:val="center"/>
          </w:tcPr>
          <w:p w14:paraId="0180AF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1,428,670.84</w:t>
            </w:r>
          </w:p>
        </w:tc>
      </w:tr>
      <w:tr w14:paraId="75BB01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D2803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0CFE61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149,118,907.07</w:t>
            </w:r>
          </w:p>
        </w:tc>
        <w:tc>
          <w:tcPr>
            <w:tcW w:w="1606" w:type="dxa"/>
            <w:tcBorders>
              <w:top w:val="single" w:color="auto" w:sz="2" w:space="0"/>
              <w:left w:val="single" w:color="auto" w:sz="2" w:space="0"/>
              <w:bottom w:val="single" w:color="auto" w:sz="2" w:space="0"/>
              <w:right w:val="single" w:color="auto" w:sz="2" w:space="0"/>
            </w:tcBorders>
            <w:vAlign w:val="center"/>
          </w:tcPr>
          <w:p w14:paraId="106C44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2,489,343.85</w:t>
            </w:r>
          </w:p>
        </w:tc>
        <w:tc>
          <w:tcPr>
            <w:tcW w:w="1606" w:type="dxa"/>
            <w:tcBorders>
              <w:top w:val="single" w:color="auto" w:sz="2" w:space="0"/>
              <w:left w:val="single" w:color="auto" w:sz="2" w:space="0"/>
              <w:bottom w:val="single" w:color="auto" w:sz="2" w:space="0"/>
              <w:right w:val="single" w:color="auto" w:sz="2" w:space="0"/>
            </w:tcBorders>
            <w:vAlign w:val="center"/>
          </w:tcPr>
          <w:p w14:paraId="1DED77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151,608,250.92</w:t>
            </w:r>
          </w:p>
        </w:tc>
        <w:tc>
          <w:tcPr>
            <w:tcW w:w="1606" w:type="dxa"/>
            <w:tcBorders>
              <w:top w:val="single" w:color="auto" w:sz="2" w:space="0"/>
              <w:left w:val="single" w:color="auto" w:sz="2" w:space="0"/>
              <w:bottom w:val="single" w:color="auto" w:sz="2" w:space="0"/>
              <w:right w:val="single" w:color="auto" w:sz="2" w:space="0"/>
            </w:tcBorders>
            <w:vAlign w:val="center"/>
          </w:tcPr>
          <w:p w14:paraId="3E62F2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41.56%</w:t>
            </w:r>
          </w:p>
        </w:tc>
        <w:tc>
          <w:tcPr>
            <w:tcW w:w="1606" w:type="dxa"/>
            <w:tcBorders>
              <w:top w:val="single" w:color="auto" w:sz="2" w:space="0"/>
              <w:left w:val="single" w:color="auto" w:sz="2" w:space="0"/>
              <w:bottom w:val="single" w:color="auto" w:sz="2" w:space="0"/>
              <w:right w:val="single" w:color="auto" w:sz="2" w:space="0"/>
            </w:tcBorders>
            <w:vAlign w:val="center"/>
          </w:tcPr>
          <w:p w14:paraId="25E777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34,327,091.14</w:t>
            </w:r>
          </w:p>
        </w:tc>
      </w:tr>
    </w:tbl>
    <w:p w14:paraId="5D7434D2">
      <w:pPr>
        <w:pStyle w:val="3"/>
        <w:spacing w:line="280" w:lineRule="exact"/>
        <w:jc w:val="left"/>
        <w:rPr>
          <w:rFonts w:ascii="Times New Roman" w:hAnsi="Times New Roman" w:cs="Times New Roman" w:eastAsiaTheme="majorEastAsia"/>
          <w:b/>
          <w:bCs/>
        </w:rPr>
      </w:pPr>
      <w:bookmarkStart w:id="238" w:name="_Toc989127"/>
      <w:r>
        <w:rPr>
          <w:rFonts w:ascii="Times New Roman" w:hAnsi="Times New Roman" w:cs="Times New Roman" w:eastAsiaTheme="majorEastAsia"/>
          <w:b/>
          <w:bCs/>
        </w:rPr>
        <w:t>5、合同资产</w:t>
      </w:r>
      <w:bookmarkEnd w:id="238"/>
    </w:p>
    <w:p w14:paraId="321A6A12">
      <w:pPr>
        <w:keepNext/>
        <w:keepLines/>
        <w:spacing w:before="300" w:after="300" w:line="280" w:lineRule="exact"/>
        <w:outlineLvl w:val="3"/>
        <w:rPr>
          <w:rFonts w:ascii="Times New Roman" w:hAnsi="Times New Roman" w:cs="Times New Roman" w:eastAsiaTheme="majorEastAsia"/>
          <w:b/>
          <w:bCs/>
          <w:szCs w:val="21"/>
        </w:rPr>
      </w:pPr>
      <w:bookmarkStart w:id="239" w:name="_Toc989128"/>
      <w:r>
        <w:rPr>
          <w:rFonts w:ascii="Times New Roman" w:hAnsi="Times New Roman" w:cs="Times New Roman" w:eastAsiaTheme="majorEastAsia"/>
          <w:b/>
          <w:bCs/>
          <w:szCs w:val="21"/>
        </w:rPr>
        <w:t>（1） 合同资产情况</w:t>
      </w:r>
      <w:bookmarkEnd w:id="239"/>
    </w:p>
    <w:p w14:paraId="2182C58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5EA5B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233D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1B0290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308B18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69BB2E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019A310">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6AC21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82C8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BF1E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2DBD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3A957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29C5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10AB13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E41F1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质保金</w:t>
            </w:r>
          </w:p>
        </w:tc>
        <w:tc>
          <w:tcPr>
            <w:tcW w:w="1377" w:type="dxa"/>
            <w:tcBorders>
              <w:top w:val="single" w:color="auto" w:sz="2" w:space="0"/>
              <w:left w:val="single" w:color="auto" w:sz="2" w:space="0"/>
              <w:bottom w:val="single" w:color="auto" w:sz="2" w:space="0"/>
              <w:right w:val="single" w:color="auto" w:sz="2" w:space="0"/>
            </w:tcBorders>
            <w:vAlign w:val="center"/>
          </w:tcPr>
          <w:p w14:paraId="69CAA5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6,552,936.89</w:t>
            </w:r>
          </w:p>
        </w:tc>
        <w:tc>
          <w:tcPr>
            <w:tcW w:w="1377" w:type="dxa"/>
            <w:tcBorders>
              <w:top w:val="single" w:color="auto" w:sz="2" w:space="0"/>
              <w:left w:val="single" w:color="auto" w:sz="2" w:space="0"/>
              <w:bottom w:val="single" w:color="auto" w:sz="2" w:space="0"/>
              <w:right w:val="single" w:color="auto" w:sz="2" w:space="0"/>
            </w:tcBorders>
            <w:vAlign w:val="center"/>
          </w:tcPr>
          <w:p w14:paraId="30C642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1,141,237.06</w:t>
            </w:r>
          </w:p>
        </w:tc>
        <w:tc>
          <w:tcPr>
            <w:tcW w:w="1377" w:type="dxa"/>
            <w:tcBorders>
              <w:top w:val="single" w:color="auto" w:sz="2" w:space="0"/>
              <w:left w:val="single" w:color="auto" w:sz="2" w:space="0"/>
              <w:bottom w:val="single" w:color="auto" w:sz="2" w:space="0"/>
              <w:right w:val="single" w:color="auto" w:sz="2" w:space="0"/>
            </w:tcBorders>
            <w:vAlign w:val="center"/>
          </w:tcPr>
          <w:p w14:paraId="3D3938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5,411,699.83</w:t>
            </w:r>
          </w:p>
        </w:tc>
        <w:tc>
          <w:tcPr>
            <w:tcW w:w="1377" w:type="dxa"/>
            <w:tcBorders>
              <w:top w:val="single" w:color="auto" w:sz="2" w:space="0"/>
              <w:left w:val="single" w:color="auto" w:sz="2" w:space="0"/>
              <w:bottom w:val="single" w:color="auto" w:sz="2" w:space="0"/>
              <w:right w:val="single" w:color="auto" w:sz="2" w:space="0"/>
            </w:tcBorders>
            <w:vAlign w:val="center"/>
          </w:tcPr>
          <w:p w14:paraId="295DA6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8,024,901.58</w:t>
            </w:r>
          </w:p>
        </w:tc>
        <w:tc>
          <w:tcPr>
            <w:tcW w:w="1377" w:type="dxa"/>
            <w:tcBorders>
              <w:top w:val="single" w:color="auto" w:sz="2" w:space="0"/>
              <w:left w:val="single" w:color="auto" w:sz="2" w:space="0"/>
              <w:bottom w:val="single" w:color="auto" w:sz="2" w:space="0"/>
              <w:right w:val="single" w:color="auto" w:sz="2" w:space="0"/>
            </w:tcBorders>
            <w:vAlign w:val="center"/>
          </w:tcPr>
          <w:p w14:paraId="69D2D2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731,439.29</w:t>
            </w:r>
          </w:p>
        </w:tc>
        <w:tc>
          <w:tcPr>
            <w:tcW w:w="1377" w:type="dxa"/>
            <w:tcBorders>
              <w:top w:val="single" w:color="auto" w:sz="2" w:space="0"/>
              <w:left w:val="single" w:color="auto" w:sz="2" w:space="0"/>
              <w:bottom w:val="single" w:color="auto" w:sz="2" w:space="0"/>
              <w:right w:val="single" w:color="auto" w:sz="2" w:space="0"/>
            </w:tcBorders>
            <w:vAlign w:val="center"/>
          </w:tcPr>
          <w:p w14:paraId="331E7C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7,293,462.29</w:t>
            </w:r>
          </w:p>
        </w:tc>
      </w:tr>
      <w:tr w14:paraId="497338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E2E091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减：计入其他非流动资产</w:t>
            </w:r>
          </w:p>
        </w:tc>
        <w:tc>
          <w:tcPr>
            <w:tcW w:w="1377" w:type="dxa"/>
            <w:tcBorders>
              <w:top w:val="single" w:color="auto" w:sz="2" w:space="0"/>
              <w:left w:val="single" w:color="auto" w:sz="2" w:space="0"/>
              <w:bottom w:val="single" w:color="auto" w:sz="2" w:space="0"/>
              <w:right w:val="single" w:color="auto" w:sz="2" w:space="0"/>
            </w:tcBorders>
            <w:vAlign w:val="center"/>
          </w:tcPr>
          <w:p w14:paraId="57454F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-821,399.89</w:t>
            </w:r>
          </w:p>
        </w:tc>
        <w:tc>
          <w:tcPr>
            <w:tcW w:w="1377" w:type="dxa"/>
            <w:tcBorders>
              <w:top w:val="single" w:color="auto" w:sz="2" w:space="0"/>
              <w:left w:val="single" w:color="auto" w:sz="2" w:space="0"/>
              <w:bottom w:val="single" w:color="auto" w:sz="2" w:space="0"/>
              <w:right w:val="single" w:color="auto" w:sz="2" w:space="0"/>
            </w:tcBorders>
            <w:vAlign w:val="center"/>
          </w:tcPr>
          <w:p w14:paraId="34DB79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-41,069.99</w:t>
            </w:r>
          </w:p>
        </w:tc>
        <w:tc>
          <w:tcPr>
            <w:tcW w:w="1377" w:type="dxa"/>
            <w:tcBorders>
              <w:top w:val="single" w:color="auto" w:sz="2" w:space="0"/>
              <w:left w:val="single" w:color="auto" w:sz="2" w:space="0"/>
              <w:bottom w:val="single" w:color="auto" w:sz="2" w:space="0"/>
              <w:right w:val="single" w:color="auto" w:sz="2" w:space="0"/>
            </w:tcBorders>
            <w:vAlign w:val="center"/>
          </w:tcPr>
          <w:p w14:paraId="3C9262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-780,329.90</w:t>
            </w:r>
          </w:p>
        </w:tc>
        <w:tc>
          <w:tcPr>
            <w:tcW w:w="1377" w:type="dxa"/>
            <w:tcBorders>
              <w:top w:val="single" w:color="auto" w:sz="2" w:space="0"/>
              <w:left w:val="single" w:color="auto" w:sz="2" w:space="0"/>
              <w:bottom w:val="single" w:color="auto" w:sz="2" w:space="0"/>
              <w:right w:val="single" w:color="auto" w:sz="2" w:space="0"/>
            </w:tcBorders>
            <w:vAlign w:val="center"/>
          </w:tcPr>
          <w:p w14:paraId="01435E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-3,154,428.85</w:t>
            </w:r>
          </w:p>
        </w:tc>
        <w:tc>
          <w:tcPr>
            <w:tcW w:w="1377" w:type="dxa"/>
            <w:tcBorders>
              <w:top w:val="single" w:color="auto" w:sz="2" w:space="0"/>
              <w:left w:val="single" w:color="auto" w:sz="2" w:space="0"/>
              <w:bottom w:val="single" w:color="auto" w:sz="2" w:space="0"/>
              <w:right w:val="single" w:color="auto" w:sz="2" w:space="0"/>
            </w:tcBorders>
            <w:vAlign w:val="center"/>
          </w:tcPr>
          <w:p w14:paraId="7C1087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-357,688.64</w:t>
            </w:r>
          </w:p>
        </w:tc>
        <w:tc>
          <w:tcPr>
            <w:tcW w:w="1377" w:type="dxa"/>
            <w:tcBorders>
              <w:top w:val="single" w:color="auto" w:sz="2" w:space="0"/>
              <w:left w:val="single" w:color="auto" w:sz="2" w:space="0"/>
              <w:bottom w:val="single" w:color="auto" w:sz="2" w:space="0"/>
              <w:right w:val="single" w:color="auto" w:sz="2" w:space="0"/>
            </w:tcBorders>
            <w:vAlign w:val="center"/>
          </w:tcPr>
          <w:p w14:paraId="676470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-2,796,740.21</w:t>
            </w:r>
          </w:p>
        </w:tc>
      </w:tr>
      <w:tr w14:paraId="0A812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1EABD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5924F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5,731,537.00</w:t>
            </w:r>
          </w:p>
        </w:tc>
        <w:tc>
          <w:tcPr>
            <w:tcW w:w="1377" w:type="dxa"/>
            <w:tcBorders>
              <w:top w:val="single" w:color="auto" w:sz="2" w:space="0"/>
              <w:left w:val="single" w:color="auto" w:sz="2" w:space="0"/>
              <w:bottom w:val="single" w:color="auto" w:sz="2" w:space="0"/>
              <w:right w:val="single" w:color="auto" w:sz="2" w:space="0"/>
            </w:tcBorders>
            <w:vAlign w:val="center"/>
          </w:tcPr>
          <w:p w14:paraId="6ED37D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1,100,167.07</w:t>
            </w:r>
          </w:p>
        </w:tc>
        <w:tc>
          <w:tcPr>
            <w:tcW w:w="1377" w:type="dxa"/>
            <w:tcBorders>
              <w:top w:val="single" w:color="auto" w:sz="2" w:space="0"/>
              <w:left w:val="single" w:color="auto" w:sz="2" w:space="0"/>
              <w:bottom w:val="single" w:color="auto" w:sz="2" w:space="0"/>
              <w:right w:val="single" w:color="auto" w:sz="2" w:space="0"/>
            </w:tcBorders>
            <w:vAlign w:val="center"/>
          </w:tcPr>
          <w:p w14:paraId="32487A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4,631,369.93</w:t>
            </w:r>
          </w:p>
        </w:tc>
        <w:tc>
          <w:tcPr>
            <w:tcW w:w="1377" w:type="dxa"/>
            <w:tcBorders>
              <w:top w:val="single" w:color="auto" w:sz="2" w:space="0"/>
              <w:left w:val="single" w:color="auto" w:sz="2" w:space="0"/>
              <w:bottom w:val="single" w:color="auto" w:sz="2" w:space="0"/>
              <w:right w:val="single" w:color="auto" w:sz="2" w:space="0"/>
            </w:tcBorders>
            <w:vAlign w:val="center"/>
          </w:tcPr>
          <w:p w14:paraId="17B8E6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4,870,472.73</w:t>
            </w:r>
          </w:p>
        </w:tc>
        <w:tc>
          <w:tcPr>
            <w:tcW w:w="1377" w:type="dxa"/>
            <w:tcBorders>
              <w:top w:val="single" w:color="auto" w:sz="2" w:space="0"/>
              <w:left w:val="single" w:color="auto" w:sz="2" w:space="0"/>
              <w:bottom w:val="single" w:color="auto" w:sz="2" w:space="0"/>
              <w:right w:val="single" w:color="auto" w:sz="2" w:space="0"/>
            </w:tcBorders>
            <w:vAlign w:val="center"/>
          </w:tcPr>
          <w:p w14:paraId="7173AC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373,750.65</w:t>
            </w:r>
          </w:p>
        </w:tc>
        <w:tc>
          <w:tcPr>
            <w:tcW w:w="1377" w:type="dxa"/>
            <w:tcBorders>
              <w:top w:val="single" w:color="auto" w:sz="2" w:space="0"/>
              <w:left w:val="single" w:color="auto" w:sz="2" w:space="0"/>
              <w:bottom w:val="single" w:color="auto" w:sz="2" w:space="0"/>
              <w:right w:val="single" w:color="auto" w:sz="2" w:space="0"/>
            </w:tcBorders>
            <w:vAlign w:val="center"/>
          </w:tcPr>
          <w:p w14:paraId="65E156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r>
    </w:tbl>
    <w:p w14:paraId="7F9756EB">
      <w:pPr>
        <w:keepNext/>
        <w:keepLines/>
        <w:spacing w:before="300" w:after="300" w:line="280" w:lineRule="exact"/>
        <w:outlineLvl w:val="3"/>
        <w:rPr>
          <w:rFonts w:ascii="Times New Roman" w:hAnsi="Times New Roman" w:cs="Times New Roman" w:eastAsiaTheme="majorEastAsia"/>
          <w:b/>
          <w:bCs/>
          <w:szCs w:val="21"/>
        </w:rPr>
      </w:pPr>
      <w:bookmarkStart w:id="240" w:name="_Toc989129"/>
      <w:r>
        <w:rPr>
          <w:rFonts w:ascii="Times New Roman" w:hAnsi="Times New Roman" w:cs="Times New Roman" w:eastAsiaTheme="majorEastAsia"/>
          <w:b/>
          <w:bCs/>
          <w:szCs w:val="21"/>
        </w:rPr>
        <w:t>（2） 报告期内账面价值发生的重大变动金额和原因</w:t>
      </w:r>
      <w:bookmarkEnd w:id="240"/>
    </w:p>
    <w:p w14:paraId="6B78A37A">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9B794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7E44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3FA4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FB70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变动原因</w:t>
            </w:r>
          </w:p>
        </w:tc>
      </w:tr>
      <w:tr w14:paraId="2065E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69F28112">
            <w:pPr>
              <w:spacing w:before="40" w:after="40"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c>
          <w:tcPr>
            <w:tcW w:w="3213"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FC5F896">
            <w:pPr>
              <w:spacing w:before="40" w:after="40" w:line="240" w:lineRule="exact"/>
              <w:jc w:val="center"/>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30ED64BF">
            <w:pPr>
              <w:spacing w:before="40" w:after="40" w:line="240" w:lineRule="exact"/>
              <w:jc w:val="center"/>
              <w:rPr>
                <w:rFonts w:ascii="Times New Roman" w:hAnsi="Times New Roman" w:cs="Times New Roman" w:eastAsiaTheme="majorEastAsia"/>
                <w:sz w:val="18"/>
                <w:szCs w:val="18"/>
              </w:rPr>
            </w:pPr>
          </w:p>
        </w:tc>
      </w:tr>
    </w:tbl>
    <w:p w14:paraId="24E1F2DD">
      <w:pPr>
        <w:keepNext/>
        <w:keepLines/>
        <w:spacing w:before="300" w:after="300" w:line="280" w:lineRule="exact"/>
        <w:outlineLvl w:val="3"/>
        <w:rPr>
          <w:rFonts w:ascii="Times New Roman" w:hAnsi="Times New Roman" w:cs="Times New Roman" w:eastAsiaTheme="majorEastAsia"/>
          <w:b/>
          <w:bCs/>
          <w:szCs w:val="21"/>
        </w:rPr>
      </w:pPr>
      <w:bookmarkStart w:id="241" w:name="_Toc989130"/>
      <w:r>
        <w:rPr>
          <w:rFonts w:ascii="Times New Roman" w:hAnsi="Times New Roman" w:cs="Times New Roman" w:eastAsiaTheme="majorEastAsia"/>
          <w:b/>
          <w:bCs/>
          <w:szCs w:val="21"/>
        </w:rPr>
        <w:t>（3） 按坏账计提方法分类披露</w:t>
      </w:r>
      <w:bookmarkEnd w:id="241"/>
    </w:p>
    <w:p w14:paraId="3C8DB64A">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1B452D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105F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53489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E4963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CCD2A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E816A3E">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4BC07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58DB4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8CF2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9FF17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5F700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10174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417810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CCCC647">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FAB25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F82EC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B2CA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7F0E7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42F4AA">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AE77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45C0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AFB5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43894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088796F">
            <w:pPr>
              <w:rPr>
                <w:rFonts w:ascii="Times New Roman" w:hAnsi="Times New Roman" w:cs="Times New Roman" w:eastAsiaTheme="majorEastAsia"/>
              </w:rPr>
            </w:pPr>
          </w:p>
        </w:tc>
      </w:tr>
      <w:tr w14:paraId="09D4D0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6E5C7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D9D508C">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506D43D">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09DA77">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AD0443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47975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BF22077">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A0EFD5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E31502">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E50EF2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A31DE73">
            <w:pPr>
              <w:rPr>
                <w:rFonts w:ascii="Times New Roman" w:hAnsi="Times New Roman" w:cs="Times New Roman" w:eastAsiaTheme="majorEastAsia"/>
              </w:rPr>
            </w:pPr>
          </w:p>
        </w:tc>
      </w:tr>
      <w:tr w14:paraId="3B9D77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17C2A9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24A871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5,731,537.00</w:t>
            </w:r>
          </w:p>
        </w:tc>
        <w:tc>
          <w:tcPr>
            <w:tcW w:w="876" w:type="dxa"/>
            <w:tcBorders>
              <w:top w:val="single" w:color="auto" w:sz="2" w:space="0"/>
              <w:left w:val="single" w:color="auto" w:sz="2" w:space="0"/>
              <w:bottom w:val="single" w:color="auto" w:sz="2" w:space="0"/>
              <w:right w:val="single" w:color="auto" w:sz="2" w:space="0"/>
            </w:tcBorders>
            <w:vAlign w:val="center"/>
          </w:tcPr>
          <w:p w14:paraId="48CAB4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7EAE35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1,100,167.07</w:t>
            </w:r>
          </w:p>
        </w:tc>
        <w:tc>
          <w:tcPr>
            <w:tcW w:w="876" w:type="dxa"/>
            <w:tcBorders>
              <w:top w:val="single" w:color="auto" w:sz="2" w:space="0"/>
              <w:left w:val="single" w:color="auto" w:sz="2" w:space="0"/>
              <w:bottom w:val="single" w:color="auto" w:sz="2" w:space="0"/>
              <w:right w:val="single" w:color="auto" w:sz="2" w:space="0"/>
            </w:tcBorders>
            <w:vAlign w:val="center"/>
          </w:tcPr>
          <w:p w14:paraId="2D8224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19.19%</w:t>
            </w:r>
          </w:p>
        </w:tc>
        <w:tc>
          <w:tcPr>
            <w:tcW w:w="876" w:type="dxa"/>
            <w:tcBorders>
              <w:top w:val="single" w:color="auto" w:sz="2" w:space="0"/>
              <w:left w:val="single" w:color="auto" w:sz="2" w:space="0"/>
              <w:bottom w:val="single" w:color="auto" w:sz="2" w:space="0"/>
              <w:right w:val="single" w:color="auto" w:sz="2" w:space="0"/>
            </w:tcBorders>
            <w:vAlign w:val="center"/>
          </w:tcPr>
          <w:p w14:paraId="571F24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4,631,369.93</w:t>
            </w:r>
          </w:p>
        </w:tc>
        <w:tc>
          <w:tcPr>
            <w:tcW w:w="876" w:type="dxa"/>
            <w:tcBorders>
              <w:top w:val="single" w:color="auto" w:sz="2" w:space="0"/>
              <w:left w:val="single" w:color="auto" w:sz="2" w:space="0"/>
              <w:bottom w:val="single" w:color="auto" w:sz="2" w:space="0"/>
              <w:right w:val="single" w:color="auto" w:sz="2" w:space="0"/>
            </w:tcBorders>
            <w:vAlign w:val="center"/>
          </w:tcPr>
          <w:p w14:paraId="0FE7CC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4,870,472.73</w:t>
            </w:r>
          </w:p>
        </w:tc>
        <w:tc>
          <w:tcPr>
            <w:tcW w:w="876" w:type="dxa"/>
            <w:tcBorders>
              <w:top w:val="single" w:color="auto" w:sz="2" w:space="0"/>
              <w:left w:val="single" w:color="auto" w:sz="2" w:space="0"/>
              <w:bottom w:val="single" w:color="auto" w:sz="2" w:space="0"/>
              <w:right w:val="single" w:color="auto" w:sz="2" w:space="0"/>
            </w:tcBorders>
            <w:vAlign w:val="center"/>
          </w:tcPr>
          <w:p w14:paraId="7B79CF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2486F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373,750.65</w:t>
            </w:r>
          </w:p>
        </w:tc>
        <w:tc>
          <w:tcPr>
            <w:tcW w:w="876" w:type="dxa"/>
            <w:tcBorders>
              <w:top w:val="single" w:color="auto" w:sz="2" w:space="0"/>
              <w:left w:val="single" w:color="auto" w:sz="2" w:space="0"/>
              <w:bottom w:val="single" w:color="auto" w:sz="2" w:space="0"/>
              <w:right w:val="single" w:color="auto" w:sz="2" w:space="0"/>
            </w:tcBorders>
            <w:vAlign w:val="center"/>
          </w:tcPr>
          <w:p w14:paraId="4FF657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7.67%</w:t>
            </w:r>
          </w:p>
        </w:tc>
        <w:tc>
          <w:tcPr>
            <w:tcW w:w="876" w:type="dxa"/>
            <w:tcBorders>
              <w:top w:val="single" w:color="auto" w:sz="2" w:space="0"/>
              <w:left w:val="single" w:color="auto" w:sz="2" w:space="0"/>
              <w:bottom w:val="single" w:color="auto" w:sz="2" w:space="0"/>
              <w:right w:val="single" w:color="auto" w:sz="2" w:space="0"/>
            </w:tcBorders>
            <w:vAlign w:val="center"/>
          </w:tcPr>
          <w:p w14:paraId="7DEF6A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r>
      <w:tr w14:paraId="0C032D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B6FD62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570660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16FF2D1">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6EF6B1">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BA940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45F485">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AF6AC91">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46ED6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0D0E26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3AFD27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13A3B5">
            <w:pPr>
              <w:rPr>
                <w:rFonts w:ascii="Times New Roman" w:hAnsi="Times New Roman" w:cs="Times New Roman" w:eastAsiaTheme="majorEastAsia"/>
              </w:rPr>
            </w:pPr>
          </w:p>
        </w:tc>
      </w:tr>
      <w:tr w14:paraId="36523F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B1F8D8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5F1AE0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564,150.39</w:t>
            </w:r>
          </w:p>
        </w:tc>
        <w:tc>
          <w:tcPr>
            <w:tcW w:w="876" w:type="dxa"/>
            <w:tcBorders>
              <w:top w:val="single" w:color="auto" w:sz="2" w:space="0"/>
              <w:left w:val="single" w:color="auto" w:sz="2" w:space="0"/>
              <w:bottom w:val="single" w:color="auto" w:sz="2" w:space="0"/>
              <w:right w:val="single" w:color="auto" w:sz="2" w:space="0"/>
            </w:tcBorders>
            <w:vAlign w:val="center"/>
          </w:tcPr>
          <w:p w14:paraId="7BE6E6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9.84%</w:t>
            </w:r>
          </w:p>
        </w:tc>
        <w:tc>
          <w:tcPr>
            <w:tcW w:w="876" w:type="dxa"/>
            <w:tcBorders>
              <w:top w:val="single" w:color="auto" w:sz="2" w:space="0"/>
              <w:left w:val="single" w:color="auto" w:sz="2" w:space="0"/>
              <w:bottom w:val="single" w:color="auto" w:sz="2" w:space="0"/>
              <w:right w:val="single" w:color="auto" w:sz="2" w:space="0"/>
            </w:tcBorders>
            <w:vAlign w:val="center"/>
          </w:tcPr>
          <w:p w14:paraId="3B17BB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28,207.52</w:t>
            </w:r>
          </w:p>
        </w:tc>
        <w:tc>
          <w:tcPr>
            <w:tcW w:w="876" w:type="dxa"/>
            <w:tcBorders>
              <w:top w:val="single" w:color="auto" w:sz="2" w:space="0"/>
              <w:left w:val="single" w:color="auto" w:sz="2" w:space="0"/>
              <w:bottom w:val="single" w:color="auto" w:sz="2" w:space="0"/>
              <w:right w:val="single" w:color="auto" w:sz="2" w:space="0"/>
            </w:tcBorders>
            <w:vAlign w:val="center"/>
          </w:tcPr>
          <w:p w14:paraId="522A12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c>
          <w:tcPr>
            <w:tcW w:w="876" w:type="dxa"/>
            <w:tcBorders>
              <w:top w:val="single" w:color="auto" w:sz="2" w:space="0"/>
              <w:left w:val="single" w:color="auto" w:sz="2" w:space="0"/>
              <w:bottom w:val="single" w:color="auto" w:sz="2" w:space="0"/>
              <w:right w:val="single" w:color="auto" w:sz="2" w:space="0"/>
            </w:tcBorders>
            <w:vAlign w:val="center"/>
          </w:tcPr>
          <w:p w14:paraId="6A32BF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535,942.87</w:t>
            </w:r>
          </w:p>
        </w:tc>
        <w:tc>
          <w:tcPr>
            <w:tcW w:w="876" w:type="dxa"/>
            <w:tcBorders>
              <w:top w:val="single" w:color="auto" w:sz="2" w:space="0"/>
              <w:left w:val="single" w:color="auto" w:sz="2" w:space="0"/>
              <w:bottom w:val="single" w:color="auto" w:sz="2" w:space="0"/>
              <w:right w:val="single" w:color="auto" w:sz="2" w:space="0"/>
            </w:tcBorders>
            <w:vAlign w:val="center"/>
          </w:tcPr>
          <w:p w14:paraId="32D835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385,551.64</w:t>
            </w:r>
          </w:p>
        </w:tc>
        <w:tc>
          <w:tcPr>
            <w:tcW w:w="876" w:type="dxa"/>
            <w:tcBorders>
              <w:top w:val="single" w:color="auto" w:sz="2" w:space="0"/>
              <w:left w:val="single" w:color="auto" w:sz="2" w:space="0"/>
              <w:bottom w:val="single" w:color="auto" w:sz="2" w:space="0"/>
              <w:right w:val="single" w:color="auto" w:sz="2" w:space="0"/>
            </w:tcBorders>
            <w:vAlign w:val="center"/>
          </w:tcPr>
          <w:p w14:paraId="54F66D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7.92%</w:t>
            </w:r>
          </w:p>
        </w:tc>
        <w:tc>
          <w:tcPr>
            <w:tcW w:w="876" w:type="dxa"/>
            <w:tcBorders>
              <w:top w:val="single" w:color="auto" w:sz="2" w:space="0"/>
              <w:left w:val="single" w:color="auto" w:sz="2" w:space="0"/>
              <w:bottom w:val="single" w:color="auto" w:sz="2" w:space="0"/>
              <w:right w:val="single" w:color="auto" w:sz="2" w:space="0"/>
            </w:tcBorders>
            <w:vAlign w:val="center"/>
          </w:tcPr>
          <w:p w14:paraId="5A91BD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21,512.08</w:t>
            </w:r>
          </w:p>
        </w:tc>
        <w:tc>
          <w:tcPr>
            <w:tcW w:w="876" w:type="dxa"/>
            <w:tcBorders>
              <w:top w:val="single" w:color="auto" w:sz="2" w:space="0"/>
              <w:left w:val="single" w:color="auto" w:sz="2" w:space="0"/>
              <w:bottom w:val="single" w:color="auto" w:sz="2" w:space="0"/>
              <w:right w:val="single" w:color="auto" w:sz="2" w:space="0"/>
            </w:tcBorders>
            <w:vAlign w:val="center"/>
          </w:tcPr>
          <w:p w14:paraId="4B2945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5.58%</w:t>
            </w:r>
          </w:p>
        </w:tc>
        <w:tc>
          <w:tcPr>
            <w:tcW w:w="876" w:type="dxa"/>
            <w:tcBorders>
              <w:top w:val="single" w:color="auto" w:sz="2" w:space="0"/>
              <w:left w:val="single" w:color="auto" w:sz="2" w:space="0"/>
              <w:bottom w:val="single" w:color="auto" w:sz="2" w:space="0"/>
              <w:right w:val="single" w:color="auto" w:sz="2" w:space="0"/>
            </w:tcBorders>
            <w:vAlign w:val="center"/>
          </w:tcPr>
          <w:p w14:paraId="30E0C5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364,039.56</w:t>
            </w:r>
          </w:p>
        </w:tc>
      </w:tr>
      <w:tr w14:paraId="6FA551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04CF11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735213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5,167,386.61</w:t>
            </w:r>
          </w:p>
        </w:tc>
        <w:tc>
          <w:tcPr>
            <w:tcW w:w="876" w:type="dxa"/>
            <w:tcBorders>
              <w:top w:val="single" w:color="auto" w:sz="2" w:space="0"/>
              <w:left w:val="single" w:color="auto" w:sz="2" w:space="0"/>
              <w:bottom w:val="single" w:color="auto" w:sz="2" w:space="0"/>
              <w:right w:val="single" w:color="auto" w:sz="2" w:space="0"/>
            </w:tcBorders>
            <w:vAlign w:val="center"/>
          </w:tcPr>
          <w:p w14:paraId="2C73E3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90.16%</w:t>
            </w:r>
          </w:p>
        </w:tc>
        <w:tc>
          <w:tcPr>
            <w:tcW w:w="876" w:type="dxa"/>
            <w:tcBorders>
              <w:top w:val="single" w:color="auto" w:sz="2" w:space="0"/>
              <w:left w:val="single" w:color="auto" w:sz="2" w:space="0"/>
              <w:bottom w:val="single" w:color="auto" w:sz="2" w:space="0"/>
              <w:right w:val="single" w:color="auto" w:sz="2" w:space="0"/>
            </w:tcBorders>
            <w:vAlign w:val="center"/>
          </w:tcPr>
          <w:p w14:paraId="76658C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1,071,959.55</w:t>
            </w:r>
          </w:p>
        </w:tc>
        <w:tc>
          <w:tcPr>
            <w:tcW w:w="876" w:type="dxa"/>
            <w:tcBorders>
              <w:top w:val="single" w:color="auto" w:sz="2" w:space="0"/>
              <w:left w:val="single" w:color="auto" w:sz="2" w:space="0"/>
              <w:bottom w:val="single" w:color="auto" w:sz="2" w:space="0"/>
              <w:right w:val="single" w:color="auto" w:sz="2" w:space="0"/>
            </w:tcBorders>
            <w:vAlign w:val="center"/>
          </w:tcPr>
          <w:p w14:paraId="0CEE3D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20.74%</w:t>
            </w:r>
          </w:p>
        </w:tc>
        <w:tc>
          <w:tcPr>
            <w:tcW w:w="876" w:type="dxa"/>
            <w:tcBorders>
              <w:top w:val="single" w:color="auto" w:sz="2" w:space="0"/>
              <w:left w:val="single" w:color="auto" w:sz="2" w:space="0"/>
              <w:bottom w:val="single" w:color="auto" w:sz="2" w:space="0"/>
              <w:right w:val="single" w:color="auto" w:sz="2" w:space="0"/>
            </w:tcBorders>
            <w:vAlign w:val="center"/>
          </w:tcPr>
          <w:p w14:paraId="62E3F6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4,095,427.06</w:t>
            </w:r>
          </w:p>
        </w:tc>
        <w:tc>
          <w:tcPr>
            <w:tcW w:w="876" w:type="dxa"/>
            <w:tcBorders>
              <w:top w:val="single" w:color="auto" w:sz="2" w:space="0"/>
              <w:left w:val="single" w:color="auto" w:sz="2" w:space="0"/>
              <w:bottom w:val="single" w:color="auto" w:sz="2" w:space="0"/>
              <w:right w:val="single" w:color="auto" w:sz="2" w:space="0"/>
            </w:tcBorders>
            <w:vAlign w:val="center"/>
          </w:tcPr>
          <w:p w14:paraId="30578A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4,484,921.09</w:t>
            </w:r>
          </w:p>
        </w:tc>
        <w:tc>
          <w:tcPr>
            <w:tcW w:w="876" w:type="dxa"/>
            <w:tcBorders>
              <w:top w:val="single" w:color="auto" w:sz="2" w:space="0"/>
              <w:left w:val="single" w:color="auto" w:sz="2" w:space="0"/>
              <w:bottom w:val="single" w:color="auto" w:sz="2" w:space="0"/>
              <w:right w:val="single" w:color="auto" w:sz="2" w:space="0"/>
            </w:tcBorders>
            <w:vAlign w:val="center"/>
          </w:tcPr>
          <w:p w14:paraId="5E119E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92.08%</w:t>
            </w:r>
          </w:p>
        </w:tc>
        <w:tc>
          <w:tcPr>
            <w:tcW w:w="876" w:type="dxa"/>
            <w:tcBorders>
              <w:top w:val="single" w:color="auto" w:sz="2" w:space="0"/>
              <w:left w:val="single" w:color="auto" w:sz="2" w:space="0"/>
              <w:bottom w:val="single" w:color="auto" w:sz="2" w:space="0"/>
              <w:right w:val="single" w:color="auto" w:sz="2" w:space="0"/>
            </w:tcBorders>
            <w:vAlign w:val="center"/>
          </w:tcPr>
          <w:p w14:paraId="468E6A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352,238.57</w:t>
            </w:r>
          </w:p>
        </w:tc>
        <w:tc>
          <w:tcPr>
            <w:tcW w:w="876" w:type="dxa"/>
            <w:tcBorders>
              <w:top w:val="single" w:color="auto" w:sz="2" w:space="0"/>
              <w:left w:val="single" w:color="auto" w:sz="2" w:space="0"/>
              <w:bottom w:val="single" w:color="auto" w:sz="2" w:space="0"/>
              <w:right w:val="single" w:color="auto" w:sz="2" w:space="0"/>
            </w:tcBorders>
            <w:vAlign w:val="center"/>
          </w:tcPr>
          <w:p w14:paraId="7D566D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7.85%</w:t>
            </w:r>
          </w:p>
        </w:tc>
        <w:tc>
          <w:tcPr>
            <w:tcW w:w="876" w:type="dxa"/>
            <w:tcBorders>
              <w:top w:val="single" w:color="auto" w:sz="2" w:space="0"/>
              <w:left w:val="single" w:color="auto" w:sz="2" w:space="0"/>
              <w:bottom w:val="single" w:color="auto" w:sz="2" w:space="0"/>
              <w:right w:val="single" w:color="auto" w:sz="2" w:space="0"/>
            </w:tcBorders>
            <w:vAlign w:val="center"/>
          </w:tcPr>
          <w:p w14:paraId="3FEC80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4,132,682.52</w:t>
            </w:r>
          </w:p>
        </w:tc>
      </w:tr>
      <w:tr w14:paraId="4D3AF4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D44EAA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032546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5,731,537.00</w:t>
            </w:r>
          </w:p>
        </w:tc>
        <w:tc>
          <w:tcPr>
            <w:tcW w:w="876" w:type="dxa"/>
            <w:tcBorders>
              <w:top w:val="single" w:color="auto" w:sz="2" w:space="0"/>
              <w:left w:val="single" w:color="auto" w:sz="2" w:space="0"/>
              <w:bottom w:val="single" w:color="auto" w:sz="2" w:space="0"/>
              <w:right w:val="single" w:color="auto" w:sz="2" w:space="0"/>
            </w:tcBorders>
            <w:vAlign w:val="center"/>
          </w:tcPr>
          <w:p w14:paraId="0208B1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E83C3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1,100,167.07</w:t>
            </w:r>
          </w:p>
        </w:tc>
        <w:tc>
          <w:tcPr>
            <w:tcW w:w="876" w:type="dxa"/>
            <w:tcBorders>
              <w:top w:val="single" w:color="auto" w:sz="2" w:space="0"/>
              <w:left w:val="single" w:color="auto" w:sz="2" w:space="0"/>
              <w:bottom w:val="single" w:color="auto" w:sz="2" w:space="0"/>
              <w:right w:val="single" w:color="auto" w:sz="2" w:space="0"/>
            </w:tcBorders>
            <w:vAlign w:val="center"/>
          </w:tcPr>
          <w:p w14:paraId="26231D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19.19%</w:t>
            </w:r>
          </w:p>
        </w:tc>
        <w:tc>
          <w:tcPr>
            <w:tcW w:w="876" w:type="dxa"/>
            <w:tcBorders>
              <w:top w:val="single" w:color="auto" w:sz="2" w:space="0"/>
              <w:left w:val="single" w:color="auto" w:sz="2" w:space="0"/>
              <w:bottom w:val="single" w:color="auto" w:sz="2" w:space="0"/>
              <w:right w:val="single" w:color="auto" w:sz="2" w:space="0"/>
            </w:tcBorders>
            <w:vAlign w:val="center"/>
          </w:tcPr>
          <w:p w14:paraId="69F17C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4,631,369.93</w:t>
            </w:r>
          </w:p>
        </w:tc>
        <w:tc>
          <w:tcPr>
            <w:tcW w:w="876" w:type="dxa"/>
            <w:tcBorders>
              <w:top w:val="single" w:color="auto" w:sz="2" w:space="0"/>
              <w:left w:val="single" w:color="auto" w:sz="2" w:space="0"/>
              <w:bottom w:val="single" w:color="auto" w:sz="2" w:space="0"/>
              <w:right w:val="single" w:color="auto" w:sz="2" w:space="0"/>
            </w:tcBorders>
            <w:vAlign w:val="center"/>
          </w:tcPr>
          <w:p w14:paraId="454CDF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4,870,472.73</w:t>
            </w:r>
          </w:p>
        </w:tc>
        <w:tc>
          <w:tcPr>
            <w:tcW w:w="876" w:type="dxa"/>
            <w:tcBorders>
              <w:top w:val="single" w:color="auto" w:sz="2" w:space="0"/>
              <w:left w:val="single" w:color="auto" w:sz="2" w:space="0"/>
              <w:bottom w:val="single" w:color="auto" w:sz="2" w:space="0"/>
              <w:right w:val="single" w:color="auto" w:sz="2" w:space="0"/>
            </w:tcBorders>
            <w:vAlign w:val="center"/>
          </w:tcPr>
          <w:p w14:paraId="7F606B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2A925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373,750.65</w:t>
            </w:r>
          </w:p>
        </w:tc>
        <w:tc>
          <w:tcPr>
            <w:tcW w:w="876" w:type="dxa"/>
            <w:tcBorders>
              <w:top w:val="single" w:color="auto" w:sz="2" w:space="0"/>
              <w:left w:val="single" w:color="auto" w:sz="2" w:space="0"/>
              <w:bottom w:val="single" w:color="auto" w:sz="2" w:space="0"/>
              <w:right w:val="single" w:color="auto" w:sz="2" w:space="0"/>
            </w:tcBorders>
            <w:vAlign w:val="center"/>
          </w:tcPr>
          <w:p w14:paraId="7444D3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7.67%</w:t>
            </w:r>
          </w:p>
        </w:tc>
        <w:tc>
          <w:tcPr>
            <w:tcW w:w="876" w:type="dxa"/>
            <w:tcBorders>
              <w:top w:val="single" w:color="auto" w:sz="2" w:space="0"/>
              <w:left w:val="single" w:color="auto" w:sz="2" w:space="0"/>
              <w:bottom w:val="single" w:color="auto" w:sz="2" w:space="0"/>
              <w:right w:val="single" w:color="auto" w:sz="2" w:space="0"/>
            </w:tcBorders>
            <w:vAlign w:val="center"/>
          </w:tcPr>
          <w:p w14:paraId="4EE634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r>
    </w:tbl>
    <w:p w14:paraId="27FB00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按组合计提坏账准备：组合1</w:t>
      </w:r>
    </w:p>
    <w:p w14:paraId="7BA26BF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D7E0A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66BB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476DB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50329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C754AA4">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14025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5B65AB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CF4D4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0A6555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CDE5F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323CBF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564,150.39</w:t>
            </w:r>
          </w:p>
        </w:tc>
        <w:tc>
          <w:tcPr>
            <w:tcW w:w="2410" w:type="dxa"/>
            <w:tcBorders>
              <w:top w:val="single" w:color="auto" w:sz="2" w:space="0"/>
              <w:left w:val="single" w:color="auto" w:sz="2" w:space="0"/>
              <w:bottom w:val="single" w:color="auto" w:sz="2" w:space="0"/>
              <w:right w:val="single" w:color="auto" w:sz="2" w:space="0"/>
            </w:tcBorders>
            <w:vAlign w:val="center"/>
          </w:tcPr>
          <w:p w14:paraId="51A664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28,207.52</w:t>
            </w:r>
          </w:p>
        </w:tc>
        <w:tc>
          <w:tcPr>
            <w:tcW w:w="2410" w:type="dxa"/>
            <w:tcBorders>
              <w:top w:val="single" w:color="auto" w:sz="2" w:space="0"/>
              <w:left w:val="single" w:color="auto" w:sz="2" w:space="0"/>
              <w:bottom w:val="single" w:color="auto" w:sz="2" w:space="0"/>
              <w:right w:val="single" w:color="auto" w:sz="2" w:space="0"/>
            </w:tcBorders>
            <w:vAlign w:val="center"/>
          </w:tcPr>
          <w:p w14:paraId="7D0FB6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3EB082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4DE50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5FA19B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564,150.39</w:t>
            </w:r>
          </w:p>
        </w:tc>
        <w:tc>
          <w:tcPr>
            <w:tcW w:w="2410" w:type="dxa"/>
            <w:tcBorders>
              <w:top w:val="single" w:color="auto" w:sz="2" w:space="0"/>
              <w:left w:val="single" w:color="auto" w:sz="2" w:space="0"/>
              <w:bottom w:val="single" w:color="auto" w:sz="2" w:space="0"/>
              <w:right w:val="single" w:color="auto" w:sz="2" w:space="0"/>
            </w:tcBorders>
            <w:vAlign w:val="center"/>
          </w:tcPr>
          <w:p w14:paraId="033797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28,207.52</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708526B">
            <w:pPr>
              <w:rPr>
                <w:rFonts w:ascii="Times New Roman" w:hAnsi="Times New Roman" w:cs="Times New Roman" w:eastAsiaTheme="majorEastAsia"/>
              </w:rPr>
            </w:pPr>
          </w:p>
        </w:tc>
      </w:tr>
    </w:tbl>
    <w:p w14:paraId="3DCC274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66455EFD">
      <w:pPr>
        <w:rPr>
          <w:rFonts w:ascii="Times New Roman" w:hAnsi="Times New Roman" w:cs="Times New Roman" w:eastAsiaTheme="majorEastAsia"/>
          <w:sz w:val="18"/>
          <w:szCs w:val="18"/>
        </w:rPr>
      </w:pPr>
    </w:p>
    <w:p w14:paraId="7C93A5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按组合计提坏账准备：组合2</w:t>
      </w:r>
    </w:p>
    <w:p w14:paraId="2868FA8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09A0D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5F15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1E67A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730A48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F73C14">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AB91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934E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69EED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757B29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77204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238ABF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2,012,957.76</w:t>
            </w:r>
          </w:p>
        </w:tc>
        <w:tc>
          <w:tcPr>
            <w:tcW w:w="2410" w:type="dxa"/>
            <w:tcBorders>
              <w:top w:val="single" w:color="auto" w:sz="2" w:space="0"/>
              <w:left w:val="single" w:color="auto" w:sz="2" w:space="0"/>
              <w:bottom w:val="single" w:color="auto" w:sz="2" w:space="0"/>
              <w:right w:val="single" w:color="auto" w:sz="2" w:space="0"/>
            </w:tcBorders>
            <w:vAlign w:val="center"/>
          </w:tcPr>
          <w:p w14:paraId="418E56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100,647.89</w:t>
            </w:r>
          </w:p>
        </w:tc>
        <w:tc>
          <w:tcPr>
            <w:tcW w:w="2410" w:type="dxa"/>
            <w:tcBorders>
              <w:top w:val="single" w:color="auto" w:sz="2" w:space="0"/>
              <w:left w:val="single" w:color="auto" w:sz="2" w:space="0"/>
              <w:bottom w:val="single" w:color="auto" w:sz="2" w:space="0"/>
              <w:right w:val="single" w:color="auto" w:sz="2" w:space="0"/>
            </w:tcBorders>
            <w:vAlign w:val="center"/>
          </w:tcPr>
          <w:p w14:paraId="13721B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109A89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071EAE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1-2年</w:t>
            </w:r>
          </w:p>
        </w:tc>
        <w:tc>
          <w:tcPr>
            <w:tcW w:w="2410" w:type="dxa"/>
            <w:tcBorders>
              <w:top w:val="single" w:color="auto" w:sz="2" w:space="0"/>
              <w:left w:val="single" w:color="auto" w:sz="2" w:space="0"/>
              <w:bottom w:val="single" w:color="auto" w:sz="2" w:space="0"/>
              <w:right w:val="single" w:color="auto" w:sz="2" w:space="0"/>
            </w:tcBorders>
            <w:vAlign w:val="center"/>
          </w:tcPr>
          <w:p w14:paraId="2ED349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435,085.00</w:t>
            </w:r>
          </w:p>
        </w:tc>
        <w:tc>
          <w:tcPr>
            <w:tcW w:w="2410" w:type="dxa"/>
            <w:tcBorders>
              <w:top w:val="single" w:color="auto" w:sz="2" w:space="0"/>
              <w:left w:val="single" w:color="auto" w:sz="2" w:space="0"/>
              <w:bottom w:val="single" w:color="auto" w:sz="2" w:space="0"/>
              <w:right w:val="single" w:color="auto" w:sz="2" w:space="0"/>
            </w:tcBorders>
            <w:vAlign w:val="center"/>
          </w:tcPr>
          <w:p w14:paraId="34BB2B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43,508.50</w:t>
            </w:r>
          </w:p>
        </w:tc>
        <w:tc>
          <w:tcPr>
            <w:tcW w:w="2410" w:type="dxa"/>
            <w:tcBorders>
              <w:top w:val="single" w:color="auto" w:sz="2" w:space="0"/>
              <w:left w:val="single" w:color="auto" w:sz="2" w:space="0"/>
              <w:bottom w:val="single" w:color="auto" w:sz="2" w:space="0"/>
              <w:right w:val="single" w:color="auto" w:sz="2" w:space="0"/>
            </w:tcBorders>
            <w:vAlign w:val="center"/>
          </w:tcPr>
          <w:p w14:paraId="249BA0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r>
      <w:tr w14:paraId="78EA61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AAD65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2-3年</w:t>
            </w:r>
          </w:p>
        </w:tc>
        <w:tc>
          <w:tcPr>
            <w:tcW w:w="2410" w:type="dxa"/>
            <w:tcBorders>
              <w:top w:val="single" w:color="auto" w:sz="2" w:space="0"/>
              <w:left w:val="single" w:color="auto" w:sz="2" w:space="0"/>
              <w:bottom w:val="single" w:color="auto" w:sz="2" w:space="0"/>
              <w:right w:val="single" w:color="auto" w:sz="2" w:space="0"/>
            </w:tcBorders>
            <w:vAlign w:val="center"/>
          </w:tcPr>
          <w:p w14:paraId="15D0D6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2,559,343.85</w:t>
            </w:r>
          </w:p>
        </w:tc>
        <w:tc>
          <w:tcPr>
            <w:tcW w:w="2410" w:type="dxa"/>
            <w:tcBorders>
              <w:top w:val="single" w:color="auto" w:sz="2" w:space="0"/>
              <w:left w:val="single" w:color="auto" w:sz="2" w:space="0"/>
              <w:bottom w:val="single" w:color="auto" w:sz="2" w:space="0"/>
              <w:right w:val="single" w:color="auto" w:sz="2" w:space="0"/>
            </w:tcBorders>
            <w:vAlign w:val="center"/>
          </w:tcPr>
          <w:p w14:paraId="45A8B4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767,803.16</w:t>
            </w:r>
          </w:p>
        </w:tc>
        <w:tc>
          <w:tcPr>
            <w:tcW w:w="2410" w:type="dxa"/>
            <w:tcBorders>
              <w:top w:val="single" w:color="auto" w:sz="2" w:space="0"/>
              <w:left w:val="single" w:color="auto" w:sz="2" w:space="0"/>
              <w:bottom w:val="single" w:color="auto" w:sz="2" w:space="0"/>
              <w:right w:val="single" w:color="auto" w:sz="2" w:space="0"/>
            </w:tcBorders>
            <w:vAlign w:val="center"/>
          </w:tcPr>
          <w:p w14:paraId="302ABF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r>
      <w:tr w14:paraId="09577C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7F3A0B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3-4年</w:t>
            </w:r>
          </w:p>
        </w:tc>
        <w:tc>
          <w:tcPr>
            <w:tcW w:w="2410" w:type="dxa"/>
            <w:tcBorders>
              <w:top w:val="single" w:color="auto" w:sz="2" w:space="0"/>
              <w:left w:val="single" w:color="auto" w:sz="2" w:space="0"/>
              <w:bottom w:val="single" w:color="auto" w:sz="2" w:space="0"/>
              <w:right w:val="single" w:color="auto" w:sz="2" w:space="0"/>
            </w:tcBorders>
            <w:vAlign w:val="center"/>
          </w:tcPr>
          <w:p w14:paraId="03976370">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C20AD37">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A5D49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r w14:paraId="1968FA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3BDC9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4-5年</w:t>
            </w:r>
          </w:p>
        </w:tc>
        <w:tc>
          <w:tcPr>
            <w:tcW w:w="2410" w:type="dxa"/>
            <w:tcBorders>
              <w:top w:val="single" w:color="auto" w:sz="2" w:space="0"/>
              <w:left w:val="single" w:color="auto" w:sz="2" w:space="0"/>
              <w:bottom w:val="single" w:color="auto" w:sz="2" w:space="0"/>
              <w:right w:val="single" w:color="auto" w:sz="2" w:space="0"/>
            </w:tcBorders>
            <w:vAlign w:val="center"/>
          </w:tcPr>
          <w:p w14:paraId="2BE44B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160,000.00</w:t>
            </w:r>
          </w:p>
        </w:tc>
        <w:tc>
          <w:tcPr>
            <w:tcW w:w="2410" w:type="dxa"/>
            <w:tcBorders>
              <w:top w:val="single" w:color="auto" w:sz="2" w:space="0"/>
              <w:left w:val="single" w:color="auto" w:sz="2" w:space="0"/>
              <w:bottom w:val="single" w:color="auto" w:sz="2" w:space="0"/>
              <w:right w:val="single" w:color="auto" w:sz="2" w:space="0"/>
            </w:tcBorders>
            <w:vAlign w:val="center"/>
          </w:tcPr>
          <w:p w14:paraId="581263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160,000.00</w:t>
            </w:r>
          </w:p>
        </w:tc>
        <w:tc>
          <w:tcPr>
            <w:tcW w:w="2410" w:type="dxa"/>
            <w:tcBorders>
              <w:top w:val="single" w:color="auto" w:sz="2" w:space="0"/>
              <w:left w:val="single" w:color="auto" w:sz="2" w:space="0"/>
              <w:bottom w:val="single" w:color="auto" w:sz="2" w:space="0"/>
              <w:right w:val="single" w:color="auto" w:sz="2" w:space="0"/>
            </w:tcBorders>
            <w:vAlign w:val="center"/>
          </w:tcPr>
          <w:p w14:paraId="2BD8E0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27EDA3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734E4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8F03B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5,167,386.61</w:t>
            </w:r>
          </w:p>
        </w:tc>
        <w:tc>
          <w:tcPr>
            <w:tcW w:w="2410" w:type="dxa"/>
            <w:tcBorders>
              <w:top w:val="single" w:color="auto" w:sz="2" w:space="0"/>
              <w:left w:val="single" w:color="auto" w:sz="2" w:space="0"/>
              <w:bottom w:val="single" w:color="auto" w:sz="2" w:space="0"/>
              <w:right w:val="single" w:color="auto" w:sz="2" w:space="0"/>
            </w:tcBorders>
            <w:vAlign w:val="center"/>
          </w:tcPr>
          <w:p w14:paraId="65F29E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1,071,959.55</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3E4443">
            <w:pPr>
              <w:rPr>
                <w:rFonts w:ascii="Times New Roman" w:hAnsi="Times New Roman" w:cs="Times New Roman" w:eastAsiaTheme="majorEastAsia"/>
              </w:rPr>
            </w:pPr>
          </w:p>
        </w:tc>
      </w:tr>
    </w:tbl>
    <w:p w14:paraId="361A28B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r>
        <w:rPr>
          <w:rFonts w:hint="eastAsia" w:ascii="Times New Roman" w:hAnsi="Times New Roman" w:cs="Times New Roman" w:eastAsiaTheme="majorEastAsia"/>
          <w:sz w:val="18"/>
          <w:szCs w:val="18"/>
        </w:rPr>
        <w:t>无。</w:t>
      </w:r>
    </w:p>
    <w:p w14:paraId="185D0EF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按预期信用损失一般模型计提坏账准备</w:t>
      </w:r>
    </w:p>
    <w:p w14:paraId="3CAEBE38">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39C4428">
      <w:pPr>
        <w:keepNext/>
        <w:keepLines/>
        <w:spacing w:before="300" w:after="300" w:line="280" w:lineRule="exact"/>
        <w:outlineLvl w:val="3"/>
        <w:rPr>
          <w:rFonts w:ascii="Times New Roman" w:hAnsi="Times New Roman" w:cs="Times New Roman" w:eastAsiaTheme="majorEastAsia"/>
          <w:b/>
          <w:bCs/>
          <w:szCs w:val="21"/>
        </w:rPr>
      </w:pPr>
      <w:bookmarkStart w:id="242" w:name="_Toc989131"/>
      <w:r>
        <w:rPr>
          <w:rFonts w:ascii="Times New Roman" w:hAnsi="Times New Roman" w:cs="Times New Roman" w:eastAsiaTheme="majorEastAsia"/>
          <w:b/>
          <w:bCs/>
          <w:szCs w:val="21"/>
        </w:rPr>
        <w:t>（4） 本期计提、收回或转回的坏账准备情况</w:t>
      </w:r>
      <w:bookmarkEnd w:id="242"/>
    </w:p>
    <w:p w14:paraId="6B2FE5B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C23AD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EB98E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9F5E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2C58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本期收回或转回</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97CE3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本期转销/核销</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E70A19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原因</w:t>
            </w:r>
          </w:p>
        </w:tc>
      </w:tr>
      <w:tr w14:paraId="17473C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0C79B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质保金</w:t>
            </w:r>
          </w:p>
        </w:tc>
        <w:tc>
          <w:tcPr>
            <w:tcW w:w="1928" w:type="dxa"/>
            <w:tcBorders>
              <w:top w:val="single" w:color="auto" w:sz="2" w:space="0"/>
              <w:left w:val="single" w:color="auto" w:sz="2" w:space="0"/>
              <w:bottom w:val="single" w:color="auto" w:sz="2" w:space="0"/>
              <w:right w:val="single" w:color="auto" w:sz="2" w:space="0"/>
            </w:tcBorders>
            <w:vAlign w:val="center"/>
          </w:tcPr>
          <w:p w14:paraId="761790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409,797.77</w:t>
            </w:r>
          </w:p>
        </w:tc>
        <w:tc>
          <w:tcPr>
            <w:tcW w:w="1928" w:type="dxa"/>
            <w:tcBorders>
              <w:top w:val="single" w:color="auto" w:sz="2" w:space="0"/>
              <w:left w:val="single" w:color="auto" w:sz="2" w:space="0"/>
              <w:bottom w:val="single" w:color="auto" w:sz="2" w:space="0"/>
              <w:right w:val="single" w:color="auto" w:sz="2" w:space="0"/>
            </w:tcBorders>
            <w:vAlign w:val="center"/>
          </w:tcPr>
          <w:p w14:paraId="7FCF4107">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39B703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EA13CA3">
            <w:pPr>
              <w:spacing w:line="240" w:lineRule="exact"/>
              <w:rPr>
                <w:rFonts w:ascii="Times New Roman" w:hAnsi="Times New Roman" w:cs="Times New Roman" w:eastAsiaTheme="majorEastAsia"/>
                <w:sz w:val="18"/>
                <w:szCs w:val="18"/>
              </w:rPr>
            </w:pPr>
          </w:p>
        </w:tc>
      </w:tr>
      <w:tr w14:paraId="3CCE16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1222B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AA4A5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409,797.77</w:t>
            </w:r>
          </w:p>
        </w:tc>
        <w:tc>
          <w:tcPr>
            <w:tcW w:w="1928" w:type="dxa"/>
            <w:tcBorders>
              <w:top w:val="single" w:color="auto" w:sz="2" w:space="0"/>
              <w:left w:val="single" w:color="auto" w:sz="2" w:space="0"/>
              <w:bottom w:val="single" w:color="auto" w:sz="2" w:space="0"/>
              <w:right w:val="single" w:color="auto" w:sz="2" w:space="0"/>
            </w:tcBorders>
            <w:vAlign w:val="center"/>
          </w:tcPr>
          <w:p w14:paraId="6F918968">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CAC8E20">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E66C5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6608D28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p>
    <w:p w14:paraId="56389ED2">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1D3842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172B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CFE1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BD78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231FB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47FA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确定原坏账准备计提比例的依据及其合理性</w:t>
            </w:r>
          </w:p>
        </w:tc>
      </w:tr>
    </w:tbl>
    <w:p w14:paraId="542CF3FD">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其他说明：</w:t>
      </w:r>
      <w:r>
        <w:rPr>
          <w:rFonts w:hint="eastAsia" w:ascii="Times New Roman" w:hAnsi="Times New Roman" w:cs="Times New Roman" w:eastAsiaTheme="majorEastAsia"/>
          <w:szCs w:val="21"/>
        </w:rPr>
        <w:t>无。</w:t>
      </w:r>
    </w:p>
    <w:p w14:paraId="6DA796FD">
      <w:pPr>
        <w:keepNext/>
        <w:keepLines/>
        <w:spacing w:before="300" w:after="300" w:line="280" w:lineRule="exact"/>
        <w:outlineLvl w:val="3"/>
        <w:rPr>
          <w:rFonts w:ascii="Times New Roman" w:hAnsi="Times New Roman" w:cs="Times New Roman" w:eastAsiaTheme="majorEastAsia"/>
          <w:b/>
          <w:bCs/>
          <w:szCs w:val="21"/>
        </w:rPr>
      </w:pPr>
      <w:bookmarkStart w:id="243" w:name="_Toc989132"/>
      <w:r>
        <w:rPr>
          <w:rFonts w:ascii="Times New Roman" w:hAnsi="Times New Roman" w:cs="Times New Roman" w:eastAsiaTheme="majorEastAsia"/>
          <w:b/>
          <w:bCs/>
          <w:szCs w:val="21"/>
        </w:rPr>
        <w:t>（5） 本期实际核销的合同资产情况</w:t>
      </w:r>
      <w:bookmarkEnd w:id="243"/>
    </w:p>
    <w:p w14:paraId="24A654F2">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合同资产核销说明：本期无实际核销的合同资产。</w:t>
      </w:r>
    </w:p>
    <w:p w14:paraId="56920971">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其他说明：无。</w:t>
      </w:r>
    </w:p>
    <w:p w14:paraId="6E73635A">
      <w:pPr>
        <w:pStyle w:val="3"/>
        <w:spacing w:line="280" w:lineRule="exact"/>
        <w:jc w:val="left"/>
        <w:rPr>
          <w:rFonts w:ascii="Times New Roman" w:hAnsi="Times New Roman" w:cs="Times New Roman" w:eastAsiaTheme="majorEastAsia"/>
          <w:b/>
          <w:bCs/>
        </w:rPr>
      </w:pPr>
      <w:bookmarkStart w:id="244" w:name="_Toc989133"/>
      <w:r>
        <w:rPr>
          <w:rFonts w:ascii="Times New Roman" w:hAnsi="Times New Roman" w:cs="Times New Roman" w:eastAsiaTheme="majorEastAsia"/>
          <w:b/>
          <w:bCs/>
        </w:rPr>
        <w:t>6、其他应收款</w:t>
      </w:r>
      <w:bookmarkEnd w:id="244"/>
    </w:p>
    <w:p w14:paraId="06808F4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1F139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F0DB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B94F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F262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25D315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9A3A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7395ED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3,640,083.65</w:t>
            </w:r>
          </w:p>
        </w:tc>
        <w:tc>
          <w:tcPr>
            <w:tcW w:w="3213" w:type="dxa"/>
            <w:tcBorders>
              <w:top w:val="single" w:color="auto" w:sz="2" w:space="0"/>
              <w:left w:val="single" w:color="auto" w:sz="2" w:space="0"/>
              <w:bottom w:val="single" w:color="auto" w:sz="2" w:space="0"/>
              <w:right w:val="single" w:color="auto" w:sz="2" w:space="0"/>
            </w:tcBorders>
            <w:vAlign w:val="center"/>
          </w:tcPr>
          <w:p w14:paraId="6EB7D7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3,791,021.59</w:t>
            </w:r>
          </w:p>
        </w:tc>
      </w:tr>
      <w:tr w14:paraId="373002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3608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D2DAC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3,640,083.65</w:t>
            </w:r>
          </w:p>
        </w:tc>
        <w:tc>
          <w:tcPr>
            <w:tcW w:w="3213" w:type="dxa"/>
            <w:tcBorders>
              <w:top w:val="single" w:color="auto" w:sz="2" w:space="0"/>
              <w:left w:val="single" w:color="auto" w:sz="2" w:space="0"/>
              <w:bottom w:val="single" w:color="auto" w:sz="2" w:space="0"/>
              <w:right w:val="single" w:color="auto" w:sz="2" w:space="0"/>
            </w:tcBorders>
            <w:vAlign w:val="center"/>
          </w:tcPr>
          <w:p w14:paraId="7BFA56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3,791,021.59</w:t>
            </w:r>
          </w:p>
        </w:tc>
      </w:tr>
    </w:tbl>
    <w:p w14:paraId="7426F470">
      <w:pPr>
        <w:keepNext/>
        <w:keepLines/>
        <w:spacing w:before="300" w:after="300" w:line="280" w:lineRule="exact"/>
        <w:outlineLvl w:val="3"/>
        <w:rPr>
          <w:rFonts w:ascii="Times New Roman" w:hAnsi="Times New Roman" w:cs="Times New Roman" w:eastAsiaTheme="majorEastAsia"/>
          <w:b/>
          <w:bCs/>
          <w:szCs w:val="21"/>
        </w:rPr>
      </w:pPr>
      <w:bookmarkStart w:id="245" w:name="_Toc989134"/>
      <w:r>
        <w:rPr>
          <w:rFonts w:ascii="Times New Roman" w:hAnsi="Times New Roman" w:cs="Times New Roman" w:eastAsiaTheme="majorEastAsia"/>
          <w:b/>
          <w:bCs/>
          <w:szCs w:val="21"/>
        </w:rPr>
        <w:t>（1） 其他应收款</w:t>
      </w:r>
      <w:bookmarkEnd w:id="245"/>
    </w:p>
    <w:p w14:paraId="453D6860">
      <w:pPr>
        <w:keepNext/>
        <w:keepLines/>
        <w:spacing w:before="300" w:after="300" w:line="280" w:lineRule="exact"/>
        <w:outlineLvl w:val="4"/>
        <w:rPr>
          <w:rFonts w:ascii="Times New Roman" w:hAnsi="Times New Roman" w:cs="Times New Roman" w:eastAsiaTheme="majorEastAsia"/>
          <w:b/>
          <w:bCs/>
          <w:szCs w:val="21"/>
        </w:rPr>
      </w:pPr>
      <w:bookmarkStart w:id="246" w:name="_Toc989135"/>
      <w:r>
        <w:rPr>
          <w:rFonts w:ascii="Times New Roman" w:hAnsi="Times New Roman" w:cs="Times New Roman" w:eastAsiaTheme="majorEastAsia"/>
          <w:b/>
          <w:bCs/>
          <w:szCs w:val="21"/>
        </w:rPr>
        <w:t>1） 其他应收款按款项性质分类情况</w:t>
      </w:r>
      <w:bookmarkEnd w:id="246"/>
    </w:p>
    <w:p w14:paraId="32B3E21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98132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3323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5A3E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73A3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41D543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010F3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押金及保证金</w:t>
            </w:r>
          </w:p>
        </w:tc>
        <w:tc>
          <w:tcPr>
            <w:tcW w:w="3213" w:type="dxa"/>
            <w:tcBorders>
              <w:top w:val="single" w:color="auto" w:sz="2" w:space="0"/>
              <w:left w:val="single" w:color="auto" w:sz="2" w:space="0"/>
              <w:bottom w:val="single" w:color="auto" w:sz="2" w:space="0"/>
              <w:right w:val="single" w:color="auto" w:sz="2" w:space="0"/>
            </w:tcBorders>
            <w:vAlign w:val="center"/>
          </w:tcPr>
          <w:p w14:paraId="108519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2,410,509.60</w:t>
            </w:r>
          </w:p>
        </w:tc>
        <w:tc>
          <w:tcPr>
            <w:tcW w:w="3213" w:type="dxa"/>
            <w:tcBorders>
              <w:top w:val="single" w:color="auto" w:sz="2" w:space="0"/>
              <w:left w:val="single" w:color="auto" w:sz="2" w:space="0"/>
              <w:bottom w:val="single" w:color="auto" w:sz="2" w:space="0"/>
              <w:right w:val="single" w:color="auto" w:sz="2" w:space="0"/>
            </w:tcBorders>
            <w:vAlign w:val="center"/>
          </w:tcPr>
          <w:p w14:paraId="507992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3,643,022.70</w:t>
            </w:r>
          </w:p>
        </w:tc>
      </w:tr>
      <w:tr w14:paraId="414730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283FC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备用金</w:t>
            </w:r>
          </w:p>
        </w:tc>
        <w:tc>
          <w:tcPr>
            <w:tcW w:w="3213" w:type="dxa"/>
            <w:tcBorders>
              <w:top w:val="single" w:color="auto" w:sz="2" w:space="0"/>
              <w:left w:val="single" w:color="auto" w:sz="2" w:space="0"/>
              <w:bottom w:val="single" w:color="auto" w:sz="2" w:space="0"/>
              <w:right w:val="single" w:color="auto" w:sz="2" w:space="0"/>
            </w:tcBorders>
            <w:vAlign w:val="center"/>
          </w:tcPr>
          <w:p w14:paraId="22E7C0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814,324.98</w:t>
            </w:r>
          </w:p>
        </w:tc>
        <w:tc>
          <w:tcPr>
            <w:tcW w:w="3213" w:type="dxa"/>
            <w:tcBorders>
              <w:top w:val="single" w:color="auto" w:sz="2" w:space="0"/>
              <w:left w:val="single" w:color="auto" w:sz="2" w:space="0"/>
              <w:bottom w:val="single" w:color="auto" w:sz="2" w:space="0"/>
              <w:right w:val="single" w:color="auto" w:sz="2" w:space="0"/>
            </w:tcBorders>
            <w:vAlign w:val="center"/>
          </w:tcPr>
          <w:p w14:paraId="2747A1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456,743.38</w:t>
            </w:r>
          </w:p>
        </w:tc>
      </w:tr>
      <w:tr w14:paraId="57E01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D0B12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12E802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1,228,234.87</w:t>
            </w:r>
          </w:p>
        </w:tc>
        <w:tc>
          <w:tcPr>
            <w:tcW w:w="3213" w:type="dxa"/>
            <w:tcBorders>
              <w:top w:val="single" w:color="auto" w:sz="2" w:space="0"/>
              <w:left w:val="single" w:color="auto" w:sz="2" w:space="0"/>
              <w:bottom w:val="single" w:color="auto" w:sz="2" w:space="0"/>
              <w:right w:val="single" w:color="auto" w:sz="2" w:space="0"/>
            </w:tcBorders>
            <w:vAlign w:val="center"/>
          </w:tcPr>
          <w:p w14:paraId="70DB11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498,475.52</w:t>
            </w:r>
          </w:p>
        </w:tc>
      </w:tr>
      <w:tr w14:paraId="577FC9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BCBDFF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代扣代缴社保公积金</w:t>
            </w:r>
          </w:p>
        </w:tc>
        <w:tc>
          <w:tcPr>
            <w:tcW w:w="3213" w:type="dxa"/>
            <w:tcBorders>
              <w:top w:val="single" w:color="auto" w:sz="2" w:space="0"/>
              <w:left w:val="single" w:color="auto" w:sz="2" w:space="0"/>
              <w:bottom w:val="single" w:color="auto" w:sz="2" w:space="0"/>
              <w:right w:val="single" w:color="auto" w:sz="2" w:space="0"/>
            </w:tcBorders>
            <w:vAlign w:val="center"/>
          </w:tcPr>
          <w:p w14:paraId="27F02E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358,846.31</w:t>
            </w:r>
          </w:p>
        </w:tc>
        <w:tc>
          <w:tcPr>
            <w:tcW w:w="3213" w:type="dxa"/>
            <w:tcBorders>
              <w:top w:val="single" w:color="auto" w:sz="2" w:space="0"/>
              <w:left w:val="single" w:color="auto" w:sz="2" w:space="0"/>
              <w:bottom w:val="single" w:color="auto" w:sz="2" w:space="0"/>
              <w:right w:val="single" w:color="auto" w:sz="2" w:space="0"/>
            </w:tcBorders>
            <w:vAlign w:val="center"/>
          </w:tcPr>
          <w:p w14:paraId="4E5D87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254,264.09</w:t>
            </w:r>
          </w:p>
        </w:tc>
      </w:tr>
      <w:tr w14:paraId="7F4C9E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2EF19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4782E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4,811,915.76</w:t>
            </w:r>
          </w:p>
        </w:tc>
        <w:tc>
          <w:tcPr>
            <w:tcW w:w="3213" w:type="dxa"/>
            <w:tcBorders>
              <w:top w:val="single" w:color="auto" w:sz="2" w:space="0"/>
              <w:left w:val="single" w:color="auto" w:sz="2" w:space="0"/>
              <w:bottom w:val="single" w:color="auto" w:sz="2" w:space="0"/>
              <w:right w:val="single" w:color="auto" w:sz="2" w:space="0"/>
            </w:tcBorders>
            <w:vAlign w:val="center"/>
          </w:tcPr>
          <w:p w14:paraId="19762E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4,852,505.69</w:t>
            </w:r>
          </w:p>
        </w:tc>
      </w:tr>
    </w:tbl>
    <w:p w14:paraId="1003127B">
      <w:pPr>
        <w:keepNext/>
        <w:keepLines/>
        <w:spacing w:before="300" w:after="300" w:line="280" w:lineRule="exact"/>
        <w:outlineLvl w:val="4"/>
        <w:rPr>
          <w:rFonts w:ascii="Times New Roman" w:hAnsi="Times New Roman" w:cs="Times New Roman" w:eastAsiaTheme="majorEastAsia"/>
          <w:b/>
          <w:bCs/>
          <w:szCs w:val="21"/>
        </w:rPr>
      </w:pPr>
      <w:bookmarkStart w:id="247" w:name="_Toc989136"/>
      <w:r>
        <w:rPr>
          <w:rFonts w:ascii="Times New Roman" w:hAnsi="Times New Roman" w:cs="Times New Roman" w:eastAsiaTheme="majorEastAsia"/>
          <w:b/>
          <w:bCs/>
          <w:szCs w:val="21"/>
        </w:rPr>
        <w:t>2） 按账龄披露</w:t>
      </w:r>
      <w:bookmarkEnd w:id="247"/>
    </w:p>
    <w:p w14:paraId="02BDCF1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D8B4B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9BAA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B630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AF65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510A32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5328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2A5D2D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2,331,967.86</w:t>
            </w:r>
          </w:p>
        </w:tc>
        <w:tc>
          <w:tcPr>
            <w:tcW w:w="3213" w:type="dxa"/>
            <w:tcBorders>
              <w:top w:val="single" w:color="auto" w:sz="2" w:space="0"/>
              <w:left w:val="single" w:color="auto" w:sz="2" w:space="0"/>
              <w:bottom w:val="single" w:color="auto" w:sz="2" w:space="0"/>
              <w:right w:val="single" w:color="auto" w:sz="2" w:space="0"/>
            </w:tcBorders>
            <w:vAlign w:val="center"/>
          </w:tcPr>
          <w:p w14:paraId="774F53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1,398,605.18</w:t>
            </w:r>
          </w:p>
        </w:tc>
      </w:tr>
      <w:tr w14:paraId="485D46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0AE5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083706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353,659.97</w:t>
            </w:r>
          </w:p>
        </w:tc>
        <w:tc>
          <w:tcPr>
            <w:tcW w:w="3213" w:type="dxa"/>
            <w:tcBorders>
              <w:top w:val="single" w:color="auto" w:sz="2" w:space="0"/>
              <w:left w:val="single" w:color="auto" w:sz="2" w:space="0"/>
              <w:bottom w:val="single" w:color="auto" w:sz="2" w:space="0"/>
              <w:right w:val="single" w:color="auto" w:sz="2" w:space="0"/>
            </w:tcBorders>
            <w:vAlign w:val="center"/>
          </w:tcPr>
          <w:p w14:paraId="781C83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1,246,537.34</w:t>
            </w:r>
          </w:p>
        </w:tc>
      </w:tr>
      <w:tr w14:paraId="15A5CC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020D6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1DF68F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864,323.34</w:t>
            </w:r>
          </w:p>
        </w:tc>
        <w:tc>
          <w:tcPr>
            <w:tcW w:w="3213" w:type="dxa"/>
            <w:tcBorders>
              <w:top w:val="single" w:color="auto" w:sz="2" w:space="0"/>
              <w:left w:val="single" w:color="auto" w:sz="2" w:space="0"/>
              <w:bottom w:val="single" w:color="auto" w:sz="2" w:space="0"/>
              <w:right w:val="single" w:color="auto" w:sz="2" w:space="0"/>
            </w:tcBorders>
            <w:vAlign w:val="center"/>
          </w:tcPr>
          <w:p w14:paraId="15EB68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1,717,559.42</w:t>
            </w:r>
          </w:p>
        </w:tc>
      </w:tr>
      <w:tr w14:paraId="219F43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925AC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63AF96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1,261,964.59</w:t>
            </w:r>
          </w:p>
        </w:tc>
        <w:tc>
          <w:tcPr>
            <w:tcW w:w="3213" w:type="dxa"/>
            <w:tcBorders>
              <w:top w:val="single" w:color="auto" w:sz="2" w:space="0"/>
              <w:left w:val="single" w:color="auto" w:sz="2" w:space="0"/>
              <w:bottom w:val="single" w:color="auto" w:sz="2" w:space="0"/>
              <w:right w:val="single" w:color="auto" w:sz="2" w:space="0"/>
            </w:tcBorders>
            <w:vAlign w:val="center"/>
          </w:tcPr>
          <w:p w14:paraId="27EA72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489,803.75</w:t>
            </w:r>
          </w:p>
        </w:tc>
      </w:tr>
      <w:tr w14:paraId="401B4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251D8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56F2C2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905,673.02</w:t>
            </w:r>
          </w:p>
        </w:tc>
        <w:tc>
          <w:tcPr>
            <w:tcW w:w="3213" w:type="dxa"/>
            <w:tcBorders>
              <w:top w:val="single" w:color="auto" w:sz="2" w:space="0"/>
              <w:left w:val="single" w:color="auto" w:sz="2" w:space="0"/>
              <w:bottom w:val="single" w:color="auto" w:sz="2" w:space="0"/>
              <w:right w:val="single" w:color="auto" w:sz="2" w:space="0"/>
            </w:tcBorders>
            <w:vAlign w:val="center"/>
          </w:tcPr>
          <w:p w14:paraId="07CD69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251,186.86</w:t>
            </w:r>
          </w:p>
        </w:tc>
      </w:tr>
      <w:tr w14:paraId="536C26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E6EADC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398728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242,786.86</w:t>
            </w:r>
          </w:p>
        </w:tc>
        <w:tc>
          <w:tcPr>
            <w:tcW w:w="3213" w:type="dxa"/>
            <w:tcBorders>
              <w:top w:val="single" w:color="auto" w:sz="2" w:space="0"/>
              <w:left w:val="single" w:color="auto" w:sz="2" w:space="0"/>
              <w:bottom w:val="single" w:color="auto" w:sz="2" w:space="0"/>
              <w:right w:val="single" w:color="auto" w:sz="2" w:space="0"/>
            </w:tcBorders>
            <w:vAlign w:val="center"/>
          </w:tcPr>
          <w:p w14:paraId="23C99B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62,890.18</w:t>
            </w:r>
          </w:p>
        </w:tc>
      </w:tr>
      <w:tr w14:paraId="062DCA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F43529C">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739F78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113,504.71</w:t>
            </w:r>
          </w:p>
        </w:tc>
        <w:tc>
          <w:tcPr>
            <w:tcW w:w="3213" w:type="dxa"/>
            <w:tcBorders>
              <w:top w:val="single" w:color="auto" w:sz="2" w:space="0"/>
              <w:left w:val="single" w:color="auto" w:sz="2" w:space="0"/>
              <w:bottom w:val="single" w:color="auto" w:sz="2" w:space="0"/>
              <w:right w:val="single" w:color="auto" w:sz="2" w:space="0"/>
            </w:tcBorders>
            <w:vAlign w:val="center"/>
          </w:tcPr>
          <w:p w14:paraId="115114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175,726.71</w:t>
            </w:r>
          </w:p>
        </w:tc>
      </w:tr>
      <w:tr w14:paraId="69DBE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99A53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EE2E75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4,811,915.76</w:t>
            </w:r>
          </w:p>
        </w:tc>
        <w:tc>
          <w:tcPr>
            <w:tcW w:w="3213" w:type="dxa"/>
            <w:tcBorders>
              <w:top w:val="single" w:color="auto" w:sz="2" w:space="0"/>
              <w:left w:val="single" w:color="auto" w:sz="2" w:space="0"/>
              <w:bottom w:val="single" w:color="auto" w:sz="2" w:space="0"/>
              <w:right w:val="single" w:color="auto" w:sz="2" w:space="0"/>
            </w:tcBorders>
            <w:vAlign w:val="center"/>
          </w:tcPr>
          <w:p w14:paraId="38D898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4,852,505.69</w:t>
            </w:r>
          </w:p>
        </w:tc>
      </w:tr>
    </w:tbl>
    <w:p w14:paraId="0A55F782">
      <w:pPr>
        <w:keepNext/>
        <w:keepLines/>
        <w:spacing w:before="300" w:after="300" w:line="280" w:lineRule="exact"/>
        <w:outlineLvl w:val="4"/>
        <w:rPr>
          <w:rFonts w:ascii="Times New Roman" w:hAnsi="Times New Roman" w:cs="Times New Roman" w:eastAsiaTheme="majorEastAsia"/>
          <w:b/>
          <w:bCs/>
          <w:szCs w:val="21"/>
        </w:rPr>
      </w:pPr>
      <w:bookmarkStart w:id="248" w:name="_Toc989137"/>
      <w:r>
        <w:rPr>
          <w:rFonts w:ascii="Times New Roman" w:hAnsi="Times New Roman" w:cs="Times New Roman" w:eastAsiaTheme="majorEastAsia"/>
          <w:b/>
          <w:bCs/>
          <w:szCs w:val="21"/>
        </w:rPr>
        <w:t>3） 按坏账计提方法分类披露</w:t>
      </w:r>
      <w:bookmarkEnd w:id="248"/>
    </w:p>
    <w:p w14:paraId="268671D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28706DD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2D6B50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56E9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D3ABC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4E7C75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605AA0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9D3DEE">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AEA5FF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1124EA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2BB78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173267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A8983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FE2E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4631DB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F9985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448AB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7454F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5302C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4C5DA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3107D8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539A3D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3C7F4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0BE34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BD157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88EFAF8">
            <w:pPr>
              <w:rPr>
                <w:rFonts w:ascii="Times New Roman" w:hAnsi="Times New Roman" w:cs="Times New Roman" w:eastAsiaTheme="majorEastAsia"/>
              </w:rPr>
            </w:pPr>
          </w:p>
        </w:tc>
      </w:tr>
      <w:tr w14:paraId="0D0F43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358BE41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511242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F2DD5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53A4A6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4,811,915.76</w:t>
            </w:r>
          </w:p>
        </w:tc>
        <w:tc>
          <w:tcPr>
            <w:tcW w:w="876" w:type="dxa"/>
            <w:tcBorders>
              <w:top w:val="single" w:color="auto" w:sz="2" w:space="0"/>
              <w:left w:val="single" w:color="auto" w:sz="2" w:space="0"/>
              <w:bottom w:val="single" w:color="auto" w:sz="2" w:space="0"/>
              <w:right w:val="single" w:color="auto" w:sz="2" w:space="0"/>
            </w:tcBorders>
            <w:vAlign w:val="center"/>
          </w:tcPr>
          <w:p w14:paraId="37579D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A8511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c>
          <w:tcPr>
            <w:tcW w:w="876" w:type="dxa"/>
            <w:tcBorders>
              <w:top w:val="single" w:color="auto" w:sz="2" w:space="0"/>
              <w:left w:val="single" w:color="auto" w:sz="2" w:space="0"/>
              <w:bottom w:val="single" w:color="auto" w:sz="2" w:space="0"/>
              <w:right w:val="single" w:color="auto" w:sz="2" w:space="0"/>
            </w:tcBorders>
            <w:vAlign w:val="center"/>
          </w:tcPr>
          <w:p w14:paraId="57DE38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24.35%</w:t>
            </w:r>
          </w:p>
        </w:tc>
        <w:tc>
          <w:tcPr>
            <w:tcW w:w="876" w:type="dxa"/>
            <w:tcBorders>
              <w:top w:val="single" w:color="auto" w:sz="2" w:space="0"/>
              <w:left w:val="single" w:color="auto" w:sz="2" w:space="0"/>
              <w:bottom w:val="single" w:color="auto" w:sz="2" w:space="0"/>
              <w:right w:val="single" w:color="auto" w:sz="2" w:space="0"/>
            </w:tcBorders>
            <w:vAlign w:val="center"/>
          </w:tcPr>
          <w:p w14:paraId="4E542A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3,640,083.65</w:t>
            </w:r>
          </w:p>
        </w:tc>
        <w:tc>
          <w:tcPr>
            <w:tcW w:w="876" w:type="dxa"/>
            <w:tcBorders>
              <w:top w:val="single" w:color="auto" w:sz="2" w:space="0"/>
              <w:left w:val="single" w:color="auto" w:sz="2" w:space="0"/>
              <w:bottom w:val="single" w:color="auto" w:sz="2" w:space="0"/>
              <w:right w:val="single" w:color="auto" w:sz="2" w:space="0"/>
            </w:tcBorders>
            <w:vAlign w:val="center"/>
          </w:tcPr>
          <w:p w14:paraId="22B199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4,852,505.69</w:t>
            </w:r>
          </w:p>
        </w:tc>
        <w:tc>
          <w:tcPr>
            <w:tcW w:w="876" w:type="dxa"/>
            <w:tcBorders>
              <w:top w:val="single" w:color="auto" w:sz="2" w:space="0"/>
              <w:left w:val="single" w:color="auto" w:sz="2" w:space="0"/>
              <w:bottom w:val="single" w:color="auto" w:sz="2" w:space="0"/>
              <w:right w:val="single" w:color="auto" w:sz="2" w:space="0"/>
            </w:tcBorders>
            <w:vAlign w:val="center"/>
          </w:tcPr>
          <w:p w14:paraId="7C05DF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1366E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c>
          <w:tcPr>
            <w:tcW w:w="876" w:type="dxa"/>
            <w:tcBorders>
              <w:top w:val="single" w:color="auto" w:sz="2" w:space="0"/>
              <w:left w:val="single" w:color="auto" w:sz="2" w:space="0"/>
              <w:bottom w:val="single" w:color="auto" w:sz="2" w:space="0"/>
              <w:right w:val="single" w:color="auto" w:sz="2" w:space="0"/>
            </w:tcBorders>
            <w:vAlign w:val="center"/>
          </w:tcPr>
          <w:p w14:paraId="0629AC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21.87%</w:t>
            </w:r>
          </w:p>
        </w:tc>
        <w:tc>
          <w:tcPr>
            <w:tcW w:w="876" w:type="dxa"/>
            <w:tcBorders>
              <w:top w:val="single" w:color="auto" w:sz="2" w:space="0"/>
              <w:left w:val="single" w:color="auto" w:sz="2" w:space="0"/>
              <w:bottom w:val="single" w:color="auto" w:sz="2" w:space="0"/>
              <w:right w:val="single" w:color="auto" w:sz="2" w:space="0"/>
            </w:tcBorders>
            <w:vAlign w:val="center"/>
          </w:tcPr>
          <w:p w14:paraId="544D9C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3,791,021.59</w:t>
            </w:r>
          </w:p>
        </w:tc>
      </w:tr>
      <w:tr w14:paraId="4E73AC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11A967D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6FA0D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8EE008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4F9701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2,410,509.60</w:t>
            </w:r>
          </w:p>
        </w:tc>
        <w:tc>
          <w:tcPr>
            <w:tcW w:w="876" w:type="dxa"/>
            <w:tcBorders>
              <w:top w:val="single" w:color="auto" w:sz="2" w:space="0"/>
              <w:left w:val="single" w:color="auto" w:sz="2" w:space="0"/>
              <w:bottom w:val="single" w:color="auto" w:sz="2" w:space="0"/>
              <w:right w:val="single" w:color="auto" w:sz="2" w:space="0"/>
            </w:tcBorders>
            <w:vAlign w:val="center"/>
          </w:tcPr>
          <w:p w14:paraId="4CDD44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50.09%</w:t>
            </w:r>
          </w:p>
        </w:tc>
        <w:tc>
          <w:tcPr>
            <w:tcW w:w="876" w:type="dxa"/>
            <w:tcBorders>
              <w:top w:val="single" w:color="auto" w:sz="2" w:space="0"/>
              <w:left w:val="single" w:color="auto" w:sz="2" w:space="0"/>
              <w:bottom w:val="single" w:color="auto" w:sz="2" w:space="0"/>
              <w:right w:val="single" w:color="auto" w:sz="2" w:space="0"/>
            </w:tcBorders>
            <w:vAlign w:val="center"/>
          </w:tcPr>
          <w:p w14:paraId="0A8838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890,930.79</w:t>
            </w:r>
          </w:p>
        </w:tc>
        <w:tc>
          <w:tcPr>
            <w:tcW w:w="876" w:type="dxa"/>
            <w:tcBorders>
              <w:top w:val="single" w:color="auto" w:sz="2" w:space="0"/>
              <w:left w:val="single" w:color="auto" w:sz="2" w:space="0"/>
              <w:bottom w:val="single" w:color="auto" w:sz="2" w:space="0"/>
              <w:right w:val="single" w:color="auto" w:sz="2" w:space="0"/>
            </w:tcBorders>
            <w:vAlign w:val="center"/>
          </w:tcPr>
          <w:p w14:paraId="50AEE9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36.96%</w:t>
            </w:r>
          </w:p>
        </w:tc>
        <w:tc>
          <w:tcPr>
            <w:tcW w:w="876" w:type="dxa"/>
            <w:tcBorders>
              <w:top w:val="single" w:color="auto" w:sz="2" w:space="0"/>
              <w:left w:val="single" w:color="auto" w:sz="2" w:space="0"/>
              <w:bottom w:val="single" w:color="auto" w:sz="2" w:space="0"/>
              <w:right w:val="single" w:color="auto" w:sz="2" w:space="0"/>
            </w:tcBorders>
            <w:vAlign w:val="center"/>
          </w:tcPr>
          <w:p w14:paraId="569089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1,519,578.81</w:t>
            </w:r>
          </w:p>
        </w:tc>
        <w:tc>
          <w:tcPr>
            <w:tcW w:w="876" w:type="dxa"/>
            <w:tcBorders>
              <w:top w:val="single" w:color="auto" w:sz="2" w:space="0"/>
              <w:left w:val="single" w:color="auto" w:sz="2" w:space="0"/>
              <w:bottom w:val="single" w:color="auto" w:sz="2" w:space="0"/>
              <w:right w:val="single" w:color="auto" w:sz="2" w:space="0"/>
            </w:tcBorders>
            <w:vAlign w:val="center"/>
          </w:tcPr>
          <w:p w14:paraId="6806CC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3,643,022.70</w:t>
            </w:r>
          </w:p>
        </w:tc>
        <w:tc>
          <w:tcPr>
            <w:tcW w:w="876" w:type="dxa"/>
            <w:tcBorders>
              <w:top w:val="single" w:color="auto" w:sz="2" w:space="0"/>
              <w:left w:val="single" w:color="auto" w:sz="2" w:space="0"/>
              <w:bottom w:val="single" w:color="auto" w:sz="2" w:space="0"/>
              <w:right w:val="single" w:color="auto" w:sz="2" w:space="0"/>
            </w:tcBorders>
            <w:vAlign w:val="center"/>
          </w:tcPr>
          <w:p w14:paraId="78CA41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75.08%</w:t>
            </w:r>
          </w:p>
        </w:tc>
        <w:tc>
          <w:tcPr>
            <w:tcW w:w="876" w:type="dxa"/>
            <w:tcBorders>
              <w:top w:val="single" w:color="auto" w:sz="2" w:space="0"/>
              <w:left w:val="single" w:color="auto" w:sz="2" w:space="0"/>
              <w:bottom w:val="single" w:color="auto" w:sz="2" w:space="0"/>
              <w:right w:val="single" w:color="auto" w:sz="2" w:space="0"/>
            </w:tcBorders>
            <w:vAlign w:val="center"/>
          </w:tcPr>
          <w:p w14:paraId="11A0AC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923,033.84</w:t>
            </w:r>
          </w:p>
        </w:tc>
        <w:tc>
          <w:tcPr>
            <w:tcW w:w="876" w:type="dxa"/>
            <w:tcBorders>
              <w:top w:val="single" w:color="auto" w:sz="2" w:space="0"/>
              <w:left w:val="single" w:color="auto" w:sz="2" w:space="0"/>
              <w:bottom w:val="single" w:color="auto" w:sz="2" w:space="0"/>
              <w:right w:val="single" w:color="auto" w:sz="2" w:space="0"/>
            </w:tcBorders>
            <w:vAlign w:val="center"/>
          </w:tcPr>
          <w:p w14:paraId="473F7F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25.34%</w:t>
            </w:r>
          </w:p>
        </w:tc>
        <w:tc>
          <w:tcPr>
            <w:tcW w:w="876" w:type="dxa"/>
            <w:tcBorders>
              <w:top w:val="single" w:color="auto" w:sz="2" w:space="0"/>
              <w:left w:val="single" w:color="auto" w:sz="2" w:space="0"/>
              <w:bottom w:val="single" w:color="auto" w:sz="2" w:space="0"/>
              <w:right w:val="single" w:color="auto" w:sz="2" w:space="0"/>
            </w:tcBorders>
            <w:vAlign w:val="center"/>
          </w:tcPr>
          <w:p w14:paraId="7A4B2E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2,719,988.86</w:t>
            </w:r>
          </w:p>
        </w:tc>
      </w:tr>
      <w:tr w14:paraId="361C64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3AC92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2A22FA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1,173,171.29</w:t>
            </w:r>
          </w:p>
        </w:tc>
        <w:tc>
          <w:tcPr>
            <w:tcW w:w="876" w:type="dxa"/>
            <w:tcBorders>
              <w:top w:val="single" w:color="auto" w:sz="2" w:space="0"/>
              <w:left w:val="single" w:color="auto" w:sz="2" w:space="0"/>
              <w:bottom w:val="single" w:color="auto" w:sz="2" w:space="0"/>
              <w:right w:val="single" w:color="auto" w:sz="2" w:space="0"/>
            </w:tcBorders>
            <w:vAlign w:val="center"/>
          </w:tcPr>
          <w:p w14:paraId="3C2D52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24.38%</w:t>
            </w:r>
          </w:p>
        </w:tc>
        <w:tc>
          <w:tcPr>
            <w:tcW w:w="876" w:type="dxa"/>
            <w:tcBorders>
              <w:top w:val="single" w:color="auto" w:sz="2" w:space="0"/>
              <w:left w:val="single" w:color="auto" w:sz="2" w:space="0"/>
              <w:bottom w:val="single" w:color="auto" w:sz="2" w:space="0"/>
              <w:right w:val="single" w:color="auto" w:sz="2" w:space="0"/>
            </w:tcBorders>
            <w:vAlign w:val="center"/>
          </w:tcPr>
          <w:p w14:paraId="5C095D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96,403.04</w:t>
            </w:r>
          </w:p>
        </w:tc>
        <w:tc>
          <w:tcPr>
            <w:tcW w:w="876" w:type="dxa"/>
            <w:tcBorders>
              <w:top w:val="single" w:color="auto" w:sz="2" w:space="0"/>
              <w:left w:val="single" w:color="auto" w:sz="2" w:space="0"/>
              <w:bottom w:val="single" w:color="auto" w:sz="2" w:space="0"/>
              <w:right w:val="single" w:color="auto" w:sz="2" w:space="0"/>
            </w:tcBorders>
            <w:vAlign w:val="center"/>
          </w:tcPr>
          <w:p w14:paraId="66D563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8.22%</w:t>
            </w:r>
          </w:p>
        </w:tc>
        <w:tc>
          <w:tcPr>
            <w:tcW w:w="876" w:type="dxa"/>
            <w:tcBorders>
              <w:top w:val="single" w:color="auto" w:sz="2" w:space="0"/>
              <w:left w:val="single" w:color="auto" w:sz="2" w:space="0"/>
              <w:bottom w:val="single" w:color="auto" w:sz="2" w:space="0"/>
              <w:right w:val="single" w:color="auto" w:sz="2" w:space="0"/>
            </w:tcBorders>
            <w:vAlign w:val="center"/>
          </w:tcPr>
          <w:p w14:paraId="636DC3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1,076,768.25</w:t>
            </w:r>
          </w:p>
        </w:tc>
        <w:tc>
          <w:tcPr>
            <w:tcW w:w="876" w:type="dxa"/>
            <w:tcBorders>
              <w:top w:val="single" w:color="auto" w:sz="2" w:space="0"/>
              <w:left w:val="single" w:color="auto" w:sz="2" w:space="0"/>
              <w:bottom w:val="single" w:color="auto" w:sz="2" w:space="0"/>
              <w:right w:val="single" w:color="auto" w:sz="2" w:space="0"/>
            </w:tcBorders>
            <w:vAlign w:val="center"/>
          </w:tcPr>
          <w:p w14:paraId="1E020B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711,007.47</w:t>
            </w:r>
          </w:p>
        </w:tc>
        <w:tc>
          <w:tcPr>
            <w:tcW w:w="876" w:type="dxa"/>
            <w:tcBorders>
              <w:top w:val="single" w:color="auto" w:sz="2" w:space="0"/>
              <w:left w:val="single" w:color="auto" w:sz="2" w:space="0"/>
              <w:bottom w:val="single" w:color="auto" w:sz="2" w:space="0"/>
              <w:right w:val="single" w:color="auto" w:sz="2" w:space="0"/>
            </w:tcBorders>
            <w:vAlign w:val="center"/>
          </w:tcPr>
          <w:p w14:paraId="29D9B2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14.65%</w:t>
            </w:r>
          </w:p>
        </w:tc>
        <w:tc>
          <w:tcPr>
            <w:tcW w:w="876" w:type="dxa"/>
            <w:tcBorders>
              <w:top w:val="single" w:color="auto" w:sz="2" w:space="0"/>
              <w:left w:val="single" w:color="auto" w:sz="2" w:space="0"/>
              <w:bottom w:val="single" w:color="auto" w:sz="2" w:space="0"/>
              <w:right w:val="single" w:color="auto" w:sz="2" w:space="0"/>
            </w:tcBorders>
            <w:vAlign w:val="center"/>
          </w:tcPr>
          <w:p w14:paraId="3A0612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86,554.60</w:t>
            </w:r>
          </w:p>
        </w:tc>
        <w:tc>
          <w:tcPr>
            <w:tcW w:w="876" w:type="dxa"/>
            <w:tcBorders>
              <w:top w:val="single" w:color="auto" w:sz="2" w:space="0"/>
              <w:left w:val="single" w:color="auto" w:sz="2" w:space="0"/>
              <w:bottom w:val="single" w:color="auto" w:sz="2" w:space="0"/>
              <w:right w:val="single" w:color="auto" w:sz="2" w:space="0"/>
            </w:tcBorders>
            <w:vAlign w:val="center"/>
          </w:tcPr>
          <w:p w14:paraId="03B9B0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12.17%</w:t>
            </w:r>
          </w:p>
        </w:tc>
        <w:tc>
          <w:tcPr>
            <w:tcW w:w="876" w:type="dxa"/>
            <w:tcBorders>
              <w:top w:val="single" w:color="auto" w:sz="2" w:space="0"/>
              <w:left w:val="single" w:color="auto" w:sz="2" w:space="0"/>
              <w:bottom w:val="single" w:color="auto" w:sz="2" w:space="0"/>
              <w:right w:val="single" w:color="auto" w:sz="2" w:space="0"/>
            </w:tcBorders>
            <w:vAlign w:val="center"/>
          </w:tcPr>
          <w:p w14:paraId="4BF91B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624,452.87</w:t>
            </w:r>
          </w:p>
        </w:tc>
      </w:tr>
      <w:tr w14:paraId="7674CB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01FDF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组合3</w:t>
            </w:r>
          </w:p>
        </w:tc>
        <w:tc>
          <w:tcPr>
            <w:tcW w:w="876" w:type="dxa"/>
            <w:tcBorders>
              <w:top w:val="single" w:color="auto" w:sz="2" w:space="0"/>
              <w:left w:val="single" w:color="auto" w:sz="2" w:space="0"/>
              <w:bottom w:val="single" w:color="auto" w:sz="2" w:space="0"/>
              <w:right w:val="single" w:color="auto" w:sz="2" w:space="0"/>
            </w:tcBorders>
            <w:vAlign w:val="center"/>
          </w:tcPr>
          <w:p w14:paraId="5DB0BD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1,228,234.87</w:t>
            </w:r>
          </w:p>
        </w:tc>
        <w:tc>
          <w:tcPr>
            <w:tcW w:w="876" w:type="dxa"/>
            <w:tcBorders>
              <w:top w:val="single" w:color="auto" w:sz="2" w:space="0"/>
              <w:left w:val="single" w:color="auto" w:sz="2" w:space="0"/>
              <w:bottom w:val="single" w:color="auto" w:sz="2" w:space="0"/>
              <w:right w:val="single" w:color="auto" w:sz="2" w:space="0"/>
            </w:tcBorders>
            <w:vAlign w:val="center"/>
          </w:tcPr>
          <w:p w14:paraId="6716AC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25.53%</w:t>
            </w:r>
          </w:p>
        </w:tc>
        <w:tc>
          <w:tcPr>
            <w:tcW w:w="876" w:type="dxa"/>
            <w:tcBorders>
              <w:top w:val="single" w:color="auto" w:sz="2" w:space="0"/>
              <w:left w:val="single" w:color="auto" w:sz="2" w:space="0"/>
              <w:bottom w:val="single" w:color="auto" w:sz="2" w:space="0"/>
              <w:right w:val="single" w:color="auto" w:sz="2" w:space="0"/>
            </w:tcBorders>
            <w:vAlign w:val="center"/>
          </w:tcPr>
          <w:p w14:paraId="068223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184,498.28</w:t>
            </w:r>
          </w:p>
        </w:tc>
        <w:tc>
          <w:tcPr>
            <w:tcW w:w="876" w:type="dxa"/>
            <w:tcBorders>
              <w:top w:val="single" w:color="auto" w:sz="2" w:space="0"/>
              <w:left w:val="single" w:color="auto" w:sz="2" w:space="0"/>
              <w:bottom w:val="single" w:color="auto" w:sz="2" w:space="0"/>
              <w:right w:val="single" w:color="auto" w:sz="2" w:space="0"/>
            </w:tcBorders>
            <w:vAlign w:val="center"/>
          </w:tcPr>
          <w:p w14:paraId="120FB2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15.02%</w:t>
            </w:r>
          </w:p>
        </w:tc>
        <w:tc>
          <w:tcPr>
            <w:tcW w:w="876" w:type="dxa"/>
            <w:tcBorders>
              <w:top w:val="single" w:color="auto" w:sz="2" w:space="0"/>
              <w:left w:val="single" w:color="auto" w:sz="2" w:space="0"/>
              <w:bottom w:val="single" w:color="auto" w:sz="2" w:space="0"/>
              <w:right w:val="single" w:color="auto" w:sz="2" w:space="0"/>
            </w:tcBorders>
            <w:vAlign w:val="center"/>
          </w:tcPr>
          <w:p w14:paraId="0CAF39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1,043,736.59</w:t>
            </w:r>
          </w:p>
        </w:tc>
        <w:tc>
          <w:tcPr>
            <w:tcW w:w="876" w:type="dxa"/>
            <w:tcBorders>
              <w:top w:val="single" w:color="auto" w:sz="2" w:space="0"/>
              <w:left w:val="single" w:color="auto" w:sz="2" w:space="0"/>
              <w:bottom w:val="single" w:color="auto" w:sz="2" w:space="0"/>
              <w:right w:val="single" w:color="auto" w:sz="2" w:space="0"/>
            </w:tcBorders>
            <w:vAlign w:val="center"/>
          </w:tcPr>
          <w:p w14:paraId="2FB12E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498,475.52</w:t>
            </w:r>
          </w:p>
        </w:tc>
        <w:tc>
          <w:tcPr>
            <w:tcW w:w="876" w:type="dxa"/>
            <w:tcBorders>
              <w:top w:val="single" w:color="auto" w:sz="2" w:space="0"/>
              <w:left w:val="single" w:color="auto" w:sz="2" w:space="0"/>
              <w:bottom w:val="single" w:color="auto" w:sz="2" w:space="0"/>
              <w:right w:val="single" w:color="auto" w:sz="2" w:space="0"/>
            </w:tcBorders>
            <w:vAlign w:val="center"/>
          </w:tcPr>
          <w:p w14:paraId="439980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10.27%</w:t>
            </w:r>
          </w:p>
        </w:tc>
        <w:tc>
          <w:tcPr>
            <w:tcW w:w="876" w:type="dxa"/>
            <w:tcBorders>
              <w:top w:val="single" w:color="auto" w:sz="2" w:space="0"/>
              <w:left w:val="single" w:color="auto" w:sz="2" w:space="0"/>
              <w:bottom w:val="single" w:color="auto" w:sz="2" w:space="0"/>
              <w:right w:val="single" w:color="auto" w:sz="2" w:space="0"/>
            </w:tcBorders>
            <w:vAlign w:val="center"/>
          </w:tcPr>
          <w:p w14:paraId="64E3D1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51,895.66</w:t>
            </w:r>
          </w:p>
        </w:tc>
        <w:tc>
          <w:tcPr>
            <w:tcW w:w="876" w:type="dxa"/>
            <w:tcBorders>
              <w:top w:val="single" w:color="auto" w:sz="2" w:space="0"/>
              <w:left w:val="single" w:color="auto" w:sz="2" w:space="0"/>
              <w:bottom w:val="single" w:color="auto" w:sz="2" w:space="0"/>
              <w:right w:val="single" w:color="auto" w:sz="2" w:space="0"/>
            </w:tcBorders>
            <w:vAlign w:val="center"/>
          </w:tcPr>
          <w:p w14:paraId="29009B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10.41%</w:t>
            </w:r>
          </w:p>
        </w:tc>
        <w:tc>
          <w:tcPr>
            <w:tcW w:w="876" w:type="dxa"/>
            <w:tcBorders>
              <w:top w:val="single" w:color="auto" w:sz="2" w:space="0"/>
              <w:left w:val="single" w:color="auto" w:sz="2" w:space="0"/>
              <w:bottom w:val="single" w:color="auto" w:sz="2" w:space="0"/>
              <w:right w:val="single" w:color="auto" w:sz="2" w:space="0"/>
            </w:tcBorders>
            <w:vAlign w:val="center"/>
          </w:tcPr>
          <w:p w14:paraId="6249B3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446,579.86</w:t>
            </w:r>
          </w:p>
        </w:tc>
      </w:tr>
      <w:tr w14:paraId="04DD67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D5E605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45BE95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4,811,915.76</w:t>
            </w:r>
          </w:p>
        </w:tc>
        <w:tc>
          <w:tcPr>
            <w:tcW w:w="876" w:type="dxa"/>
            <w:tcBorders>
              <w:top w:val="single" w:color="auto" w:sz="2" w:space="0"/>
              <w:left w:val="single" w:color="auto" w:sz="2" w:space="0"/>
              <w:bottom w:val="single" w:color="auto" w:sz="2" w:space="0"/>
              <w:right w:val="single" w:color="auto" w:sz="2" w:space="0"/>
            </w:tcBorders>
            <w:vAlign w:val="center"/>
          </w:tcPr>
          <w:p w14:paraId="0002DA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2CB7B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c>
          <w:tcPr>
            <w:tcW w:w="876" w:type="dxa"/>
            <w:tcBorders>
              <w:top w:val="single" w:color="auto" w:sz="2" w:space="0"/>
              <w:left w:val="single" w:color="auto" w:sz="2" w:space="0"/>
              <w:bottom w:val="single" w:color="auto" w:sz="2" w:space="0"/>
              <w:right w:val="single" w:color="auto" w:sz="2" w:space="0"/>
            </w:tcBorders>
            <w:vAlign w:val="center"/>
          </w:tcPr>
          <w:p w14:paraId="16C2FC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24.35%</w:t>
            </w:r>
          </w:p>
        </w:tc>
        <w:tc>
          <w:tcPr>
            <w:tcW w:w="876" w:type="dxa"/>
            <w:tcBorders>
              <w:top w:val="single" w:color="auto" w:sz="2" w:space="0"/>
              <w:left w:val="single" w:color="auto" w:sz="2" w:space="0"/>
              <w:bottom w:val="single" w:color="auto" w:sz="2" w:space="0"/>
              <w:right w:val="single" w:color="auto" w:sz="2" w:space="0"/>
            </w:tcBorders>
            <w:vAlign w:val="center"/>
          </w:tcPr>
          <w:p w14:paraId="2BB011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3,640,083.65</w:t>
            </w:r>
          </w:p>
        </w:tc>
        <w:tc>
          <w:tcPr>
            <w:tcW w:w="876" w:type="dxa"/>
            <w:tcBorders>
              <w:top w:val="single" w:color="auto" w:sz="2" w:space="0"/>
              <w:left w:val="single" w:color="auto" w:sz="2" w:space="0"/>
              <w:bottom w:val="single" w:color="auto" w:sz="2" w:space="0"/>
              <w:right w:val="single" w:color="auto" w:sz="2" w:space="0"/>
            </w:tcBorders>
            <w:vAlign w:val="center"/>
          </w:tcPr>
          <w:p w14:paraId="7E879B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4,852,505.69</w:t>
            </w:r>
          </w:p>
        </w:tc>
        <w:tc>
          <w:tcPr>
            <w:tcW w:w="876" w:type="dxa"/>
            <w:tcBorders>
              <w:top w:val="single" w:color="auto" w:sz="2" w:space="0"/>
              <w:left w:val="single" w:color="auto" w:sz="2" w:space="0"/>
              <w:bottom w:val="single" w:color="auto" w:sz="2" w:space="0"/>
              <w:right w:val="single" w:color="auto" w:sz="2" w:space="0"/>
            </w:tcBorders>
            <w:vAlign w:val="center"/>
          </w:tcPr>
          <w:p w14:paraId="5C16B0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0139C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c>
          <w:tcPr>
            <w:tcW w:w="876" w:type="dxa"/>
            <w:tcBorders>
              <w:top w:val="single" w:color="auto" w:sz="2" w:space="0"/>
              <w:left w:val="single" w:color="auto" w:sz="2" w:space="0"/>
              <w:bottom w:val="single" w:color="auto" w:sz="2" w:space="0"/>
              <w:right w:val="single" w:color="auto" w:sz="2" w:space="0"/>
            </w:tcBorders>
            <w:vAlign w:val="center"/>
          </w:tcPr>
          <w:p w14:paraId="1450A1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21.87%</w:t>
            </w:r>
          </w:p>
        </w:tc>
        <w:tc>
          <w:tcPr>
            <w:tcW w:w="876" w:type="dxa"/>
            <w:tcBorders>
              <w:top w:val="single" w:color="auto" w:sz="2" w:space="0"/>
              <w:left w:val="single" w:color="auto" w:sz="2" w:space="0"/>
              <w:bottom w:val="single" w:color="auto" w:sz="2" w:space="0"/>
              <w:right w:val="single" w:color="auto" w:sz="2" w:space="0"/>
            </w:tcBorders>
            <w:vAlign w:val="center"/>
          </w:tcPr>
          <w:p w14:paraId="348AD3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3,791,021.59</w:t>
            </w:r>
          </w:p>
        </w:tc>
      </w:tr>
    </w:tbl>
    <w:p w14:paraId="24ACEB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按预期信用损失一般模型计提坏账准备：</w:t>
      </w:r>
    </w:p>
    <w:p w14:paraId="375CED7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D7FD8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230A0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62EDF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A6B5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140F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F97DB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7C5497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A1A8D2">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1FBE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92CF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8EED9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06931DA">
            <w:pPr>
              <w:rPr>
                <w:rFonts w:ascii="Times New Roman" w:hAnsi="Times New Roman" w:cs="Times New Roman" w:eastAsiaTheme="majorEastAsia"/>
              </w:rPr>
            </w:pPr>
          </w:p>
        </w:tc>
      </w:tr>
      <w:tr w14:paraId="3061CA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2811B6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6A3959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c>
          <w:tcPr>
            <w:tcW w:w="1928" w:type="dxa"/>
            <w:tcBorders>
              <w:top w:val="single" w:color="auto" w:sz="2" w:space="0"/>
              <w:left w:val="single" w:color="auto" w:sz="2" w:space="0"/>
              <w:bottom w:val="single" w:color="auto" w:sz="2" w:space="0"/>
              <w:right w:val="single" w:color="auto" w:sz="2" w:space="0"/>
            </w:tcBorders>
            <w:vAlign w:val="center"/>
          </w:tcPr>
          <w:p w14:paraId="3C6295F1">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16B32D2">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079DE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r>
      <w:tr w14:paraId="042BC8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28FEE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38F1A1">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D90EE7D">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D22FD1">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8DADEA">
            <w:pPr>
              <w:rPr>
                <w:rFonts w:ascii="Times New Roman" w:hAnsi="Times New Roman" w:cs="Times New Roman" w:eastAsiaTheme="majorEastAsia"/>
              </w:rPr>
            </w:pPr>
          </w:p>
        </w:tc>
      </w:tr>
      <w:tr w14:paraId="25BE6D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2C5876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4A886D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96,673.85</w:t>
            </w:r>
          </w:p>
        </w:tc>
        <w:tc>
          <w:tcPr>
            <w:tcW w:w="1928" w:type="dxa"/>
            <w:tcBorders>
              <w:top w:val="single" w:color="auto" w:sz="2" w:space="0"/>
              <w:left w:val="single" w:color="auto" w:sz="2" w:space="0"/>
              <w:bottom w:val="single" w:color="auto" w:sz="2" w:space="0"/>
              <w:right w:val="single" w:color="auto" w:sz="2" w:space="0"/>
            </w:tcBorders>
            <w:vAlign w:val="center"/>
          </w:tcPr>
          <w:p w14:paraId="0B4F937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355A1E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FCE1B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96,673.85</w:t>
            </w:r>
          </w:p>
        </w:tc>
      </w:tr>
      <w:tr w14:paraId="5D8E57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E084BB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其他变动</w:t>
            </w:r>
          </w:p>
        </w:tc>
        <w:tc>
          <w:tcPr>
            <w:tcW w:w="1928" w:type="dxa"/>
            <w:tcBorders>
              <w:top w:val="single" w:color="auto" w:sz="2" w:space="0"/>
              <w:left w:val="single" w:color="auto" w:sz="2" w:space="0"/>
              <w:bottom w:val="single" w:color="auto" w:sz="2" w:space="0"/>
              <w:right w:val="single" w:color="auto" w:sz="2" w:space="0"/>
            </w:tcBorders>
            <w:vAlign w:val="center"/>
          </w:tcPr>
          <w:p w14:paraId="1B593B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13,674.16</w:t>
            </w:r>
          </w:p>
        </w:tc>
        <w:tc>
          <w:tcPr>
            <w:tcW w:w="1928" w:type="dxa"/>
            <w:tcBorders>
              <w:top w:val="single" w:color="auto" w:sz="2" w:space="0"/>
              <w:left w:val="single" w:color="auto" w:sz="2" w:space="0"/>
              <w:bottom w:val="single" w:color="auto" w:sz="2" w:space="0"/>
              <w:right w:val="single" w:color="auto" w:sz="2" w:space="0"/>
            </w:tcBorders>
            <w:vAlign w:val="center"/>
          </w:tcPr>
          <w:p w14:paraId="40C314F7">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DD854EC">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CADDB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13,674.16</w:t>
            </w:r>
          </w:p>
        </w:tc>
      </w:tr>
      <w:tr w14:paraId="45E823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6BE69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2024年12月31日余额</w:t>
            </w:r>
          </w:p>
        </w:tc>
        <w:tc>
          <w:tcPr>
            <w:tcW w:w="1928" w:type="dxa"/>
            <w:tcBorders>
              <w:top w:val="single" w:color="auto" w:sz="2" w:space="0"/>
              <w:left w:val="single" w:color="auto" w:sz="2" w:space="0"/>
              <w:bottom w:val="single" w:color="auto" w:sz="2" w:space="0"/>
              <w:right w:val="single" w:color="auto" w:sz="2" w:space="0"/>
            </w:tcBorders>
            <w:vAlign w:val="center"/>
          </w:tcPr>
          <w:p w14:paraId="090DC1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c>
          <w:tcPr>
            <w:tcW w:w="1928" w:type="dxa"/>
            <w:tcBorders>
              <w:top w:val="single" w:color="auto" w:sz="2" w:space="0"/>
              <w:left w:val="single" w:color="auto" w:sz="2" w:space="0"/>
              <w:bottom w:val="single" w:color="auto" w:sz="2" w:space="0"/>
              <w:right w:val="single" w:color="auto" w:sz="2" w:space="0"/>
            </w:tcBorders>
            <w:vAlign w:val="center"/>
          </w:tcPr>
          <w:p w14:paraId="4C47ECD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2C488C6">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572A4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r>
    </w:tbl>
    <w:p w14:paraId="1E2E7E2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各阶段划分依据和坏账准备计提比例</w:t>
      </w:r>
    </w:p>
    <w:p w14:paraId="01F79148">
      <w:pPr>
        <w:rPr>
          <w:rFonts w:ascii="Times New Roman" w:hAnsi="Times New Roman" w:cs="Times New Roman" w:eastAsiaTheme="majorEastAsia"/>
          <w:sz w:val="18"/>
          <w:szCs w:val="18"/>
        </w:rPr>
      </w:pPr>
    </w:p>
    <w:p w14:paraId="3F724F9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损失准备本期变动金额重大的账面余额变动情况</w:t>
      </w:r>
    </w:p>
    <w:p w14:paraId="275B870D">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55119FE">
      <w:pPr>
        <w:keepNext/>
        <w:keepLines/>
        <w:spacing w:before="300" w:after="300" w:line="280" w:lineRule="exact"/>
        <w:outlineLvl w:val="4"/>
        <w:rPr>
          <w:rFonts w:ascii="Times New Roman" w:hAnsi="Times New Roman" w:cs="Times New Roman" w:eastAsiaTheme="majorEastAsia"/>
          <w:b/>
          <w:bCs/>
          <w:szCs w:val="21"/>
        </w:rPr>
      </w:pPr>
      <w:bookmarkStart w:id="249" w:name="_Toc989138"/>
      <w:r>
        <w:rPr>
          <w:rFonts w:ascii="Times New Roman" w:hAnsi="Times New Roman" w:cs="Times New Roman" w:eastAsiaTheme="majorEastAsia"/>
          <w:b/>
          <w:bCs/>
          <w:szCs w:val="21"/>
        </w:rPr>
        <w:t>4） 本期计提、收回或转回的坏账准备情况</w:t>
      </w:r>
      <w:bookmarkEnd w:id="249"/>
    </w:p>
    <w:p w14:paraId="3030505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本期计提坏账准备情况：</w:t>
      </w:r>
    </w:p>
    <w:p w14:paraId="6809BB95">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5A9A6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4D32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E6B9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1FB70A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A8F03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64F868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9EE09E">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4821C8">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43EA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C1F2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020EB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E3D92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1F7695B">
            <w:pPr>
              <w:rPr>
                <w:rFonts w:ascii="Times New Roman" w:hAnsi="Times New Roman" w:cs="Times New Roman" w:eastAsiaTheme="majorEastAsia"/>
              </w:rPr>
            </w:pPr>
          </w:p>
        </w:tc>
      </w:tr>
      <w:tr w14:paraId="112E02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5AA69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账龄组合</w:t>
            </w:r>
          </w:p>
        </w:tc>
        <w:tc>
          <w:tcPr>
            <w:tcW w:w="1377" w:type="dxa"/>
            <w:tcBorders>
              <w:top w:val="single" w:color="auto" w:sz="2" w:space="0"/>
              <w:left w:val="single" w:color="auto" w:sz="2" w:space="0"/>
              <w:bottom w:val="single" w:color="auto" w:sz="2" w:space="0"/>
              <w:right w:val="single" w:color="auto" w:sz="2" w:space="0"/>
            </w:tcBorders>
            <w:vAlign w:val="center"/>
          </w:tcPr>
          <w:p w14:paraId="10D40C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c>
          <w:tcPr>
            <w:tcW w:w="1377" w:type="dxa"/>
            <w:tcBorders>
              <w:top w:val="single" w:color="auto" w:sz="2" w:space="0"/>
              <w:left w:val="single" w:color="auto" w:sz="2" w:space="0"/>
              <w:bottom w:val="single" w:color="auto" w:sz="2" w:space="0"/>
              <w:right w:val="single" w:color="auto" w:sz="2" w:space="0"/>
            </w:tcBorders>
            <w:vAlign w:val="center"/>
          </w:tcPr>
          <w:p w14:paraId="724DDB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96,673.85</w:t>
            </w:r>
          </w:p>
        </w:tc>
        <w:tc>
          <w:tcPr>
            <w:tcW w:w="1377" w:type="dxa"/>
            <w:tcBorders>
              <w:top w:val="single" w:color="auto" w:sz="2" w:space="0"/>
              <w:left w:val="single" w:color="auto" w:sz="2" w:space="0"/>
              <w:bottom w:val="single" w:color="auto" w:sz="2" w:space="0"/>
              <w:right w:val="single" w:color="auto" w:sz="2" w:space="0"/>
            </w:tcBorders>
            <w:vAlign w:val="center"/>
          </w:tcPr>
          <w:p w14:paraId="1A3151B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379C69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36EC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-13,674.16</w:t>
            </w:r>
          </w:p>
        </w:tc>
        <w:tc>
          <w:tcPr>
            <w:tcW w:w="1377" w:type="dxa"/>
            <w:tcBorders>
              <w:top w:val="single" w:color="auto" w:sz="2" w:space="0"/>
              <w:left w:val="single" w:color="auto" w:sz="2" w:space="0"/>
              <w:bottom w:val="single" w:color="auto" w:sz="2" w:space="0"/>
              <w:right w:val="single" w:color="auto" w:sz="2" w:space="0"/>
            </w:tcBorders>
            <w:vAlign w:val="center"/>
          </w:tcPr>
          <w:p w14:paraId="533C97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r>
      <w:tr w14:paraId="1F4311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3A1A17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779671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1,061,484.10</w:t>
            </w:r>
          </w:p>
        </w:tc>
        <w:tc>
          <w:tcPr>
            <w:tcW w:w="1377" w:type="dxa"/>
            <w:tcBorders>
              <w:top w:val="single" w:color="auto" w:sz="2" w:space="0"/>
              <w:left w:val="single" w:color="auto" w:sz="2" w:space="0"/>
              <w:bottom w:val="single" w:color="auto" w:sz="2" w:space="0"/>
              <w:right w:val="single" w:color="auto" w:sz="2" w:space="0"/>
            </w:tcBorders>
            <w:vAlign w:val="center"/>
          </w:tcPr>
          <w:p w14:paraId="03D6EA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96,673.85</w:t>
            </w:r>
          </w:p>
        </w:tc>
        <w:tc>
          <w:tcPr>
            <w:tcW w:w="1377" w:type="dxa"/>
            <w:tcBorders>
              <w:top w:val="single" w:color="auto" w:sz="2" w:space="0"/>
              <w:left w:val="single" w:color="auto" w:sz="2" w:space="0"/>
              <w:bottom w:val="single" w:color="auto" w:sz="2" w:space="0"/>
              <w:right w:val="single" w:color="auto" w:sz="2" w:space="0"/>
            </w:tcBorders>
            <w:vAlign w:val="center"/>
          </w:tcPr>
          <w:p w14:paraId="4A764FD3">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9A6ED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BCBE8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-13,674.16</w:t>
            </w:r>
          </w:p>
        </w:tc>
        <w:tc>
          <w:tcPr>
            <w:tcW w:w="1377" w:type="dxa"/>
            <w:tcBorders>
              <w:top w:val="single" w:color="auto" w:sz="2" w:space="0"/>
              <w:left w:val="single" w:color="auto" w:sz="2" w:space="0"/>
              <w:bottom w:val="single" w:color="auto" w:sz="2" w:space="0"/>
              <w:right w:val="single" w:color="auto" w:sz="2" w:space="0"/>
            </w:tcBorders>
            <w:vAlign w:val="center"/>
          </w:tcPr>
          <w:p w14:paraId="647465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1,171,832.11</w:t>
            </w:r>
          </w:p>
        </w:tc>
      </w:tr>
    </w:tbl>
    <w:p w14:paraId="4EF1DE4F">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其中本期坏账准备转回或收回金额重要的：</w:t>
      </w:r>
      <w:r>
        <w:rPr>
          <w:rFonts w:hint="eastAsia" w:ascii="Times New Roman" w:hAnsi="Times New Roman" w:cs="Times New Roman" w:eastAsiaTheme="majorEastAsia"/>
          <w:szCs w:val="21"/>
        </w:rPr>
        <w:t>无。</w:t>
      </w:r>
    </w:p>
    <w:p w14:paraId="13ADB71A">
      <w:pPr>
        <w:keepNext/>
        <w:keepLines/>
        <w:spacing w:before="300" w:after="300" w:line="280" w:lineRule="exact"/>
        <w:outlineLvl w:val="4"/>
        <w:rPr>
          <w:rFonts w:ascii="Times New Roman" w:hAnsi="Times New Roman" w:cs="Times New Roman" w:eastAsiaTheme="majorEastAsia"/>
          <w:b/>
          <w:bCs/>
          <w:szCs w:val="21"/>
        </w:rPr>
      </w:pPr>
      <w:bookmarkStart w:id="250" w:name="_Toc989139"/>
      <w:r>
        <w:rPr>
          <w:rFonts w:ascii="Times New Roman" w:hAnsi="Times New Roman" w:cs="Times New Roman" w:eastAsiaTheme="majorEastAsia"/>
          <w:b/>
          <w:bCs/>
          <w:szCs w:val="21"/>
        </w:rPr>
        <w:t>5） 本期实际核销的其他应收款情况</w:t>
      </w:r>
      <w:bookmarkEnd w:id="250"/>
    </w:p>
    <w:p w14:paraId="6F52DF8B">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其他应收款核销说明：本期无实际核销的其他应收款。</w:t>
      </w:r>
    </w:p>
    <w:p w14:paraId="30099895">
      <w:pPr>
        <w:keepNext/>
        <w:keepLines/>
        <w:spacing w:before="300" w:after="300" w:line="280" w:lineRule="exact"/>
        <w:outlineLvl w:val="4"/>
        <w:rPr>
          <w:rFonts w:ascii="Times New Roman" w:hAnsi="Times New Roman" w:cs="Times New Roman" w:eastAsiaTheme="majorEastAsia"/>
          <w:b/>
          <w:bCs/>
          <w:szCs w:val="21"/>
        </w:rPr>
      </w:pPr>
      <w:bookmarkStart w:id="251" w:name="_Toc989140"/>
      <w:r>
        <w:rPr>
          <w:rFonts w:ascii="Times New Roman" w:hAnsi="Times New Roman" w:cs="Times New Roman" w:eastAsiaTheme="majorEastAsia"/>
          <w:b/>
          <w:bCs/>
          <w:szCs w:val="21"/>
        </w:rPr>
        <w:t>6） 按欠款方归集的期末余额前五名的其他应收款情况</w:t>
      </w:r>
      <w:bookmarkEnd w:id="251"/>
    </w:p>
    <w:p w14:paraId="1FC7EBC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7E98A6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8A7BDF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6FDB4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6B352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5BA57C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104B25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占其他应收款期末余额合计数的比例</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62EFD2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坏账准备期末余额</w:t>
            </w:r>
          </w:p>
        </w:tc>
      </w:tr>
      <w:tr w14:paraId="55F064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07745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汕头市海逸投资（集团）有限公司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19B4E9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1606" w:type="dxa"/>
            <w:tcBorders>
              <w:top w:val="single" w:color="auto" w:sz="2" w:space="0"/>
              <w:left w:val="single" w:color="auto" w:sz="2" w:space="0"/>
              <w:bottom w:val="single" w:color="auto" w:sz="2" w:space="0"/>
              <w:right w:val="single" w:color="auto" w:sz="2" w:space="0"/>
            </w:tcBorders>
            <w:vAlign w:val="center"/>
          </w:tcPr>
          <w:p w14:paraId="032503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437,993.40</w:t>
            </w:r>
          </w:p>
        </w:tc>
        <w:tc>
          <w:tcPr>
            <w:tcW w:w="1607" w:type="dxa"/>
            <w:tcBorders>
              <w:top w:val="single" w:color="auto" w:sz="2" w:space="0"/>
              <w:left w:val="single" w:color="auto" w:sz="2" w:space="0"/>
              <w:bottom w:val="single" w:color="auto" w:sz="2" w:space="0"/>
              <w:right w:val="single" w:color="auto" w:sz="2" w:space="0"/>
            </w:tcBorders>
            <w:vAlign w:val="center"/>
          </w:tcPr>
          <w:p w14:paraId="29A351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1607" w:type="dxa"/>
            <w:tcBorders>
              <w:top w:val="single" w:color="auto" w:sz="2" w:space="0"/>
              <w:left w:val="single" w:color="auto" w:sz="2" w:space="0"/>
              <w:bottom w:val="single" w:color="auto" w:sz="2" w:space="0"/>
              <w:right w:val="single" w:color="auto" w:sz="2" w:space="0"/>
            </w:tcBorders>
            <w:vAlign w:val="center"/>
          </w:tcPr>
          <w:p w14:paraId="591487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9.10%</w:t>
            </w:r>
          </w:p>
        </w:tc>
        <w:tc>
          <w:tcPr>
            <w:tcW w:w="1607" w:type="dxa"/>
            <w:tcBorders>
              <w:top w:val="single" w:color="auto" w:sz="2" w:space="0"/>
              <w:left w:val="single" w:color="auto" w:sz="2" w:space="0"/>
              <w:bottom w:val="single" w:color="auto" w:sz="2" w:space="0"/>
              <w:right w:val="single" w:color="auto" w:sz="2" w:space="0"/>
            </w:tcBorders>
            <w:vAlign w:val="center"/>
          </w:tcPr>
          <w:p w14:paraId="1B5B16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21,899.67</w:t>
            </w:r>
          </w:p>
        </w:tc>
      </w:tr>
      <w:tr w14:paraId="34FBEF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04E3A4E">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广州寰城实业发展有限公司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39DB61F">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押金保证金、外部往来</w:t>
            </w:r>
          </w:p>
        </w:tc>
        <w:tc>
          <w:tcPr>
            <w:tcW w:w="1606" w:type="dxa"/>
            <w:tcBorders>
              <w:top w:val="single" w:color="auto" w:sz="2" w:space="0"/>
              <w:left w:val="single" w:color="auto" w:sz="2" w:space="0"/>
              <w:bottom w:val="single" w:color="auto" w:sz="2" w:space="0"/>
              <w:right w:val="single" w:color="auto" w:sz="2" w:space="0"/>
            </w:tcBorders>
            <w:vAlign w:val="center"/>
          </w:tcPr>
          <w:p w14:paraId="2EA4EBDE">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362,131.20</w:t>
            </w:r>
          </w:p>
        </w:tc>
        <w:tc>
          <w:tcPr>
            <w:tcW w:w="1607" w:type="dxa"/>
            <w:tcBorders>
              <w:top w:val="single" w:color="auto" w:sz="2" w:space="0"/>
              <w:left w:val="single" w:color="auto" w:sz="2" w:space="0"/>
              <w:bottom w:val="single" w:color="auto" w:sz="2" w:space="0"/>
              <w:right w:val="single" w:color="auto" w:sz="2" w:space="0"/>
            </w:tcBorders>
            <w:vAlign w:val="center"/>
          </w:tcPr>
          <w:p w14:paraId="06976B7A">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1年以内、2至3年</w:t>
            </w:r>
          </w:p>
        </w:tc>
        <w:tc>
          <w:tcPr>
            <w:tcW w:w="1607" w:type="dxa"/>
            <w:tcBorders>
              <w:top w:val="single" w:color="auto" w:sz="2" w:space="0"/>
              <w:left w:val="single" w:color="auto" w:sz="2" w:space="0"/>
              <w:bottom w:val="single" w:color="auto" w:sz="2" w:space="0"/>
              <w:right w:val="single" w:color="auto" w:sz="2" w:space="0"/>
            </w:tcBorders>
            <w:vAlign w:val="center"/>
          </w:tcPr>
          <w:p w14:paraId="12FDE645">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7.53%</w:t>
            </w:r>
          </w:p>
        </w:tc>
        <w:tc>
          <w:tcPr>
            <w:tcW w:w="1607" w:type="dxa"/>
            <w:tcBorders>
              <w:top w:val="single" w:color="auto" w:sz="2" w:space="0"/>
              <w:left w:val="single" w:color="auto" w:sz="2" w:space="0"/>
              <w:bottom w:val="single" w:color="auto" w:sz="2" w:space="0"/>
              <w:right w:val="single" w:color="auto" w:sz="2" w:space="0"/>
            </w:tcBorders>
            <w:vAlign w:val="center"/>
          </w:tcPr>
          <w:p w14:paraId="0D33B96A">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103,609.76</w:t>
            </w:r>
          </w:p>
        </w:tc>
      </w:tr>
      <w:tr w14:paraId="3E7D72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A334ABF">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祥云县住房和城乡建设局</w:t>
            </w:r>
          </w:p>
        </w:tc>
        <w:tc>
          <w:tcPr>
            <w:tcW w:w="1606" w:type="dxa"/>
            <w:tcBorders>
              <w:top w:val="single" w:color="auto" w:sz="2" w:space="0"/>
              <w:left w:val="single" w:color="auto" w:sz="2" w:space="0"/>
              <w:bottom w:val="single" w:color="auto" w:sz="2" w:space="0"/>
              <w:right w:val="single" w:color="auto" w:sz="2" w:space="0"/>
            </w:tcBorders>
            <w:vAlign w:val="center"/>
          </w:tcPr>
          <w:p w14:paraId="4A8C8653">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 xml:space="preserve">外部往来 </w:t>
            </w:r>
          </w:p>
        </w:tc>
        <w:tc>
          <w:tcPr>
            <w:tcW w:w="1606" w:type="dxa"/>
            <w:tcBorders>
              <w:top w:val="single" w:color="auto" w:sz="2" w:space="0"/>
              <w:left w:val="single" w:color="auto" w:sz="2" w:space="0"/>
              <w:bottom w:val="single" w:color="auto" w:sz="2" w:space="0"/>
              <w:right w:val="single" w:color="auto" w:sz="2" w:space="0"/>
            </w:tcBorders>
            <w:vAlign w:val="center"/>
          </w:tcPr>
          <w:p w14:paraId="50B69C85">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355,653.08</w:t>
            </w:r>
          </w:p>
        </w:tc>
        <w:tc>
          <w:tcPr>
            <w:tcW w:w="1607" w:type="dxa"/>
            <w:tcBorders>
              <w:top w:val="single" w:color="auto" w:sz="2" w:space="0"/>
              <w:left w:val="single" w:color="auto" w:sz="2" w:space="0"/>
              <w:bottom w:val="single" w:color="auto" w:sz="2" w:space="0"/>
              <w:right w:val="single" w:color="auto" w:sz="2" w:space="0"/>
            </w:tcBorders>
            <w:vAlign w:val="center"/>
          </w:tcPr>
          <w:p w14:paraId="54C2CF6A">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1年以内</w:t>
            </w:r>
          </w:p>
        </w:tc>
        <w:tc>
          <w:tcPr>
            <w:tcW w:w="1607" w:type="dxa"/>
            <w:tcBorders>
              <w:top w:val="single" w:color="auto" w:sz="2" w:space="0"/>
              <w:left w:val="single" w:color="auto" w:sz="2" w:space="0"/>
              <w:bottom w:val="single" w:color="auto" w:sz="2" w:space="0"/>
              <w:right w:val="single" w:color="auto" w:sz="2" w:space="0"/>
            </w:tcBorders>
            <w:vAlign w:val="center"/>
          </w:tcPr>
          <w:p w14:paraId="48623DEA">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7.39%</w:t>
            </w:r>
          </w:p>
        </w:tc>
        <w:tc>
          <w:tcPr>
            <w:tcW w:w="1607" w:type="dxa"/>
            <w:tcBorders>
              <w:top w:val="single" w:color="auto" w:sz="2" w:space="0"/>
              <w:left w:val="single" w:color="auto" w:sz="2" w:space="0"/>
              <w:bottom w:val="single" w:color="auto" w:sz="2" w:space="0"/>
              <w:right w:val="single" w:color="auto" w:sz="2" w:space="0"/>
            </w:tcBorders>
            <w:vAlign w:val="center"/>
          </w:tcPr>
          <w:p w14:paraId="44D31F41">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17,782.65</w:t>
            </w:r>
          </w:p>
        </w:tc>
      </w:tr>
      <w:tr w14:paraId="4261B8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66F4FFB0">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中交机电工程局有限公司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1234139">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 xml:space="preserve">押金保证金 </w:t>
            </w:r>
          </w:p>
        </w:tc>
        <w:tc>
          <w:tcPr>
            <w:tcW w:w="1606" w:type="dxa"/>
            <w:tcBorders>
              <w:top w:val="single" w:color="auto" w:sz="2" w:space="0"/>
              <w:left w:val="single" w:color="auto" w:sz="2" w:space="0"/>
              <w:bottom w:val="single" w:color="auto" w:sz="2" w:space="0"/>
              <w:right w:val="single" w:color="auto" w:sz="2" w:space="0"/>
            </w:tcBorders>
            <w:vAlign w:val="center"/>
          </w:tcPr>
          <w:p w14:paraId="07C6DD5C">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349,409.00</w:t>
            </w:r>
          </w:p>
        </w:tc>
        <w:tc>
          <w:tcPr>
            <w:tcW w:w="1607" w:type="dxa"/>
            <w:tcBorders>
              <w:top w:val="single" w:color="auto" w:sz="2" w:space="0"/>
              <w:left w:val="single" w:color="auto" w:sz="2" w:space="0"/>
              <w:bottom w:val="single" w:color="auto" w:sz="2" w:space="0"/>
              <w:right w:val="single" w:color="auto" w:sz="2" w:space="0"/>
            </w:tcBorders>
            <w:vAlign w:val="center"/>
          </w:tcPr>
          <w:p w14:paraId="14107C8C">
            <w:pPr>
              <w:widowControl/>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3至4年</w:t>
            </w:r>
          </w:p>
        </w:tc>
        <w:tc>
          <w:tcPr>
            <w:tcW w:w="1607" w:type="dxa"/>
            <w:tcBorders>
              <w:top w:val="single" w:color="auto" w:sz="2" w:space="0"/>
              <w:left w:val="single" w:color="auto" w:sz="2" w:space="0"/>
              <w:bottom w:val="single" w:color="auto" w:sz="2" w:space="0"/>
              <w:right w:val="single" w:color="auto" w:sz="2" w:space="0"/>
            </w:tcBorders>
            <w:vAlign w:val="center"/>
          </w:tcPr>
          <w:p w14:paraId="0E46EA0B">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7.26%</w:t>
            </w:r>
          </w:p>
        </w:tc>
        <w:tc>
          <w:tcPr>
            <w:tcW w:w="1607" w:type="dxa"/>
            <w:tcBorders>
              <w:top w:val="single" w:color="auto" w:sz="2" w:space="0"/>
              <w:left w:val="single" w:color="auto" w:sz="2" w:space="0"/>
              <w:bottom w:val="single" w:color="auto" w:sz="2" w:space="0"/>
              <w:right w:val="single" w:color="auto" w:sz="2" w:space="0"/>
            </w:tcBorders>
            <w:vAlign w:val="center"/>
          </w:tcPr>
          <w:p w14:paraId="6AA83424">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174,704.50</w:t>
            </w:r>
          </w:p>
        </w:tc>
      </w:tr>
      <w:tr w14:paraId="1F2FEE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517D62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汕头职业技术学院</w:t>
            </w:r>
          </w:p>
        </w:tc>
        <w:tc>
          <w:tcPr>
            <w:tcW w:w="1606" w:type="dxa"/>
            <w:tcBorders>
              <w:top w:val="single" w:color="auto" w:sz="2" w:space="0"/>
              <w:left w:val="single" w:color="auto" w:sz="2" w:space="0"/>
              <w:bottom w:val="single" w:color="auto" w:sz="2" w:space="0"/>
              <w:right w:val="single" w:color="auto" w:sz="2" w:space="0"/>
            </w:tcBorders>
            <w:vAlign w:val="center"/>
          </w:tcPr>
          <w:p w14:paraId="491ECC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1606" w:type="dxa"/>
            <w:tcBorders>
              <w:top w:val="single" w:color="auto" w:sz="2" w:space="0"/>
              <w:left w:val="single" w:color="auto" w:sz="2" w:space="0"/>
              <w:bottom w:val="single" w:color="auto" w:sz="2" w:space="0"/>
              <w:right w:val="single" w:color="auto" w:sz="2" w:space="0"/>
            </w:tcBorders>
            <w:vAlign w:val="center"/>
          </w:tcPr>
          <w:p w14:paraId="4DC3CE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270,865.26</w:t>
            </w:r>
          </w:p>
        </w:tc>
        <w:tc>
          <w:tcPr>
            <w:tcW w:w="1607" w:type="dxa"/>
            <w:tcBorders>
              <w:top w:val="single" w:color="auto" w:sz="2" w:space="0"/>
              <w:left w:val="single" w:color="auto" w:sz="2" w:space="0"/>
              <w:bottom w:val="single" w:color="auto" w:sz="2" w:space="0"/>
              <w:right w:val="single" w:color="auto" w:sz="2" w:space="0"/>
            </w:tcBorders>
            <w:vAlign w:val="center"/>
          </w:tcPr>
          <w:p w14:paraId="3A6805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3至5年</w:t>
            </w:r>
          </w:p>
        </w:tc>
        <w:tc>
          <w:tcPr>
            <w:tcW w:w="1607" w:type="dxa"/>
            <w:tcBorders>
              <w:top w:val="single" w:color="auto" w:sz="2" w:space="0"/>
              <w:left w:val="single" w:color="auto" w:sz="2" w:space="0"/>
              <w:bottom w:val="single" w:color="auto" w:sz="2" w:space="0"/>
              <w:right w:val="single" w:color="auto" w:sz="2" w:space="0"/>
            </w:tcBorders>
            <w:vAlign w:val="center"/>
          </w:tcPr>
          <w:p w14:paraId="55BFD9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5.63%</w:t>
            </w:r>
          </w:p>
        </w:tc>
        <w:tc>
          <w:tcPr>
            <w:tcW w:w="1607" w:type="dxa"/>
            <w:tcBorders>
              <w:top w:val="single" w:color="auto" w:sz="2" w:space="0"/>
              <w:left w:val="single" w:color="auto" w:sz="2" w:space="0"/>
              <w:bottom w:val="single" w:color="auto" w:sz="2" w:space="0"/>
              <w:right w:val="single" w:color="auto" w:sz="2" w:space="0"/>
            </w:tcBorders>
            <w:vAlign w:val="center"/>
          </w:tcPr>
          <w:p w14:paraId="15127A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207,743.69</w:t>
            </w:r>
          </w:p>
        </w:tc>
      </w:tr>
      <w:tr w14:paraId="564FFE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497DD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7ABE556">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shd w:val="clear" w:color="auto" w:fill="auto"/>
            <w:vAlign w:val="center"/>
          </w:tcPr>
          <w:p w14:paraId="61C2CF9C">
            <w:pPr>
              <w:widowControl/>
              <w:jc w:val="righ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lang w:bidi="ar"/>
              </w:rPr>
              <w:t>1,780,767.26</w:t>
            </w:r>
          </w:p>
        </w:tc>
        <w:tc>
          <w:tcPr>
            <w:tcW w:w="1607" w:type="dxa"/>
            <w:tcBorders>
              <w:top w:val="single" w:color="auto" w:sz="2" w:space="0"/>
              <w:left w:val="single" w:color="auto" w:sz="2" w:space="0"/>
              <w:bottom w:val="single" w:color="auto" w:sz="2" w:space="0"/>
              <w:right w:val="single" w:color="auto" w:sz="2" w:space="0"/>
            </w:tcBorders>
            <w:shd w:val="clear" w:color="auto" w:fill="D3D3D3"/>
            <w:vAlign w:val="center"/>
          </w:tcPr>
          <w:p w14:paraId="138BF2F9">
            <w:pPr>
              <w:rPr>
                <w:rFonts w:ascii="Times New Roman" w:hAnsi="Times New Roman" w:cs="Times New Roman" w:eastAsiaTheme="majorEastAsia"/>
              </w:rPr>
            </w:pPr>
          </w:p>
        </w:tc>
        <w:tc>
          <w:tcPr>
            <w:tcW w:w="1607" w:type="dxa"/>
            <w:tcBorders>
              <w:top w:val="single" w:color="auto" w:sz="2" w:space="0"/>
              <w:left w:val="single" w:color="auto" w:sz="2" w:space="0"/>
              <w:bottom w:val="single" w:color="auto" w:sz="2" w:space="0"/>
              <w:right w:val="single" w:color="auto" w:sz="2" w:space="0"/>
            </w:tcBorders>
            <w:vAlign w:val="center"/>
          </w:tcPr>
          <w:p w14:paraId="0CE39558">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37.01%</w:t>
            </w:r>
          </w:p>
        </w:tc>
        <w:tc>
          <w:tcPr>
            <w:tcW w:w="1607" w:type="dxa"/>
            <w:tcBorders>
              <w:top w:val="single" w:color="auto" w:sz="2" w:space="0"/>
              <w:left w:val="single" w:color="auto" w:sz="2" w:space="0"/>
              <w:bottom w:val="single" w:color="auto" w:sz="2" w:space="0"/>
              <w:right w:val="single" w:color="auto" w:sz="2" w:space="0"/>
            </w:tcBorders>
            <w:vAlign w:val="center"/>
          </w:tcPr>
          <w:p w14:paraId="217F145B">
            <w:pPr>
              <w:widowControl/>
              <w:jc w:val="right"/>
              <w:textAlignment w:val="center"/>
              <w:rPr>
                <w:rFonts w:ascii="Times New Roman" w:hAnsi="Times New Roman" w:cs="Times New Roman" w:eastAsiaTheme="majorEastAsia"/>
                <w:sz w:val="18"/>
                <w:szCs w:val="18"/>
              </w:rPr>
            </w:pPr>
            <w:r>
              <w:rPr>
                <w:rFonts w:hint="eastAsia" w:ascii="宋体" w:hAnsi="宋体" w:eastAsia="宋体" w:cs="宋体"/>
                <w:color w:val="000000"/>
                <w:kern w:val="0"/>
                <w:sz w:val="18"/>
                <w:szCs w:val="18"/>
                <w:lang w:bidi="ar"/>
              </w:rPr>
              <w:t>526,211.80</w:t>
            </w:r>
          </w:p>
        </w:tc>
      </w:tr>
    </w:tbl>
    <w:p w14:paraId="5B710888">
      <w:pPr>
        <w:keepNext/>
        <w:keepLines/>
        <w:spacing w:before="300" w:after="300" w:line="280" w:lineRule="exact"/>
        <w:outlineLvl w:val="4"/>
        <w:rPr>
          <w:rFonts w:ascii="Times New Roman" w:hAnsi="Times New Roman" w:cs="Times New Roman" w:eastAsiaTheme="majorEastAsia"/>
          <w:b/>
          <w:bCs/>
          <w:szCs w:val="21"/>
        </w:rPr>
      </w:pPr>
      <w:bookmarkStart w:id="252" w:name="_Toc989141"/>
      <w:r>
        <w:rPr>
          <w:rFonts w:ascii="Times New Roman" w:hAnsi="Times New Roman" w:cs="Times New Roman" w:eastAsiaTheme="majorEastAsia"/>
          <w:b/>
          <w:bCs/>
          <w:szCs w:val="21"/>
        </w:rPr>
        <w:t>7） 因资金集中管理而列报于其他应收款</w:t>
      </w:r>
      <w:bookmarkEnd w:id="252"/>
    </w:p>
    <w:p w14:paraId="3FB4858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4C9146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44FDD9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因资金集中管理而列报于其他应收款的金额</w:t>
            </w:r>
          </w:p>
        </w:tc>
        <w:tc>
          <w:tcPr>
            <w:tcW w:w="4820" w:type="dxa"/>
            <w:tcBorders>
              <w:top w:val="single" w:color="auto" w:sz="2" w:space="0"/>
              <w:left w:val="single" w:color="auto" w:sz="2" w:space="0"/>
              <w:bottom w:val="single" w:color="auto" w:sz="2" w:space="0"/>
              <w:right w:val="single" w:color="auto" w:sz="2" w:space="0"/>
            </w:tcBorders>
            <w:vAlign w:val="center"/>
          </w:tcPr>
          <w:p w14:paraId="3618A2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r>
      <w:tr w14:paraId="209344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ADEDE4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情况说明</w:t>
            </w:r>
          </w:p>
        </w:tc>
        <w:tc>
          <w:tcPr>
            <w:tcW w:w="4820" w:type="dxa"/>
            <w:tcBorders>
              <w:top w:val="single" w:color="auto" w:sz="2" w:space="0"/>
              <w:left w:val="single" w:color="auto" w:sz="2" w:space="0"/>
              <w:bottom w:val="single" w:color="auto" w:sz="2" w:space="0"/>
              <w:right w:val="single" w:color="auto" w:sz="2" w:space="0"/>
            </w:tcBorders>
            <w:vAlign w:val="center"/>
          </w:tcPr>
          <w:p w14:paraId="1F96FB8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r>
    </w:tbl>
    <w:p w14:paraId="18D6508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7B29A964">
      <w:pPr>
        <w:pStyle w:val="3"/>
        <w:spacing w:line="280" w:lineRule="exact"/>
        <w:jc w:val="left"/>
        <w:rPr>
          <w:rFonts w:ascii="Times New Roman" w:hAnsi="Times New Roman" w:cs="Times New Roman" w:eastAsiaTheme="majorEastAsia"/>
          <w:b/>
          <w:bCs/>
        </w:rPr>
      </w:pPr>
      <w:bookmarkStart w:id="253" w:name="_Toc989142"/>
      <w:r>
        <w:rPr>
          <w:rFonts w:ascii="Times New Roman" w:hAnsi="Times New Roman" w:cs="Times New Roman" w:eastAsiaTheme="majorEastAsia"/>
          <w:b/>
          <w:bCs/>
        </w:rPr>
        <w:t>7、预付款项</w:t>
      </w:r>
      <w:bookmarkEnd w:id="253"/>
    </w:p>
    <w:p w14:paraId="04097F4A">
      <w:pPr>
        <w:keepNext/>
        <w:keepLines/>
        <w:spacing w:before="300" w:after="300" w:line="280" w:lineRule="exact"/>
        <w:outlineLvl w:val="3"/>
        <w:rPr>
          <w:rFonts w:ascii="Times New Roman" w:hAnsi="Times New Roman" w:cs="Times New Roman" w:eastAsiaTheme="majorEastAsia"/>
          <w:b/>
          <w:bCs/>
          <w:szCs w:val="21"/>
        </w:rPr>
      </w:pPr>
      <w:bookmarkStart w:id="254" w:name="_Toc989143"/>
      <w:r>
        <w:rPr>
          <w:rFonts w:ascii="Times New Roman" w:hAnsi="Times New Roman" w:cs="Times New Roman" w:eastAsiaTheme="majorEastAsia"/>
          <w:b/>
          <w:bCs/>
          <w:szCs w:val="21"/>
        </w:rPr>
        <w:t>（1） 预付款项按账龄列示</w:t>
      </w:r>
      <w:bookmarkEnd w:id="254"/>
    </w:p>
    <w:p w14:paraId="58E7F7E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1ACC2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56213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4306F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CE835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2D17E9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324DDA">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AE65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03998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8B58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FA2E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r>
      <w:tr w14:paraId="211FA6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5EE81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1928" w:type="dxa"/>
            <w:tcBorders>
              <w:top w:val="single" w:color="auto" w:sz="2" w:space="0"/>
              <w:left w:val="single" w:color="auto" w:sz="2" w:space="0"/>
              <w:bottom w:val="single" w:color="auto" w:sz="2" w:space="0"/>
              <w:right w:val="single" w:color="auto" w:sz="2" w:space="0"/>
            </w:tcBorders>
            <w:vAlign w:val="center"/>
          </w:tcPr>
          <w:p w14:paraId="5A39F7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16,840,941.93</w:t>
            </w:r>
          </w:p>
        </w:tc>
        <w:tc>
          <w:tcPr>
            <w:tcW w:w="1928" w:type="dxa"/>
            <w:tcBorders>
              <w:top w:val="single" w:color="auto" w:sz="2" w:space="0"/>
              <w:left w:val="single" w:color="auto" w:sz="2" w:space="0"/>
              <w:bottom w:val="single" w:color="auto" w:sz="2" w:space="0"/>
              <w:right w:val="single" w:color="auto" w:sz="2" w:space="0"/>
            </w:tcBorders>
            <w:vAlign w:val="center"/>
          </w:tcPr>
          <w:p w14:paraId="06E28F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98.68%</w:t>
            </w:r>
          </w:p>
        </w:tc>
        <w:tc>
          <w:tcPr>
            <w:tcW w:w="1928" w:type="dxa"/>
            <w:tcBorders>
              <w:top w:val="single" w:color="auto" w:sz="2" w:space="0"/>
              <w:left w:val="single" w:color="auto" w:sz="2" w:space="0"/>
              <w:bottom w:val="single" w:color="auto" w:sz="2" w:space="0"/>
              <w:right w:val="single" w:color="auto" w:sz="2" w:space="0"/>
            </w:tcBorders>
            <w:vAlign w:val="center"/>
          </w:tcPr>
          <w:p w14:paraId="785795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8,017,029.76</w:t>
            </w:r>
          </w:p>
        </w:tc>
        <w:tc>
          <w:tcPr>
            <w:tcW w:w="1928" w:type="dxa"/>
            <w:tcBorders>
              <w:top w:val="single" w:color="auto" w:sz="2" w:space="0"/>
              <w:left w:val="single" w:color="auto" w:sz="2" w:space="0"/>
              <w:bottom w:val="single" w:color="auto" w:sz="2" w:space="0"/>
              <w:right w:val="single" w:color="auto" w:sz="2" w:space="0"/>
            </w:tcBorders>
            <w:vAlign w:val="center"/>
          </w:tcPr>
          <w:p w14:paraId="69E51E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97.42%</w:t>
            </w:r>
          </w:p>
        </w:tc>
      </w:tr>
      <w:tr w14:paraId="42549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17190F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1928" w:type="dxa"/>
            <w:tcBorders>
              <w:top w:val="single" w:color="auto" w:sz="2" w:space="0"/>
              <w:left w:val="single" w:color="auto" w:sz="2" w:space="0"/>
              <w:bottom w:val="single" w:color="auto" w:sz="2" w:space="0"/>
              <w:right w:val="single" w:color="auto" w:sz="2" w:space="0"/>
            </w:tcBorders>
            <w:vAlign w:val="center"/>
          </w:tcPr>
          <w:p w14:paraId="429622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97,871.24</w:t>
            </w:r>
          </w:p>
        </w:tc>
        <w:tc>
          <w:tcPr>
            <w:tcW w:w="1928" w:type="dxa"/>
            <w:tcBorders>
              <w:top w:val="single" w:color="auto" w:sz="2" w:space="0"/>
              <w:left w:val="single" w:color="auto" w:sz="2" w:space="0"/>
              <w:bottom w:val="single" w:color="auto" w:sz="2" w:space="0"/>
              <w:right w:val="single" w:color="auto" w:sz="2" w:space="0"/>
            </w:tcBorders>
            <w:vAlign w:val="center"/>
          </w:tcPr>
          <w:p w14:paraId="675142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0.57%</w:t>
            </w:r>
          </w:p>
        </w:tc>
        <w:tc>
          <w:tcPr>
            <w:tcW w:w="1928" w:type="dxa"/>
            <w:tcBorders>
              <w:top w:val="single" w:color="auto" w:sz="2" w:space="0"/>
              <w:left w:val="single" w:color="auto" w:sz="2" w:space="0"/>
              <w:bottom w:val="single" w:color="auto" w:sz="2" w:space="0"/>
              <w:right w:val="single" w:color="auto" w:sz="2" w:space="0"/>
            </w:tcBorders>
            <w:vAlign w:val="center"/>
          </w:tcPr>
          <w:p w14:paraId="7A693A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206,562.38</w:t>
            </w:r>
          </w:p>
        </w:tc>
        <w:tc>
          <w:tcPr>
            <w:tcW w:w="1928" w:type="dxa"/>
            <w:tcBorders>
              <w:top w:val="single" w:color="auto" w:sz="2" w:space="0"/>
              <w:left w:val="single" w:color="auto" w:sz="2" w:space="0"/>
              <w:bottom w:val="single" w:color="auto" w:sz="2" w:space="0"/>
              <w:right w:val="single" w:color="auto" w:sz="2" w:space="0"/>
            </w:tcBorders>
            <w:vAlign w:val="center"/>
          </w:tcPr>
          <w:p w14:paraId="2A0581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2.51%</w:t>
            </w:r>
          </w:p>
        </w:tc>
      </w:tr>
      <w:tr w14:paraId="008842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4E93E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1928" w:type="dxa"/>
            <w:tcBorders>
              <w:top w:val="single" w:color="auto" w:sz="2" w:space="0"/>
              <w:left w:val="single" w:color="auto" w:sz="2" w:space="0"/>
              <w:bottom w:val="single" w:color="auto" w:sz="2" w:space="0"/>
              <w:right w:val="single" w:color="auto" w:sz="2" w:space="0"/>
            </w:tcBorders>
            <w:vAlign w:val="center"/>
          </w:tcPr>
          <w:p w14:paraId="10C084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122,477.06</w:t>
            </w:r>
          </w:p>
        </w:tc>
        <w:tc>
          <w:tcPr>
            <w:tcW w:w="1928" w:type="dxa"/>
            <w:tcBorders>
              <w:top w:val="single" w:color="auto" w:sz="2" w:space="0"/>
              <w:left w:val="single" w:color="auto" w:sz="2" w:space="0"/>
              <w:bottom w:val="single" w:color="auto" w:sz="2" w:space="0"/>
              <w:right w:val="single" w:color="auto" w:sz="2" w:space="0"/>
            </w:tcBorders>
            <w:vAlign w:val="center"/>
          </w:tcPr>
          <w:p w14:paraId="127B55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0.72%</w:t>
            </w:r>
          </w:p>
        </w:tc>
        <w:tc>
          <w:tcPr>
            <w:tcW w:w="1928" w:type="dxa"/>
            <w:tcBorders>
              <w:top w:val="single" w:color="auto" w:sz="2" w:space="0"/>
              <w:left w:val="single" w:color="auto" w:sz="2" w:space="0"/>
              <w:bottom w:val="single" w:color="auto" w:sz="2" w:space="0"/>
              <w:right w:val="single" w:color="auto" w:sz="2" w:space="0"/>
            </w:tcBorders>
            <w:vAlign w:val="center"/>
          </w:tcPr>
          <w:p w14:paraId="14FE10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6,080.37</w:t>
            </w:r>
          </w:p>
        </w:tc>
        <w:tc>
          <w:tcPr>
            <w:tcW w:w="1928" w:type="dxa"/>
            <w:tcBorders>
              <w:top w:val="single" w:color="auto" w:sz="2" w:space="0"/>
              <w:left w:val="single" w:color="auto" w:sz="2" w:space="0"/>
              <w:bottom w:val="single" w:color="auto" w:sz="2" w:space="0"/>
              <w:right w:val="single" w:color="auto" w:sz="2" w:space="0"/>
            </w:tcBorders>
            <w:vAlign w:val="center"/>
          </w:tcPr>
          <w:p w14:paraId="4C7D0E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0.07%</w:t>
            </w:r>
          </w:p>
        </w:tc>
      </w:tr>
      <w:tr w14:paraId="1F493F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E2021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3年以上</w:t>
            </w:r>
          </w:p>
        </w:tc>
        <w:tc>
          <w:tcPr>
            <w:tcW w:w="1928" w:type="dxa"/>
            <w:tcBorders>
              <w:top w:val="single" w:color="auto" w:sz="2" w:space="0"/>
              <w:left w:val="single" w:color="auto" w:sz="2" w:space="0"/>
              <w:bottom w:val="single" w:color="auto" w:sz="2" w:space="0"/>
              <w:right w:val="single" w:color="auto" w:sz="2" w:space="0"/>
            </w:tcBorders>
            <w:vAlign w:val="center"/>
          </w:tcPr>
          <w:p w14:paraId="7E5DC4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5,846.36</w:t>
            </w:r>
          </w:p>
        </w:tc>
        <w:tc>
          <w:tcPr>
            <w:tcW w:w="1928" w:type="dxa"/>
            <w:tcBorders>
              <w:top w:val="single" w:color="auto" w:sz="2" w:space="0"/>
              <w:left w:val="single" w:color="auto" w:sz="2" w:space="0"/>
              <w:bottom w:val="single" w:color="auto" w:sz="2" w:space="0"/>
              <w:right w:val="single" w:color="auto" w:sz="2" w:space="0"/>
            </w:tcBorders>
            <w:vAlign w:val="center"/>
          </w:tcPr>
          <w:p w14:paraId="3F6067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0.03%</w:t>
            </w:r>
          </w:p>
        </w:tc>
        <w:tc>
          <w:tcPr>
            <w:tcW w:w="1928" w:type="dxa"/>
            <w:tcBorders>
              <w:top w:val="single" w:color="auto" w:sz="2" w:space="0"/>
              <w:left w:val="single" w:color="auto" w:sz="2" w:space="0"/>
              <w:bottom w:val="single" w:color="auto" w:sz="2" w:space="0"/>
              <w:right w:val="single" w:color="auto" w:sz="2" w:space="0"/>
            </w:tcBorders>
            <w:vAlign w:val="center"/>
          </w:tcPr>
          <w:p w14:paraId="6AA330F5">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5C8D0D7">
            <w:pPr>
              <w:spacing w:line="240" w:lineRule="exact"/>
              <w:jc w:val="right"/>
              <w:rPr>
                <w:rFonts w:ascii="Times New Roman" w:hAnsi="Times New Roman" w:cs="Times New Roman" w:eastAsiaTheme="majorEastAsia"/>
                <w:sz w:val="18"/>
                <w:szCs w:val="18"/>
              </w:rPr>
            </w:pPr>
          </w:p>
        </w:tc>
      </w:tr>
      <w:tr w14:paraId="1EDD65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2E4FC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7572B1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17,067,136.59</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DB171C">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vAlign w:val="center"/>
          </w:tcPr>
          <w:p w14:paraId="3F9703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8,229,672.51</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8C9838">
            <w:pPr>
              <w:rPr>
                <w:rFonts w:ascii="Times New Roman" w:hAnsi="Times New Roman" w:cs="Times New Roman" w:eastAsiaTheme="majorEastAsia"/>
              </w:rPr>
            </w:pPr>
          </w:p>
        </w:tc>
      </w:tr>
    </w:tbl>
    <w:p w14:paraId="0B9610C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账龄超过1年且金额重要的预付款项未及时结算原因的说明：不适用。</w:t>
      </w:r>
    </w:p>
    <w:p w14:paraId="20E6BD1F">
      <w:pPr>
        <w:keepNext/>
        <w:keepLines/>
        <w:spacing w:before="300" w:after="300" w:line="280" w:lineRule="exact"/>
        <w:outlineLvl w:val="3"/>
        <w:rPr>
          <w:rFonts w:ascii="Times New Roman" w:hAnsi="Times New Roman" w:cs="Times New Roman" w:eastAsiaTheme="majorEastAsia"/>
          <w:b/>
          <w:bCs/>
          <w:szCs w:val="21"/>
        </w:rPr>
      </w:pPr>
      <w:bookmarkStart w:id="255" w:name="_Toc989144"/>
      <w:r>
        <w:rPr>
          <w:rFonts w:ascii="Times New Roman" w:hAnsi="Times New Roman" w:cs="Times New Roman" w:eastAsiaTheme="majorEastAsia"/>
          <w:b/>
          <w:bCs/>
          <w:szCs w:val="21"/>
        </w:rPr>
        <w:t>（2） 按预付对象归集的期末余额前五名的预付款情况</w:t>
      </w:r>
      <w:bookmarkEnd w:id="255"/>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3510"/>
        <w:gridCol w:w="1882"/>
        <w:gridCol w:w="4461"/>
      </w:tblGrid>
      <w:tr w14:paraId="1B1F1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shd w:val="clear" w:color="auto" w:fill="BEBEBE" w:themeFill="background1" w:themeFillShade="BF"/>
            <w:tcMar>
              <w:top w:w="0" w:type="dxa"/>
              <w:left w:w="108" w:type="dxa"/>
              <w:bottom w:w="0" w:type="dxa"/>
              <w:right w:w="108" w:type="dxa"/>
            </w:tcMar>
            <w:vAlign w:val="center"/>
          </w:tcPr>
          <w:p w14:paraId="7DAF2E32">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单位名称</w:t>
            </w:r>
          </w:p>
        </w:tc>
        <w:tc>
          <w:tcPr>
            <w:tcW w:w="955" w:type="pct"/>
            <w:shd w:val="clear" w:color="auto" w:fill="BEBEBE" w:themeFill="background1" w:themeFillShade="BF"/>
            <w:tcMar>
              <w:top w:w="0" w:type="dxa"/>
              <w:left w:w="108" w:type="dxa"/>
              <w:bottom w:w="0" w:type="dxa"/>
              <w:right w:w="108" w:type="dxa"/>
            </w:tcMar>
            <w:vAlign w:val="center"/>
          </w:tcPr>
          <w:p w14:paraId="158B4B00">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期末余额（元）</w:t>
            </w:r>
          </w:p>
        </w:tc>
        <w:tc>
          <w:tcPr>
            <w:tcW w:w="2263" w:type="pct"/>
            <w:shd w:val="clear" w:color="auto" w:fill="BEBEBE" w:themeFill="background1" w:themeFillShade="BF"/>
            <w:tcMar>
              <w:top w:w="0" w:type="dxa"/>
              <w:left w:w="108" w:type="dxa"/>
              <w:bottom w:w="0" w:type="dxa"/>
              <w:right w:w="108" w:type="dxa"/>
            </w:tcMar>
            <w:vAlign w:val="center"/>
          </w:tcPr>
          <w:p w14:paraId="37503504">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占预付款项期末余额合计数的比例（%）</w:t>
            </w:r>
          </w:p>
        </w:tc>
      </w:tr>
      <w:tr w14:paraId="2FA84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vAlign w:val="center"/>
          </w:tcPr>
          <w:p w14:paraId="3BF9F7B2">
            <w:pPr>
              <w:pStyle w:val="10"/>
              <w:spacing w:before="0" w:beforeAutospacing="0" w:after="0" w:afterAutospacing="0"/>
              <w:rPr>
                <w:rFonts w:ascii="Times New Roman" w:hAnsi="Times New Roman" w:cs="Times New Roman" w:eastAsiaTheme="majorEastAsia"/>
                <w:sz w:val="18"/>
                <w:szCs w:val="21"/>
              </w:rPr>
            </w:pPr>
            <w:r>
              <w:rPr>
                <w:rFonts w:ascii="Times New Roman" w:hAnsi="Times New Roman" w:cs="Times New Roman" w:eastAsiaTheme="majorEastAsia"/>
                <w:sz w:val="18"/>
                <w:szCs w:val="21"/>
              </w:rPr>
              <w:t>重庆佳杰创盈科技有限公司</w:t>
            </w:r>
          </w:p>
        </w:tc>
        <w:tc>
          <w:tcPr>
            <w:tcW w:w="955" w:type="pct"/>
            <w:tcMar>
              <w:top w:w="0" w:type="dxa"/>
              <w:left w:w="108" w:type="dxa"/>
              <w:bottom w:w="0" w:type="dxa"/>
              <w:right w:w="108" w:type="dxa"/>
            </w:tcMar>
            <w:vAlign w:val="center"/>
          </w:tcPr>
          <w:p w14:paraId="14A88CEE">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5,777,198.23</w:t>
            </w:r>
          </w:p>
        </w:tc>
        <w:tc>
          <w:tcPr>
            <w:tcW w:w="2263" w:type="pct"/>
            <w:tcMar>
              <w:top w:w="0" w:type="dxa"/>
              <w:left w:w="108" w:type="dxa"/>
              <w:bottom w:w="0" w:type="dxa"/>
              <w:right w:w="108" w:type="dxa"/>
            </w:tcMar>
            <w:vAlign w:val="center"/>
          </w:tcPr>
          <w:p w14:paraId="51DD6DC8">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33.85</w:t>
            </w:r>
          </w:p>
        </w:tc>
      </w:tr>
      <w:tr w14:paraId="37B85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tcPr>
          <w:p w14:paraId="339E6789">
            <w:pPr>
              <w:pStyle w:val="10"/>
              <w:spacing w:before="0" w:beforeAutospacing="0" w:after="0" w:afterAutospacing="0"/>
              <w:rPr>
                <w:rFonts w:ascii="Times New Roman" w:hAnsi="Times New Roman" w:cs="Times New Roman" w:eastAsiaTheme="majorEastAsia"/>
                <w:sz w:val="18"/>
                <w:szCs w:val="21"/>
              </w:rPr>
            </w:pPr>
            <w:r>
              <w:rPr>
                <w:rFonts w:ascii="Times New Roman" w:hAnsi="Times New Roman" w:cs="Times New Roman" w:eastAsiaTheme="majorEastAsia"/>
                <w:sz w:val="18"/>
                <w:szCs w:val="21"/>
              </w:rPr>
              <w:t>合肥联想电子有限公司</w:t>
            </w:r>
          </w:p>
        </w:tc>
        <w:tc>
          <w:tcPr>
            <w:tcW w:w="955" w:type="pct"/>
            <w:tcMar>
              <w:top w:w="0" w:type="dxa"/>
              <w:left w:w="108" w:type="dxa"/>
              <w:bottom w:w="0" w:type="dxa"/>
              <w:right w:w="108" w:type="dxa"/>
            </w:tcMar>
            <w:vAlign w:val="center"/>
          </w:tcPr>
          <w:p w14:paraId="538013E6">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2,375,336.46</w:t>
            </w:r>
          </w:p>
        </w:tc>
        <w:tc>
          <w:tcPr>
            <w:tcW w:w="2263" w:type="pct"/>
            <w:tcMar>
              <w:top w:w="0" w:type="dxa"/>
              <w:left w:w="108" w:type="dxa"/>
              <w:bottom w:w="0" w:type="dxa"/>
              <w:right w:w="108" w:type="dxa"/>
            </w:tcMar>
            <w:vAlign w:val="center"/>
          </w:tcPr>
          <w:p w14:paraId="18577A16">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13.92</w:t>
            </w:r>
          </w:p>
        </w:tc>
      </w:tr>
      <w:tr w14:paraId="65459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tcPr>
          <w:p w14:paraId="71AEAFD8">
            <w:pPr>
              <w:pStyle w:val="10"/>
              <w:spacing w:before="0" w:beforeAutospacing="0" w:after="0" w:afterAutospacing="0"/>
              <w:rPr>
                <w:rFonts w:ascii="Times New Roman" w:hAnsi="Times New Roman" w:cs="Times New Roman" w:eastAsiaTheme="majorEastAsia"/>
                <w:sz w:val="18"/>
                <w:szCs w:val="21"/>
              </w:rPr>
            </w:pPr>
            <w:r>
              <w:rPr>
                <w:rFonts w:ascii="Times New Roman" w:hAnsi="Times New Roman" w:cs="Times New Roman" w:eastAsiaTheme="majorEastAsia"/>
                <w:sz w:val="18"/>
                <w:szCs w:val="21"/>
              </w:rPr>
              <w:t>卫宁健康科技集团股份有限公司</w:t>
            </w:r>
          </w:p>
        </w:tc>
        <w:tc>
          <w:tcPr>
            <w:tcW w:w="955" w:type="pct"/>
            <w:tcMar>
              <w:top w:w="0" w:type="dxa"/>
              <w:left w:w="108" w:type="dxa"/>
              <w:bottom w:w="0" w:type="dxa"/>
              <w:right w:w="108" w:type="dxa"/>
            </w:tcMar>
            <w:vAlign w:val="center"/>
          </w:tcPr>
          <w:p w14:paraId="128B83C2">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2,269,832.63</w:t>
            </w:r>
          </w:p>
        </w:tc>
        <w:tc>
          <w:tcPr>
            <w:tcW w:w="2263" w:type="pct"/>
            <w:tcMar>
              <w:top w:w="0" w:type="dxa"/>
              <w:left w:w="108" w:type="dxa"/>
              <w:bottom w:w="0" w:type="dxa"/>
              <w:right w:w="108" w:type="dxa"/>
            </w:tcMar>
            <w:vAlign w:val="center"/>
          </w:tcPr>
          <w:p w14:paraId="46595366">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13.30</w:t>
            </w:r>
          </w:p>
        </w:tc>
      </w:tr>
      <w:tr w14:paraId="1DE9D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tcPr>
          <w:p w14:paraId="4FE1A049">
            <w:pPr>
              <w:pStyle w:val="10"/>
              <w:spacing w:before="0" w:beforeAutospacing="0" w:after="0" w:afterAutospacing="0"/>
              <w:rPr>
                <w:rFonts w:ascii="Times New Roman" w:hAnsi="Times New Roman" w:cs="Times New Roman" w:eastAsiaTheme="majorEastAsia"/>
                <w:sz w:val="18"/>
                <w:szCs w:val="21"/>
              </w:rPr>
            </w:pPr>
            <w:r>
              <w:rPr>
                <w:rFonts w:ascii="Times New Roman" w:hAnsi="Times New Roman" w:cs="Times New Roman" w:eastAsiaTheme="majorEastAsia"/>
                <w:sz w:val="18"/>
                <w:szCs w:val="21"/>
              </w:rPr>
              <w:t>广东众欢科技有限公司</w:t>
            </w:r>
          </w:p>
        </w:tc>
        <w:tc>
          <w:tcPr>
            <w:tcW w:w="955" w:type="pct"/>
            <w:tcMar>
              <w:top w:w="0" w:type="dxa"/>
              <w:left w:w="108" w:type="dxa"/>
              <w:bottom w:w="0" w:type="dxa"/>
              <w:right w:w="108" w:type="dxa"/>
            </w:tcMar>
            <w:vAlign w:val="center"/>
          </w:tcPr>
          <w:p w14:paraId="4A5AF54B">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1,722,659.75</w:t>
            </w:r>
          </w:p>
        </w:tc>
        <w:tc>
          <w:tcPr>
            <w:tcW w:w="2263" w:type="pct"/>
            <w:tcMar>
              <w:top w:w="0" w:type="dxa"/>
              <w:left w:w="108" w:type="dxa"/>
              <w:bottom w:w="0" w:type="dxa"/>
              <w:right w:w="108" w:type="dxa"/>
            </w:tcMar>
            <w:vAlign w:val="center"/>
          </w:tcPr>
          <w:p w14:paraId="0F20F054">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10.09</w:t>
            </w:r>
          </w:p>
        </w:tc>
      </w:tr>
      <w:tr w14:paraId="5AD7F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tcPr>
          <w:p w14:paraId="53D92488">
            <w:pPr>
              <w:pStyle w:val="10"/>
              <w:spacing w:before="0" w:beforeAutospacing="0" w:after="0" w:afterAutospacing="0"/>
              <w:rPr>
                <w:rFonts w:ascii="Times New Roman" w:hAnsi="Times New Roman" w:cs="Times New Roman" w:eastAsiaTheme="majorEastAsia"/>
                <w:sz w:val="18"/>
                <w:szCs w:val="21"/>
              </w:rPr>
            </w:pPr>
            <w:r>
              <w:rPr>
                <w:rFonts w:ascii="Times New Roman" w:hAnsi="Times New Roman" w:cs="Times New Roman" w:eastAsiaTheme="majorEastAsia"/>
                <w:sz w:val="18"/>
                <w:szCs w:val="21"/>
              </w:rPr>
              <w:t>东软集团股份有限公司</w:t>
            </w:r>
          </w:p>
        </w:tc>
        <w:tc>
          <w:tcPr>
            <w:tcW w:w="955" w:type="pct"/>
            <w:tcMar>
              <w:top w:w="0" w:type="dxa"/>
              <w:left w:w="108" w:type="dxa"/>
              <w:bottom w:w="0" w:type="dxa"/>
              <w:right w:w="108" w:type="dxa"/>
            </w:tcMar>
            <w:vAlign w:val="center"/>
          </w:tcPr>
          <w:p w14:paraId="786E9CB3">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1,447,629.00</w:t>
            </w:r>
          </w:p>
        </w:tc>
        <w:tc>
          <w:tcPr>
            <w:tcW w:w="2263" w:type="pct"/>
            <w:tcMar>
              <w:top w:w="0" w:type="dxa"/>
              <w:left w:w="108" w:type="dxa"/>
              <w:bottom w:w="0" w:type="dxa"/>
              <w:right w:w="108" w:type="dxa"/>
            </w:tcMar>
            <w:vAlign w:val="center"/>
          </w:tcPr>
          <w:p w14:paraId="44874A92">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8.48</w:t>
            </w:r>
          </w:p>
        </w:tc>
      </w:tr>
      <w:tr w14:paraId="6AB7C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4" w:hRule="atLeast"/>
        </w:trPr>
        <w:tc>
          <w:tcPr>
            <w:tcW w:w="1781" w:type="pct"/>
            <w:tcMar>
              <w:top w:w="0" w:type="dxa"/>
              <w:left w:w="108" w:type="dxa"/>
              <w:bottom w:w="0" w:type="dxa"/>
              <w:right w:w="108" w:type="dxa"/>
            </w:tcMar>
          </w:tcPr>
          <w:p w14:paraId="436D4C88">
            <w:pPr>
              <w:pStyle w:val="10"/>
              <w:spacing w:before="0" w:beforeAutospacing="0" w:after="0" w:afterAutospacing="0"/>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合计</w:t>
            </w:r>
          </w:p>
        </w:tc>
        <w:tc>
          <w:tcPr>
            <w:tcW w:w="955" w:type="pct"/>
            <w:tcMar>
              <w:top w:w="0" w:type="dxa"/>
              <w:left w:w="108" w:type="dxa"/>
              <w:bottom w:w="0" w:type="dxa"/>
              <w:right w:w="108" w:type="dxa"/>
            </w:tcMar>
            <w:vAlign w:val="center"/>
          </w:tcPr>
          <w:p w14:paraId="02295EE6">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13,592,656.07</w:t>
            </w:r>
          </w:p>
        </w:tc>
        <w:tc>
          <w:tcPr>
            <w:tcW w:w="2263" w:type="pct"/>
            <w:tcMar>
              <w:top w:w="0" w:type="dxa"/>
              <w:left w:w="108" w:type="dxa"/>
              <w:bottom w:w="0" w:type="dxa"/>
              <w:right w:w="108" w:type="dxa"/>
            </w:tcMar>
            <w:vAlign w:val="center"/>
          </w:tcPr>
          <w:p w14:paraId="44B6C9EF">
            <w:pPr>
              <w:pStyle w:val="10"/>
              <w:spacing w:before="0" w:beforeAutospacing="0" w:after="0" w:afterAutospacing="0"/>
              <w:jc w:val="right"/>
              <w:rPr>
                <w:rFonts w:ascii="Times New Roman" w:hAnsi="Times New Roman" w:cs="Times New Roman" w:eastAsiaTheme="majorEastAsia"/>
                <w:sz w:val="18"/>
                <w:szCs w:val="21"/>
              </w:rPr>
            </w:pPr>
            <w:r>
              <w:rPr>
                <w:rFonts w:ascii="Times New Roman" w:hAnsi="Times New Roman" w:cs="Times New Roman" w:eastAsiaTheme="majorEastAsia"/>
                <w:sz w:val="18"/>
                <w:szCs w:val="21"/>
              </w:rPr>
              <w:t>79.64</w:t>
            </w:r>
          </w:p>
        </w:tc>
      </w:tr>
    </w:tbl>
    <w:p w14:paraId="1D149DDC">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其他说明：不适用</w:t>
      </w:r>
    </w:p>
    <w:p w14:paraId="225EDC79">
      <w:pPr>
        <w:pStyle w:val="3"/>
        <w:spacing w:line="280" w:lineRule="exact"/>
        <w:jc w:val="left"/>
        <w:rPr>
          <w:rFonts w:ascii="Times New Roman" w:hAnsi="Times New Roman" w:cs="Times New Roman" w:eastAsiaTheme="majorEastAsia"/>
          <w:b/>
          <w:bCs/>
        </w:rPr>
      </w:pPr>
      <w:bookmarkStart w:id="256" w:name="_Toc989145"/>
      <w:r>
        <w:rPr>
          <w:rFonts w:ascii="Times New Roman" w:hAnsi="Times New Roman" w:cs="Times New Roman" w:eastAsiaTheme="majorEastAsia"/>
          <w:b/>
          <w:bCs/>
        </w:rPr>
        <w:t>8、存货</w:t>
      </w:r>
      <w:bookmarkEnd w:id="256"/>
    </w:p>
    <w:p w14:paraId="1F431B5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公司是否需要遵守房地产行业的披露要求</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否</w:t>
      </w:r>
    </w:p>
    <w:p w14:paraId="05212A03">
      <w:pPr>
        <w:keepNext/>
        <w:keepLines/>
        <w:spacing w:before="300" w:after="300" w:line="280" w:lineRule="exact"/>
        <w:outlineLvl w:val="3"/>
        <w:rPr>
          <w:rFonts w:ascii="Times New Roman" w:hAnsi="Times New Roman" w:cs="Times New Roman" w:eastAsiaTheme="majorEastAsia"/>
          <w:b/>
          <w:bCs/>
          <w:szCs w:val="21"/>
        </w:rPr>
      </w:pPr>
      <w:bookmarkStart w:id="257" w:name="_Toc989146"/>
      <w:r>
        <w:rPr>
          <w:rFonts w:ascii="Times New Roman" w:hAnsi="Times New Roman" w:cs="Times New Roman" w:eastAsiaTheme="majorEastAsia"/>
          <w:b/>
          <w:bCs/>
          <w:szCs w:val="21"/>
        </w:rPr>
        <w:t>（1） 存货分类</w:t>
      </w:r>
      <w:bookmarkEnd w:id="257"/>
    </w:p>
    <w:p w14:paraId="0BBB584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2A290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EA4CF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425B14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EB16C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518CF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E716CD6">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70C38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98C19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602F1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9B6E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34D48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存货跌价准备或合同履约成本减值准备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8A13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3E79C4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A18D0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2B982C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1,122,265.32</w:t>
            </w:r>
          </w:p>
        </w:tc>
        <w:tc>
          <w:tcPr>
            <w:tcW w:w="1377" w:type="dxa"/>
            <w:tcBorders>
              <w:top w:val="single" w:color="auto" w:sz="2" w:space="0"/>
              <w:left w:val="single" w:color="auto" w:sz="2" w:space="0"/>
              <w:bottom w:val="single" w:color="auto" w:sz="2" w:space="0"/>
              <w:right w:val="single" w:color="auto" w:sz="2" w:space="0"/>
            </w:tcBorders>
            <w:vAlign w:val="center"/>
          </w:tcPr>
          <w:p w14:paraId="731EB6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40,739.75</w:t>
            </w:r>
          </w:p>
        </w:tc>
        <w:tc>
          <w:tcPr>
            <w:tcW w:w="1377" w:type="dxa"/>
            <w:tcBorders>
              <w:top w:val="single" w:color="auto" w:sz="2" w:space="0"/>
              <w:left w:val="single" w:color="auto" w:sz="2" w:space="0"/>
              <w:bottom w:val="single" w:color="auto" w:sz="2" w:space="0"/>
              <w:right w:val="single" w:color="auto" w:sz="2" w:space="0"/>
            </w:tcBorders>
            <w:vAlign w:val="center"/>
          </w:tcPr>
          <w:p w14:paraId="2284C4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1,081,525.57</w:t>
            </w:r>
          </w:p>
        </w:tc>
        <w:tc>
          <w:tcPr>
            <w:tcW w:w="1377" w:type="dxa"/>
            <w:tcBorders>
              <w:top w:val="single" w:color="auto" w:sz="2" w:space="0"/>
              <w:left w:val="single" w:color="auto" w:sz="2" w:space="0"/>
              <w:bottom w:val="single" w:color="auto" w:sz="2" w:space="0"/>
              <w:right w:val="single" w:color="auto" w:sz="2" w:space="0"/>
            </w:tcBorders>
            <w:vAlign w:val="center"/>
          </w:tcPr>
          <w:p w14:paraId="24FD63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1,838,731.37</w:t>
            </w:r>
          </w:p>
        </w:tc>
        <w:tc>
          <w:tcPr>
            <w:tcW w:w="1377" w:type="dxa"/>
            <w:tcBorders>
              <w:top w:val="single" w:color="auto" w:sz="2" w:space="0"/>
              <w:left w:val="single" w:color="auto" w:sz="2" w:space="0"/>
              <w:bottom w:val="single" w:color="auto" w:sz="2" w:space="0"/>
              <w:right w:val="single" w:color="auto" w:sz="2" w:space="0"/>
            </w:tcBorders>
            <w:vAlign w:val="center"/>
          </w:tcPr>
          <w:p w14:paraId="16B575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162,076.78</w:t>
            </w:r>
          </w:p>
        </w:tc>
        <w:tc>
          <w:tcPr>
            <w:tcW w:w="1377" w:type="dxa"/>
            <w:tcBorders>
              <w:top w:val="single" w:color="auto" w:sz="2" w:space="0"/>
              <w:left w:val="single" w:color="auto" w:sz="2" w:space="0"/>
              <w:bottom w:val="single" w:color="auto" w:sz="2" w:space="0"/>
              <w:right w:val="single" w:color="auto" w:sz="2" w:space="0"/>
            </w:tcBorders>
            <w:vAlign w:val="center"/>
          </w:tcPr>
          <w:p w14:paraId="4DC8E1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1,676,654.59</w:t>
            </w:r>
          </w:p>
        </w:tc>
      </w:tr>
      <w:tr w14:paraId="79FA47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3CD72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272130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79,083,676.85</w:t>
            </w:r>
          </w:p>
        </w:tc>
        <w:tc>
          <w:tcPr>
            <w:tcW w:w="1377" w:type="dxa"/>
            <w:tcBorders>
              <w:top w:val="single" w:color="auto" w:sz="2" w:space="0"/>
              <w:left w:val="single" w:color="auto" w:sz="2" w:space="0"/>
              <w:bottom w:val="single" w:color="auto" w:sz="2" w:space="0"/>
              <w:right w:val="single" w:color="auto" w:sz="2" w:space="0"/>
            </w:tcBorders>
            <w:vAlign w:val="center"/>
          </w:tcPr>
          <w:p w14:paraId="26A038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501,702.28</w:t>
            </w:r>
          </w:p>
        </w:tc>
        <w:tc>
          <w:tcPr>
            <w:tcW w:w="1377" w:type="dxa"/>
            <w:tcBorders>
              <w:top w:val="single" w:color="auto" w:sz="2" w:space="0"/>
              <w:left w:val="single" w:color="auto" w:sz="2" w:space="0"/>
              <w:bottom w:val="single" w:color="auto" w:sz="2" w:space="0"/>
              <w:right w:val="single" w:color="auto" w:sz="2" w:space="0"/>
            </w:tcBorders>
            <w:vAlign w:val="center"/>
          </w:tcPr>
          <w:p w14:paraId="217359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78,581,974.57</w:t>
            </w:r>
          </w:p>
        </w:tc>
        <w:tc>
          <w:tcPr>
            <w:tcW w:w="1377" w:type="dxa"/>
            <w:tcBorders>
              <w:top w:val="single" w:color="auto" w:sz="2" w:space="0"/>
              <w:left w:val="single" w:color="auto" w:sz="2" w:space="0"/>
              <w:bottom w:val="single" w:color="auto" w:sz="2" w:space="0"/>
              <w:right w:val="single" w:color="auto" w:sz="2" w:space="0"/>
            </w:tcBorders>
            <w:vAlign w:val="center"/>
          </w:tcPr>
          <w:p w14:paraId="75CA8D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25,760,748.36</w:t>
            </w:r>
          </w:p>
        </w:tc>
        <w:tc>
          <w:tcPr>
            <w:tcW w:w="1377" w:type="dxa"/>
            <w:tcBorders>
              <w:top w:val="single" w:color="auto" w:sz="2" w:space="0"/>
              <w:left w:val="single" w:color="auto" w:sz="2" w:space="0"/>
              <w:bottom w:val="single" w:color="auto" w:sz="2" w:space="0"/>
              <w:right w:val="single" w:color="auto" w:sz="2" w:space="0"/>
            </w:tcBorders>
            <w:vAlign w:val="center"/>
          </w:tcPr>
          <w:p w14:paraId="73C6E0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364,495.41</w:t>
            </w:r>
          </w:p>
        </w:tc>
        <w:tc>
          <w:tcPr>
            <w:tcW w:w="1377" w:type="dxa"/>
            <w:tcBorders>
              <w:top w:val="single" w:color="auto" w:sz="2" w:space="0"/>
              <w:left w:val="single" w:color="auto" w:sz="2" w:space="0"/>
              <w:bottom w:val="single" w:color="auto" w:sz="2" w:space="0"/>
              <w:right w:val="single" w:color="auto" w:sz="2" w:space="0"/>
            </w:tcBorders>
            <w:vAlign w:val="center"/>
          </w:tcPr>
          <w:p w14:paraId="3BD097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25,396,252.95</w:t>
            </w:r>
          </w:p>
        </w:tc>
      </w:tr>
      <w:tr w14:paraId="7B4B27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E48FF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6B6779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1,108,039.88</w:t>
            </w:r>
          </w:p>
        </w:tc>
        <w:tc>
          <w:tcPr>
            <w:tcW w:w="1377" w:type="dxa"/>
            <w:tcBorders>
              <w:top w:val="single" w:color="auto" w:sz="2" w:space="0"/>
              <w:left w:val="single" w:color="auto" w:sz="2" w:space="0"/>
              <w:bottom w:val="single" w:color="auto" w:sz="2" w:space="0"/>
              <w:right w:val="single" w:color="auto" w:sz="2" w:space="0"/>
            </w:tcBorders>
            <w:vAlign w:val="center"/>
          </w:tcPr>
          <w:p w14:paraId="31FFF3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47,343.18</w:t>
            </w:r>
          </w:p>
        </w:tc>
        <w:tc>
          <w:tcPr>
            <w:tcW w:w="1377" w:type="dxa"/>
            <w:tcBorders>
              <w:top w:val="single" w:color="auto" w:sz="2" w:space="0"/>
              <w:left w:val="single" w:color="auto" w:sz="2" w:space="0"/>
              <w:bottom w:val="single" w:color="auto" w:sz="2" w:space="0"/>
              <w:right w:val="single" w:color="auto" w:sz="2" w:space="0"/>
            </w:tcBorders>
            <w:vAlign w:val="center"/>
          </w:tcPr>
          <w:p w14:paraId="344D83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1,060,696.70</w:t>
            </w:r>
          </w:p>
        </w:tc>
        <w:tc>
          <w:tcPr>
            <w:tcW w:w="1377" w:type="dxa"/>
            <w:tcBorders>
              <w:top w:val="single" w:color="auto" w:sz="2" w:space="0"/>
              <w:left w:val="single" w:color="auto" w:sz="2" w:space="0"/>
              <w:bottom w:val="single" w:color="auto" w:sz="2" w:space="0"/>
              <w:right w:val="single" w:color="auto" w:sz="2" w:space="0"/>
            </w:tcBorders>
            <w:vAlign w:val="center"/>
          </w:tcPr>
          <w:p w14:paraId="38119A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9,474,168.58</w:t>
            </w:r>
          </w:p>
        </w:tc>
        <w:tc>
          <w:tcPr>
            <w:tcW w:w="1377" w:type="dxa"/>
            <w:tcBorders>
              <w:top w:val="single" w:color="auto" w:sz="2" w:space="0"/>
              <w:left w:val="single" w:color="auto" w:sz="2" w:space="0"/>
              <w:bottom w:val="single" w:color="auto" w:sz="2" w:space="0"/>
              <w:right w:val="single" w:color="auto" w:sz="2" w:space="0"/>
            </w:tcBorders>
            <w:vAlign w:val="center"/>
          </w:tcPr>
          <w:p w14:paraId="598E6A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42,784.23</w:t>
            </w:r>
          </w:p>
        </w:tc>
        <w:tc>
          <w:tcPr>
            <w:tcW w:w="1377" w:type="dxa"/>
            <w:tcBorders>
              <w:top w:val="single" w:color="auto" w:sz="2" w:space="0"/>
              <w:left w:val="single" w:color="auto" w:sz="2" w:space="0"/>
              <w:bottom w:val="single" w:color="auto" w:sz="2" w:space="0"/>
              <w:right w:val="single" w:color="auto" w:sz="2" w:space="0"/>
            </w:tcBorders>
            <w:vAlign w:val="center"/>
          </w:tcPr>
          <w:p w14:paraId="563164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9,431,384.35</w:t>
            </w:r>
          </w:p>
        </w:tc>
      </w:tr>
      <w:tr w14:paraId="47E140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272843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发出商品</w:t>
            </w:r>
          </w:p>
        </w:tc>
        <w:tc>
          <w:tcPr>
            <w:tcW w:w="1377" w:type="dxa"/>
            <w:tcBorders>
              <w:top w:val="single" w:color="auto" w:sz="2" w:space="0"/>
              <w:left w:val="single" w:color="auto" w:sz="2" w:space="0"/>
              <w:bottom w:val="single" w:color="auto" w:sz="2" w:space="0"/>
              <w:right w:val="single" w:color="auto" w:sz="2" w:space="0"/>
            </w:tcBorders>
            <w:vAlign w:val="center"/>
          </w:tcPr>
          <w:p w14:paraId="19CE99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511,346.49</w:t>
            </w:r>
          </w:p>
        </w:tc>
        <w:tc>
          <w:tcPr>
            <w:tcW w:w="1377" w:type="dxa"/>
            <w:tcBorders>
              <w:top w:val="single" w:color="auto" w:sz="2" w:space="0"/>
              <w:left w:val="single" w:color="auto" w:sz="2" w:space="0"/>
              <w:bottom w:val="single" w:color="auto" w:sz="2" w:space="0"/>
              <w:right w:val="single" w:color="auto" w:sz="2" w:space="0"/>
            </w:tcBorders>
            <w:vAlign w:val="center"/>
          </w:tcPr>
          <w:p w14:paraId="4A53F8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13,725.94</w:t>
            </w:r>
          </w:p>
        </w:tc>
        <w:tc>
          <w:tcPr>
            <w:tcW w:w="1377" w:type="dxa"/>
            <w:tcBorders>
              <w:top w:val="single" w:color="auto" w:sz="2" w:space="0"/>
              <w:left w:val="single" w:color="auto" w:sz="2" w:space="0"/>
              <w:bottom w:val="single" w:color="auto" w:sz="2" w:space="0"/>
              <w:right w:val="single" w:color="auto" w:sz="2" w:space="0"/>
            </w:tcBorders>
            <w:vAlign w:val="center"/>
          </w:tcPr>
          <w:p w14:paraId="13D2DE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497,620.55</w:t>
            </w:r>
          </w:p>
        </w:tc>
        <w:tc>
          <w:tcPr>
            <w:tcW w:w="1377" w:type="dxa"/>
            <w:tcBorders>
              <w:top w:val="single" w:color="auto" w:sz="2" w:space="0"/>
              <w:left w:val="single" w:color="auto" w:sz="2" w:space="0"/>
              <w:bottom w:val="single" w:color="auto" w:sz="2" w:space="0"/>
              <w:right w:val="single" w:color="auto" w:sz="2" w:space="0"/>
            </w:tcBorders>
            <w:vAlign w:val="center"/>
          </w:tcPr>
          <w:p w14:paraId="581C29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931,520.86</w:t>
            </w:r>
          </w:p>
        </w:tc>
        <w:tc>
          <w:tcPr>
            <w:tcW w:w="1377" w:type="dxa"/>
            <w:tcBorders>
              <w:top w:val="single" w:color="auto" w:sz="2" w:space="0"/>
              <w:left w:val="single" w:color="auto" w:sz="2" w:space="0"/>
              <w:bottom w:val="single" w:color="auto" w:sz="2" w:space="0"/>
              <w:right w:val="single" w:color="auto" w:sz="2" w:space="0"/>
            </w:tcBorders>
            <w:vAlign w:val="center"/>
          </w:tcPr>
          <w:p w14:paraId="7B2AB1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121,563.36</w:t>
            </w:r>
          </w:p>
        </w:tc>
        <w:tc>
          <w:tcPr>
            <w:tcW w:w="1377" w:type="dxa"/>
            <w:tcBorders>
              <w:top w:val="single" w:color="auto" w:sz="2" w:space="0"/>
              <w:left w:val="single" w:color="auto" w:sz="2" w:space="0"/>
              <w:bottom w:val="single" w:color="auto" w:sz="2" w:space="0"/>
              <w:right w:val="single" w:color="auto" w:sz="2" w:space="0"/>
            </w:tcBorders>
            <w:vAlign w:val="center"/>
          </w:tcPr>
          <w:p w14:paraId="3C3383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809,957.50</w:t>
            </w:r>
          </w:p>
        </w:tc>
      </w:tr>
      <w:tr w14:paraId="64311E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ACE4B7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02993D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81,825,328.54</w:t>
            </w:r>
          </w:p>
        </w:tc>
        <w:tc>
          <w:tcPr>
            <w:tcW w:w="1377" w:type="dxa"/>
            <w:tcBorders>
              <w:top w:val="single" w:color="auto" w:sz="2" w:space="0"/>
              <w:left w:val="single" w:color="auto" w:sz="2" w:space="0"/>
              <w:bottom w:val="single" w:color="auto" w:sz="2" w:space="0"/>
              <w:right w:val="single" w:color="auto" w:sz="2" w:space="0"/>
            </w:tcBorders>
            <w:vAlign w:val="center"/>
          </w:tcPr>
          <w:p w14:paraId="0F1CBB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603,511.15</w:t>
            </w:r>
          </w:p>
        </w:tc>
        <w:tc>
          <w:tcPr>
            <w:tcW w:w="1377" w:type="dxa"/>
            <w:tcBorders>
              <w:top w:val="single" w:color="auto" w:sz="2" w:space="0"/>
              <w:left w:val="single" w:color="auto" w:sz="2" w:space="0"/>
              <w:bottom w:val="single" w:color="auto" w:sz="2" w:space="0"/>
              <w:right w:val="single" w:color="auto" w:sz="2" w:space="0"/>
            </w:tcBorders>
            <w:vAlign w:val="center"/>
          </w:tcPr>
          <w:p w14:paraId="5A1037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81,221,817.39</w:t>
            </w:r>
          </w:p>
        </w:tc>
        <w:tc>
          <w:tcPr>
            <w:tcW w:w="1377" w:type="dxa"/>
            <w:tcBorders>
              <w:top w:val="single" w:color="auto" w:sz="2" w:space="0"/>
              <w:left w:val="single" w:color="auto" w:sz="2" w:space="0"/>
              <w:bottom w:val="single" w:color="auto" w:sz="2" w:space="0"/>
              <w:right w:val="single" w:color="auto" w:sz="2" w:space="0"/>
            </w:tcBorders>
            <w:vAlign w:val="center"/>
          </w:tcPr>
          <w:p w14:paraId="378284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38,005,169.17</w:t>
            </w:r>
          </w:p>
        </w:tc>
        <w:tc>
          <w:tcPr>
            <w:tcW w:w="1377" w:type="dxa"/>
            <w:tcBorders>
              <w:top w:val="single" w:color="auto" w:sz="2" w:space="0"/>
              <w:left w:val="single" w:color="auto" w:sz="2" w:space="0"/>
              <w:bottom w:val="single" w:color="auto" w:sz="2" w:space="0"/>
              <w:right w:val="single" w:color="auto" w:sz="2" w:space="0"/>
            </w:tcBorders>
            <w:vAlign w:val="center"/>
          </w:tcPr>
          <w:p w14:paraId="5E383B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690,919.78</w:t>
            </w:r>
          </w:p>
        </w:tc>
        <w:tc>
          <w:tcPr>
            <w:tcW w:w="1377" w:type="dxa"/>
            <w:tcBorders>
              <w:top w:val="single" w:color="auto" w:sz="2" w:space="0"/>
              <w:left w:val="single" w:color="auto" w:sz="2" w:space="0"/>
              <w:bottom w:val="single" w:color="auto" w:sz="2" w:space="0"/>
              <w:right w:val="single" w:color="auto" w:sz="2" w:space="0"/>
            </w:tcBorders>
            <w:vAlign w:val="center"/>
          </w:tcPr>
          <w:p w14:paraId="0C4FB1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37,314,249.39</w:t>
            </w:r>
          </w:p>
        </w:tc>
      </w:tr>
    </w:tbl>
    <w:p w14:paraId="58D2ED74">
      <w:pPr>
        <w:keepNext/>
        <w:keepLines/>
        <w:spacing w:before="300" w:after="300" w:line="280" w:lineRule="exact"/>
        <w:outlineLvl w:val="3"/>
        <w:rPr>
          <w:rFonts w:ascii="Times New Roman" w:hAnsi="Times New Roman" w:cs="Times New Roman" w:eastAsiaTheme="majorEastAsia"/>
          <w:b/>
          <w:bCs/>
          <w:szCs w:val="21"/>
        </w:rPr>
      </w:pPr>
      <w:bookmarkStart w:id="258" w:name="_Toc989147"/>
      <w:r>
        <w:rPr>
          <w:rFonts w:ascii="Times New Roman" w:hAnsi="Times New Roman" w:cs="Times New Roman" w:eastAsiaTheme="majorEastAsia"/>
          <w:b/>
          <w:bCs/>
          <w:szCs w:val="21"/>
        </w:rPr>
        <w:t>（2） 存货跌价准备和合同履约成本减值准备</w:t>
      </w:r>
      <w:bookmarkEnd w:id="258"/>
    </w:p>
    <w:p w14:paraId="2D0D92A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0AA0C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3A04F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985B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B678E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本期增加金额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0633B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6C2E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55948E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DD6C3E">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8E43A92">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20C7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63EE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0EED3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转回或转销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78AC9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311F20C">
            <w:pPr>
              <w:rPr>
                <w:rFonts w:ascii="Times New Roman" w:hAnsi="Times New Roman" w:cs="Times New Roman" w:eastAsiaTheme="majorEastAsia"/>
              </w:rPr>
            </w:pPr>
          </w:p>
        </w:tc>
      </w:tr>
      <w:tr w14:paraId="4D4627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D4EB34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原材料</w:t>
            </w:r>
          </w:p>
        </w:tc>
        <w:tc>
          <w:tcPr>
            <w:tcW w:w="1377" w:type="dxa"/>
            <w:tcBorders>
              <w:top w:val="single" w:color="auto" w:sz="2" w:space="0"/>
              <w:left w:val="single" w:color="auto" w:sz="2" w:space="0"/>
              <w:bottom w:val="single" w:color="auto" w:sz="2" w:space="0"/>
              <w:right w:val="single" w:color="auto" w:sz="2" w:space="0"/>
            </w:tcBorders>
            <w:vAlign w:val="center"/>
          </w:tcPr>
          <w:p w14:paraId="336A98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162,076.78</w:t>
            </w:r>
          </w:p>
        </w:tc>
        <w:tc>
          <w:tcPr>
            <w:tcW w:w="1377" w:type="dxa"/>
            <w:tcBorders>
              <w:top w:val="single" w:color="auto" w:sz="2" w:space="0"/>
              <w:left w:val="single" w:color="auto" w:sz="2" w:space="0"/>
              <w:bottom w:val="single" w:color="auto" w:sz="2" w:space="0"/>
              <w:right w:val="single" w:color="auto" w:sz="2" w:space="0"/>
            </w:tcBorders>
            <w:vAlign w:val="center"/>
          </w:tcPr>
          <w:p w14:paraId="06C641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15,167.15</w:t>
            </w:r>
          </w:p>
        </w:tc>
        <w:tc>
          <w:tcPr>
            <w:tcW w:w="1377" w:type="dxa"/>
            <w:tcBorders>
              <w:top w:val="single" w:color="auto" w:sz="2" w:space="0"/>
              <w:left w:val="single" w:color="auto" w:sz="2" w:space="0"/>
              <w:bottom w:val="single" w:color="auto" w:sz="2" w:space="0"/>
              <w:right w:val="single" w:color="auto" w:sz="2" w:space="0"/>
            </w:tcBorders>
            <w:vAlign w:val="center"/>
          </w:tcPr>
          <w:p w14:paraId="6A5C797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E051A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136,504.18</w:t>
            </w:r>
          </w:p>
        </w:tc>
        <w:tc>
          <w:tcPr>
            <w:tcW w:w="1377" w:type="dxa"/>
            <w:tcBorders>
              <w:top w:val="single" w:color="auto" w:sz="2" w:space="0"/>
              <w:left w:val="single" w:color="auto" w:sz="2" w:space="0"/>
              <w:bottom w:val="single" w:color="auto" w:sz="2" w:space="0"/>
              <w:right w:val="single" w:color="auto" w:sz="2" w:space="0"/>
            </w:tcBorders>
            <w:vAlign w:val="center"/>
          </w:tcPr>
          <w:p w14:paraId="2986B05D">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D17AA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40,739.75</w:t>
            </w:r>
          </w:p>
        </w:tc>
      </w:tr>
      <w:tr w14:paraId="1F2B91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6CDCB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在产品</w:t>
            </w:r>
          </w:p>
        </w:tc>
        <w:tc>
          <w:tcPr>
            <w:tcW w:w="1377" w:type="dxa"/>
            <w:tcBorders>
              <w:top w:val="single" w:color="auto" w:sz="2" w:space="0"/>
              <w:left w:val="single" w:color="auto" w:sz="2" w:space="0"/>
              <w:bottom w:val="single" w:color="auto" w:sz="2" w:space="0"/>
              <w:right w:val="single" w:color="auto" w:sz="2" w:space="0"/>
            </w:tcBorders>
            <w:vAlign w:val="center"/>
          </w:tcPr>
          <w:p w14:paraId="0FFC79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364,495.41</w:t>
            </w:r>
          </w:p>
        </w:tc>
        <w:tc>
          <w:tcPr>
            <w:tcW w:w="1377" w:type="dxa"/>
            <w:tcBorders>
              <w:top w:val="single" w:color="auto" w:sz="2" w:space="0"/>
              <w:left w:val="single" w:color="auto" w:sz="2" w:space="0"/>
              <w:bottom w:val="single" w:color="auto" w:sz="2" w:space="0"/>
              <w:right w:val="single" w:color="auto" w:sz="2" w:space="0"/>
            </w:tcBorders>
            <w:vAlign w:val="center"/>
          </w:tcPr>
          <w:p w14:paraId="263D09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273,575.03</w:t>
            </w:r>
          </w:p>
        </w:tc>
        <w:tc>
          <w:tcPr>
            <w:tcW w:w="1377" w:type="dxa"/>
            <w:tcBorders>
              <w:top w:val="single" w:color="auto" w:sz="2" w:space="0"/>
              <w:left w:val="single" w:color="auto" w:sz="2" w:space="0"/>
              <w:bottom w:val="single" w:color="auto" w:sz="2" w:space="0"/>
              <w:right w:val="single" w:color="auto" w:sz="2" w:space="0"/>
            </w:tcBorders>
            <w:vAlign w:val="center"/>
          </w:tcPr>
          <w:p w14:paraId="54CE1CD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BFC8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136,368.16</w:t>
            </w:r>
          </w:p>
        </w:tc>
        <w:tc>
          <w:tcPr>
            <w:tcW w:w="1377" w:type="dxa"/>
            <w:tcBorders>
              <w:top w:val="single" w:color="auto" w:sz="2" w:space="0"/>
              <w:left w:val="single" w:color="auto" w:sz="2" w:space="0"/>
              <w:bottom w:val="single" w:color="auto" w:sz="2" w:space="0"/>
              <w:right w:val="single" w:color="auto" w:sz="2" w:space="0"/>
            </w:tcBorders>
            <w:vAlign w:val="center"/>
          </w:tcPr>
          <w:p w14:paraId="7F9DF6C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768E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501,702.28</w:t>
            </w:r>
          </w:p>
        </w:tc>
      </w:tr>
      <w:tr w14:paraId="33D52C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A04422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库存商品</w:t>
            </w:r>
          </w:p>
        </w:tc>
        <w:tc>
          <w:tcPr>
            <w:tcW w:w="1377" w:type="dxa"/>
            <w:tcBorders>
              <w:top w:val="single" w:color="auto" w:sz="2" w:space="0"/>
              <w:left w:val="single" w:color="auto" w:sz="2" w:space="0"/>
              <w:bottom w:val="single" w:color="auto" w:sz="2" w:space="0"/>
              <w:right w:val="single" w:color="auto" w:sz="2" w:space="0"/>
            </w:tcBorders>
            <w:vAlign w:val="center"/>
          </w:tcPr>
          <w:p w14:paraId="0473B3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42,784.23</w:t>
            </w:r>
          </w:p>
        </w:tc>
        <w:tc>
          <w:tcPr>
            <w:tcW w:w="1377" w:type="dxa"/>
            <w:tcBorders>
              <w:top w:val="single" w:color="auto" w:sz="2" w:space="0"/>
              <w:left w:val="single" w:color="auto" w:sz="2" w:space="0"/>
              <w:bottom w:val="single" w:color="auto" w:sz="2" w:space="0"/>
              <w:right w:val="single" w:color="auto" w:sz="2" w:space="0"/>
            </w:tcBorders>
            <w:vAlign w:val="center"/>
          </w:tcPr>
          <w:p w14:paraId="3C4034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17,206.07</w:t>
            </w:r>
          </w:p>
        </w:tc>
        <w:tc>
          <w:tcPr>
            <w:tcW w:w="1377" w:type="dxa"/>
            <w:tcBorders>
              <w:top w:val="single" w:color="auto" w:sz="2" w:space="0"/>
              <w:left w:val="single" w:color="auto" w:sz="2" w:space="0"/>
              <w:bottom w:val="single" w:color="auto" w:sz="2" w:space="0"/>
              <w:right w:val="single" w:color="auto" w:sz="2" w:space="0"/>
            </w:tcBorders>
            <w:vAlign w:val="center"/>
          </w:tcPr>
          <w:p w14:paraId="4CC2CC0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ED3C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12,647.12</w:t>
            </w:r>
          </w:p>
        </w:tc>
        <w:tc>
          <w:tcPr>
            <w:tcW w:w="1377" w:type="dxa"/>
            <w:tcBorders>
              <w:top w:val="single" w:color="auto" w:sz="2" w:space="0"/>
              <w:left w:val="single" w:color="auto" w:sz="2" w:space="0"/>
              <w:bottom w:val="single" w:color="auto" w:sz="2" w:space="0"/>
              <w:right w:val="single" w:color="auto" w:sz="2" w:space="0"/>
            </w:tcBorders>
            <w:vAlign w:val="center"/>
          </w:tcPr>
          <w:p w14:paraId="77F7546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84CF4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47,343.18</w:t>
            </w:r>
          </w:p>
        </w:tc>
      </w:tr>
      <w:tr w14:paraId="66516E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A5E3E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发出商品</w:t>
            </w:r>
          </w:p>
        </w:tc>
        <w:tc>
          <w:tcPr>
            <w:tcW w:w="1377" w:type="dxa"/>
            <w:tcBorders>
              <w:top w:val="single" w:color="auto" w:sz="2" w:space="0"/>
              <w:left w:val="single" w:color="auto" w:sz="2" w:space="0"/>
              <w:bottom w:val="single" w:color="auto" w:sz="2" w:space="0"/>
              <w:right w:val="single" w:color="auto" w:sz="2" w:space="0"/>
            </w:tcBorders>
            <w:vAlign w:val="center"/>
          </w:tcPr>
          <w:p w14:paraId="155B3F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121,563.36</w:t>
            </w:r>
          </w:p>
        </w:tc>
        <w:tc>
          <w:tcPr>
            <w:tcW w:w="1377" w:type="dxa"/>
            <w:tcBorders>
              <w:top w:val="single" w:color="auto" w:sz="2" w:space="0"/>
              <w:left w:val="single" w:color="auto" w:sz="2" w:space="0"/>
              <w:bottom w:val="single" w:color="auto" w:sz="2" w:space="0"/>
              <w:right w:val="single" w:color="auto" w:sz="2" w:space="0"/>
            </w:tcBorders>
            <w:vAlign w:val="center"/>
          </w:tcPr>
          <w:p w14:paraId="7854EA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11,023.15</w:t>
            </w:r>
          </w:p>
        </w:tc>
        <w:tc>
          <w:tcPr>
            <w:tcW w:w="1377" w:type="dxa"/>
            <w:tcBorders>
              <w:top w:val="single" w:color="auto" w:sz="2" w:space="0"/>
              <w:left w:val="single" w:color="auto" w:sz="2" w:space="0"/>
              <w:bottom w:val="single" w:color="auto" w:sz="2" w:space="0"/>
              <w:right w:val="single" w:color="auto" w:sz="2" w:space="0"/>
            </w:tcBorders>
            <w:vAlign w:val="center"/>
          </w:tcPr>
          <w:p w14:paraId="05D83EC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C0F7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118,860.57</w:t>
            </w:r>
          </w:p>
        </w:tc>
        <w:tc>
          <w:tcPr>
            <w:tcW w:w="1377" w:type="dxa"/>
            <w:tcBorders>
              <w:top w:val="single" w:color="auto" w:sz="2" w:space="0"/>
              <w:left w:val="single" w:color="auto" w:sz="2" w:space="0"/>
              <w:bottom w:val="single" w:color="auto" w:sz="2" w:space="0"/>
              <w:right w:val="single" w:color="auto" w:sz="2" w:space="0"/>
            </w:tcBorders>
            <w:vAlign w:val="center"/>
          </w:tcPr>
          <w:p w14:paraId="6596727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A361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13,725.94</w:t>
            </w:r>
          </w:p>
        </w:tc>
      </w:tr>
      <w:tr w14:paraId="3897E5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8365E6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E39A1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690,919.78</w:t>
            </w:r>
          </w:p>
        </w:tc>
        <w:tc>
          <w:tcPr>
            <w:tcW w:w="1377" w:type="dxa"/>
            <w:tcBorders>
              <w:top w:val="single" w:color="auto" w:sz="2" w:space="0"/>
              <w:left w:val="single" w:color="auto" w:sz="2" w:space="0"/>
              <w:bottom w:val="single" w:color="auto" w:sz="2" w:space="0"/>
              <w:right w:val="single" w:color="auto" w:sz="2" w:space="0"/>
            </w:tcBorders>
            <w:vAlign w:val="center"/>
          </w:tcPr>
          <w:p w14:paraId="196664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316,971.40</w:t>
            </w:r>
          </w:p>
        </w:tc>
        <w:tc>
          <w:tcPr>
            <w:tcW w:w="1377" w:type="dxa"/>
            <w:tcBorders>
              <w:top w:val="single" w:color="auto" w:sz="2" w:space="0"/>
              <w:left w:val="single" w:color="auto" w:sz="2" w:space="0"/>
              <w:bottom w:val="single" w:color="auto" w:sz="2" w:space="0"/>
              <w:right w:val="single" w:color="auto" w:sz="2" w:space="0"/>
            </w:tcBorders>
            <w:vAlign w:val="center"/>
          </w:tcPr>
          <w:p w14:paraId="47DFF04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D634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404,380.03</w:t>
            </w:r>
          </w:p>
        </w:tc>
        <w:tc>
          <w:tcPr>
            <w:tcW w:w="1377" w:type="dxa"/>
            <w:tcBorders>
              <w:top w:val="single" w:color="auto" w:sz="2" w:space="0"/>
              <w:left w:val="single" w:color="auto" w:sz="2" w:space="0"/>
              <w:bottom w:val="single" w:color="auto" w:sz="2" w:space="0"/>
              <w:right w:val="single" w:color="auto" w:sz="2" w:space="0"/>
            </w:tcBorders>
            <w:vAlign w:val="center"/>
          </w:tcPr>
          <w:p w14:paraId="209E9D5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C7DD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603,511.15</w:t>
            </w:r>
          </w:p>
        </w:tc>
      </w:tr>
    </w:tbl>
    <w:p w14:paraId="2A6F7F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按组合计提存货跌价准备</w:t>
      </w:r>
    </w:p>
    <w:p w14:paraId="7959B77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F22FD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775A80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组合名称</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23378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A6D2A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w:t>
            </w:r>
          </w:p>
        </w:tc>
      </w:tr>
      <w:tr w14:paraId="4803F7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D69CCCF">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7BCC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462DF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09B80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跌价准备计提比例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5950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E6597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跌价准备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24A6D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跌价准备计提比例</w:t>
            </w:r>
          </w:p>
        </w:tc>
      </w:tr>
      <w:tr w14:paraId="6B0F9F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7392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377" w:type="dxa"/>
            <w:tcBorders>
              <w:top w:val="single" w:color="auto" w:sz="2" w:space="0"/>
              <w:left w:val="single" w:color="auto" w:sz="2" w:space="0"/>
              <w:bottom w:val="single" w:color="auto" w:sz="2" w:space="0"/>
              <w:right w:val="single" w:color="auto" w:sz="2" w:space="0"/>
            </w:tcBorders>
            <w:vAlign w:val="center"/>
          </w:tcPr>
          <w:p w14:paraId="6D5655C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38054D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CA4CC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A5CC2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52B3A2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1134842">
            <w:pPr>
              <w:spacing w:line="240" w:lineRule="exact"/>
              <w:jc w:val="right"/>
              <w:rPr>
                <w:rFonts w:ascii="Times New Roman" w:hAnsi="Times New Roman" w:cs="Times New Roman" w:eastAsiaTheme="majorEastAsia"/>
                <w:sz w:val="18"/>
                <w:szCs w:val="18"/>
              </w:rPr>
            </w:pPr>
          </w:p>
        </w:tc>
      </w:tr>
    </w:tbl>
    <w:p w14:paraId="4BEA071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按组合计提存货跌价准备的计提标准</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r>
        <w:rPr>
          <w:rFonts w:hint="eastAsia" w:ascii="Times New Roman" w:hAnsi="Times New Roman" w:cs="Times New Roman" w:eastAsiaTheme="majorEastAsia"/>
          <w:sz w:val="18"/>
          <w:szCs w:val="18"/>
        </w:rPr>
        <w:t>。</w:t>
      </w:r>
    </w:p>
    <w:p w14:paraId="56E2DC26">
      <w:pPr>
        <w:keepNext/>
        <w:keepLines/>
        <w:spacing w:before="300" w:after="300" w:line="280" w:lineRule="exact"/>
        <w:outlineLvl w:val="3"/>
        <w:rPr>
          <w:rFonts w:ascii="Times New Roman" w:hAnsi="Times New Roman" w:cs="Times New Roman" w:eastAsiaTheme="majorEastAsia"/>
          <w:b/>
          <w:bCs/>
          <w:szCs w:val="21"/>
        </w:rPr>
      </w:pPr>
      <w:bookmarkStart w:id="259" w:name="_Toc989148"/>
      <w:r>
        <w:rPr>
          <w:rFonts w:ascii="Times New Roman" w:hAnsi="Times New Roman" w:cs="Times New Roman" w:eastAsiaTheme="majorEastAsia"/>
          <w:b/>
          <w:bCs/>
          <w:szCs w:val="21"/>
        </w:rPr>
        <w:t>（3） 存货期末余额含有借款费用资本化金额的说明</w:t>
      </w:r>
      <w:bookmarkEnd w:id="259"/>
    </w:p>
    <w:p w14:paraId="33965BB4">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r>
        <w:rPr>
          <w:rFonts w:hint="eastAsia" w:ascii="Times New Roman" w:hAnsi="Times New Roman" w:cs="Times New Roman" w:eastAsiaTheme="majorEastAsia"/>
          <w:sz w:val="21"/>
          <w:szCs w:val="21"/>
        </w:rPr>
        <w:t>。</w:t>
      </w:r>
    </w:p>
    <w:p w14:paraId="4FEDAB00">
      <w:pPr>
        <w:keepNext/>
        <w:keepLines/>
        <w:spacing w:before="300" w:after="300" w:line="280" w:lineRule="exact"/>
        <w:outlineLvl w:val="3"/>
        <w:rPr>
          <w:rFonts w:ascii="Times New Roman" w:hAnsi="Times New Roman" w:cs="Times New Roman" w:eastAsiaTheme="majorEastAsia"/>
          <w:b/>
          <w:bCs/>
          <w:szCs w:val="21"/>
        </w:rPr>
      </w:pPr>
      <w:bookmarkStart w:id="260" w:name="_Toc989149"/>
      <w:r>
        <w:rPr>
          <w:rFonts w:ascii="Times New Roman" w:hAnsi="Times New Roman" w:cs="Times New Roman" w:eastAsiaTheme="majorEastAsia"/>
          <w:b/>
          <w:bCs/>
          <w:szCs w:val="21"/>
        </w:rPr>
        <w:t>（4） 合同履约成本本期摊销金额的说明</w:t>
      </w:r>
      <w:bookmarkEnd w:id="260"/>
    </w:p>
    <w:p w14:paraId="35623683">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r>
        <w:rPr>
          <w:rFonts w:hint="eastAsia" w:ascii="Times New Roman" w:hAnsi="Times New Roman" w:cs="Times New Roman" w:eastAsiaTheme="majorEastAsia"/>
          <w:sz w:val="21"/>
          <w:szCs w:val="21"/>
        </w:rPr>
        <w:t>。</w:t>
      </w:r>
    </w:p>
    <w:p w14:paraId="6FB3CD06">
      <w:pPr>
        <w:pStyle w:val="3"/>
        <w:spacing w:line="280" w:lineRule="exact"/>
        <w:jc w:val="left"/>
        <w:rPr>
          <w:rFonts w:ascii="Times New Roman" w:hAnsi="Times New Roman" w:cs="Times New Roman" w:eastAsiaTheme="majorEastAsia"/>
          <w:b/>
          <w:bCs/>
        </w:rPr>
      </w:pPr>
      <w:bookmarkStart w:id="261" w:name="_Toc989150"/>
      <w:r>
        <w:rPr>
          <w:rFonts w:ascii="Times New Roman" w:hAnsi="Times New Roman" w:cs="Times New Roman" w:eastAsiaTheme="majorEastAsia"/>
          <w:b/>
          <w:bCs/>
        </w:rPr>
        <w:t>9、一年内到期的非流动资产</w:t>
      </w:r>
      <w:bookmarkEnd w:id="261"/>
    </w:p>
    <w:p w14:paraId="34685CE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4F2CF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2765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1874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AC28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467D7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8A56D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一年内到期的长期应收款</w:t>
            </w:r>
          </w:p>
        </w:tc>
        <w:tc>
          <w:tcPr>
            <w:tcW w:w="3213" w:type="dxa"/>
            <w:tcBorders>
              <w:top w:val="single" w:color="auto" w:sz="2" w:space="0"/>
              <w:left w:val="single" w:color="auto" w:sz="2" w:space="0"/>
              <w:bottom w:val="single" w:color="auto" w:sz="2" w:space="0"/>
              <w:right w:val="single" w:color="auto" w:sz="2" w:space="0"/>
            </w:tcBorders>
            <w:vAlign w:val="center"/>
          </w:tcPr>
          <w:p w14:paraId="6C79F7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24,399,620.88</w:t>
            </w:r>
          </w:p>
        </w:tc>
        <w:tc>
          <w:tcPr>
            <w:tcW w:w="3213" w:type="dxa"/>
            <w:tcBorders>
              <w:top w:val="single" w:color="auto" w:sz="2" w:space="0"/>
              <w:left w:val="single" w:color="auto" w:sz="2" w:space="0"/>
              <w:bottom w:val="single" w:color="auto" w:sz="2" w:space="0"/>
              <w:right w:val="single" w:color="auto" w:sz="2" w:space="0"/>
            </w:tcBorders>
            <w:vAlign w:val="center"/>
          </w:tcPr>
          <w:p w14:paraId="5B8C7D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r w14:paraId="50516B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47EA4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88283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24,399,620.88</w:t>
            </w:r>
          </w:p>
        </w:tc>
        <w:tc>
          <w:tcPr>
            <w:tcW w:w="3213" w:type="dxa"/>
            <w:tcBorders>
              <w:top w:val="single" w:color="auto" w:sz="2" w:space="0"/>
              <w:left w:val="single" w:color="auto" w:sz="2" w:space="0"/>
              <w:bottom w:val="single" w:color="auto" w:sz="2" w:space="0"/>
              <w:right w:val="single" w:color="auto" w:sz="2" w:space="0"/>
            </w:tcBorders>
            <w:vAlign w:val="center"/>
          </w:tcPr>
          <w:p w14:paraId="529E97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bl>
    <w:p w14:paraId="2CF518AB">
      <w:pPr>
        <w:keepNext/>
        <w:keepLines/>
        <w:spacing w:before="300" w:after="300" w:line="280" w:lineRule="exact"/>
        <w:outlineLvl w:val="3"/>
        <w:rPr>
          <w:rFonts w:ascii="Times New Roman" w:hAnsi="Times New Roman" w:cs="Times New Roman" w:eastAsiaTheme="majorEastAsia"/>
          <w:b/>
          <w:bCs/>
          <w:szCs w:val="21"/>
        </w:rPr>
      </w:pPr>
      <w:bookmarkStart w:id="262" w:name="_Toc989151"/>
      <w:r>
        <w:rPr>
          <w:rFonts w:ascii="Times New Roman" w:hAnsi="Times New Roman" w:cs="Times New Roman" w:eastAsiaTheme="majorEastAsia"/>
          <w:b/>
          <w:bCs/>
          <w:szCs w:val="21"/>
        </w:rPr>
        <w:t>（1） 一年内到期的债权投资</w:t>
      </w:r>
      <w:bookmarkEnd w:id="262"/>
    </w:p>
    <w:p w14:paraId="04F432E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40117E0">
      <w:pPr>
        <w:keepNext/>
        <w:keepLines/>
        <w:spacing w:before="300" w:after="300" w:line="280" w:lineRule="exact"/>
        <w:outlineLvl w:val="3"/>
        <w:rPr>
          <w:rFonts w:ascii="Times New Roman" w:hAnsi="Times New Roman" w:cs="Times New Roman" w:eastAsiaTheme="majorEastAsia"/>
          <w:b/>
          <w:bCs/>
          <w:szCs w:val="21"/>
        </w:rPr>
      </w:pPr>
      <w:bookmarkStart w:id="263" w:name="_Toc989152"/>
      <w:r>
        <w:rPr>
          <w:rFonts w:ascii="Times New Roman" w:hAnsi="Times New Roman" w:cs="Times New Roman" w:eastAsiaTheme="majorEastAsia"/>
          <w:b/>
          <w:bCs/>
          <w:szCs w:val="21"/>
        </w:rPr>
        <w:t>（2） 一年内到期的其他债权投资</w:t>
      </w:r>
      <w:bookmarkEnd w:id="263"/>
    </w:p>
    <w:p w14:paraId="7664159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C4675B5">
      <w:pPr>
        <w:pStyle w:val="3"/>
        <w:spacing w:line="280" w:lineRule="exact"/>
        <w:jc w:val="left"/>
        <w:rPr>
          <w:rFonts w:ascii="Times New Roman" w:hAnsi="Times New Roman" w:cs="Times New Roman" w:eastAsiaTheme="majorEastAsia"/>
          <w:b/>
          <w:bCs/>
        </w:rPr>
      </w:pPr>
      <w:bookmarkStart w:id="264" w:name="_Toc989153"/>
      <w:r>
        <w:rPr>
          <w:rFonts w:ascii="Times New Roman" w:hAnsi="Times New Roman" w:cs="Times New Roman" w:eastAsiaTheme="majorEastAsia"/>
          <w:b/>
          <w:bCs/>
        </w:rPr>
        <w:t>10、其他流动资产</w:t>
      </w:r>
      <w:bookmarkEnd w:id="264"/>
    </w:p>
    <w:p w14:paraId="5E26EA7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A3E4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700844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21A0C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9446E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7F13ED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5EEFD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待认证、待抵扣进项税额</w:t>
            </w:r>
          </w:p>
        </w:tc>
        <w:tc>
          <w:tcPr>
            <w:tcW w:w="3213" w:type="dxa"/>
            <w:tcBorders>
              <w:top w:val="single" w:color="auto" w:sz="2" w:space="0"/>
              <w:left w:val="single" w:color="auto" w:sz="2" w:space="0"/>
              <w:bottom w:val="single" w:color="auto" w:sz="2" w:space="0"/>
              <w:right w:val="single" w:color="auto" w:sz="2" w:space="0"/>
            </w:tcBorders>
            <w:vAlign w:val="center"/>
          </w:tcPr>
          <w:p w14:paraId="220977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51,676,777.78</w:t>
            </w:r>
          </w:p>
        </w:tc>
        <w:tc>
          <w:tcPr>
            <w:tcW w:w="3213" w:type="dxa"/>
            <w:tcBorders>
              <w:top w:val="single" w:color="auto" w:sz="2" w:space="0"/>
              <w:left w:val="single" w:color="auto" w:sz="2" w:space="0"/>
              <w:bottom w:val="single" w:color="auto" w:sz="2" w:space="0"/>
              <w:right w:val="single" w:color="auto" w:sz="2" w:space="0"/>
            </w:tcBorders>
            <w:vAlign w:val="center"/>
          </w:tcPr>
          <w:p w14:paraId="5A4424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8,482,347.89</w:t>
            </w:r>
          </w:p>
        </w:tc>
      </w:tr>
      <w:tr w14:paraId="3C9EDD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8D68F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金融工具应计利息</w:t>
            </w:r>
          </w:p>
        </w:tc>
        <w:tc>
          <w:tcPr>
            <w:tcW w:w="3213" w:type="dxa"/>
            <w:tcBorders>
              <w:top w:val="single" w:color="auto" w:sz="2" w:space="0"/>
              <w:left w:val="single" w:color="auto" w:sz="2" w:space="0"/>
              <w:bottom w:val="single" w:color="auto" w:sz="2" w:space="0"/>
              <w:right w:val="single" w:color="auto" w:sz="2" w:space="0"/>
            </w:tcBorders>
            <w:vAlign w:val="center"/>
          </w:tcPr>
          <w:p w14:paraId="2A48AE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176,982.91</w:t>
            </w:r>
          </w:p>
        </w:tc>
        <w:tc>
          <w:tcPr>
            <w:tcW w:w="3213" w:type="dxa"/>
            <w:tcBorders>
              <w:top w:val="single" w:color="auto" w:sz="2" w:space="0"/>
              <w:left w:val="single" w:color="auto" w:sz="2" w:space="0"/>
              <w:bottom w:val="single" w:color="auto" w:sz="2" w:space="0"/>
              <w:right w:val="single" w:color="auto" w:sz="2" w:space="0"/>
            </w:tcBorders>
            <w:vAlign w:val="center"/>
          </w:tcPr>
          <w:p w14:paraId="057FC2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1,692,975.63</w:t>
            </w:r>
          </w:p>
        </w:tc>
      </w:tr>
      <w:tr w14:paraId="29EA0E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DF708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留抵税额</w:t>
            </w:r>
          </w:p>
        </w:tc>
        <w:tc>
          <w:tcPr>
            <w:tcW w:w="3213" w:type="dxa"/>
            <w:tcBorders>
              <w:top w:val="single" w:color="auto" w:sz="2" w:space="0"/>
              <w:left w:val="single" w:color="auto" w:sz="2" w:space="0"/>
              <w:bottom w:val="single" w:color="auto" w:sz="2" w:space="0"/>
              <w:right w:val="single" w:color="auto" w:sz="2" w:space="0"/>
            </w:tcBorders>
            <w:vAlign w:val="center"/>
          </w:tcPr>
          <w:p w14:paraId="2C487A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1,331.32</w:t>
            </w:r>
          </w:p>
        </w:tc>
        <w:tc>
          <w:tcPr>
            <w:tcW w:w="3213" w:type="dxa"/>
            <w:tcBorders>
              <w:top w:val="single" w:color="auto" w:sz="2" w:space="0"/>
              <w:left w:val="single" w:color="auto" w:sz="2" w:space="0"/>
              <w:bottom w:val="single" w:color="auto" w:sz="2" w:space="0"/>
              <w:right w:val="single" w:color="auto" w:sz="2" w:space="0"/>
            </w:tcBorders>
            <w:vAlign w:val="center"/>
          </w:tcPr>
          <w:p w14:paraId="6B02B2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9,108.53</w:t>
            </w:r>
          </w:p>
        </w:tc>
      </w:tr>
      <w:tr w14:paraId="453199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5343D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预缴税费</w:t>
            </w:r>
          </w:p>
        </w:tc>
        <w:tc>
          <w:tcPr>
            <w:tcW w:w="3213" w:type="dxa"/>
            <w:tcBorders>
              <w:top w:val="single" w:color="auto" w:sz="2" w:space="0"/>
              <w:left w:val="single" w:color="auto" w:sz="2" w:space="0"/>
              <w:bottom w:val="single" w:color="auto" w:sz="2" w:space="0"/>
              <w:right w:val="single" w:color="auto" w:sz="2" w:space="0"/>
            </w:tcBorders>
            <w:vAlign w:val="center"/>
          </w:tcPr>
          <w:p w14:paraId="2E5FD9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2,171,579.96</w:t>
            </w:r>
          </w:p>
        </w:tc>
        <w:tc>
          <w:tcPr>
            <w:tcW w:w="3213" w:type="dxa"/>
            <w:tcBorders>
              <w:top w:val="single" w:color="auto" w:sz="2" w:space="0"/>
              <w:left w:val="single" w:color="auto" w:sz="2" w:space="0"/>
              <w:bottom w:val="single" w:color="auto" w:sz="2" w:space="0"/>
              <w:right w:val="single" w:color="auto" w:sz="2" w:space="0"/>
            </w:tcBorders>
            <w:vAlign w:val="center"/>
          </w:tcPr>
          <w:p w14:paraId="51595E3D">
            <w:pPr>
              <w:spacing w:line="240" w:lineRule="exact"/>
              <w:jc w:val="right"/>
              <w:rPr>
                <w:rFonts w:ascii="Times New Roman" w:hAnsi="Times New Roman" w:cs="Times New Roman" w:eastAsiaTheme="majorEastAsia"/>
                <w:sz w:val="18"/>
                <w:szCs w:val="18"/>
              </w:rPr>
            </w:pPr>
          </w:p>
        </w:tc>
      </w:tr>
      <w:tr w14:paraId="4658D0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313F2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579A6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54,026,671.97</w:t>
            </w:r>
          </w:p>
        </w:tc>
        <w:tc>
          <w:tcPr>
            <w:tcW w:w="3213" w:type="dxa"/>
            <w:tcBorders>
              <w:top w:val="single" w:color="auto" w:sz="2" w:space="0"/>
              <w:left w:val="single" w:color="auto" w:sz="2" w:space="0"/>
              <w:bottom w:val="single" w:color="auto" w:sz="2" w:space="0"/>
              <w:right w:val="single" w:color="auto" w:sz="2" w:space="0"/>
            </w:tcBorders>
            <w:vAlign w:val="center"/>
          </w:tcPr>
          <w:p w14:paraId="1847D8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10,184,432.05</w:t>
            </w:r>
          </w:p>
        </w:tc>
      </w:tr>
    </w:tbl>
    <w:p w14:paraId="5CB228F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r>
        <w:rPr>
          <w:rFonts w:hint="eastAsia" w:ascii="Times New Roman" w:hAnsi="Times New Roman" w:cs="Times New Roman" w:eastAsiaTheme="majorEastAsia"/>
          <w:sz w:val="18"/>
          <w:szCs w:val="18"/>
        </w:rPr>
        <w:t>。</w:t>
      </w:r>
    </w:p>
    <w:p w14:paraId="4E82E1CD">
      <w:pPr>
        <w:pStyle w:val="3"/>
        <w:spacing w:line="280" w:lineRule="exact"/>
        <w:jc w:val="left"/>
        <w:rPr>
          <w:rFonts w:ascii="Times New Roman" w:hAnsi="Times New Roman" w:cs="Times New Roman" w:eastAsiaTheme="majorEastAsia"/>
          <w:b/>
          <w:bCs/>
        </w:rPr>
      </w:pPr>
      <w:bookmarkStart w:id="265" w:name="_Toc989154"/>
      <w:r>
        <w:rPr>
          <w:rFonts w:ascii="Times New Roman" w:hAnsi="Times New Roman" w:cs="Times New Roman" w:eastAsiaTheme="majorEastAsia"/>
          <w:b/>
          <w:bCs/>
        </w:rPr>
        <w:t>11、其他权益工具投资</w:t>
      </w:r>
      <w:bookmarkEnd w:id="265"/>
    </w:p>
    <w:p w14:paraId="02BC18D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2"/>
        <w:gridCol w:w="1161"/>
        <w:gridCol w:w="1161"/>
        <w:gridCol w:w="904"/>
        <w:gridCol w:w="905"/>
        <w:gridCol w:w="1031"/>
        <w:gridCol w:w="1513"/>
        <w:gridCol w:w="735"/>
        <w:gridCol w:w="1411"/>
      </w:tblGrid>
      <w:tr w14:paraId="7A490C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24" w:type="pct"/>
            <w:tcBorders>
              <w:top w:val="single" w:color="auto" w:sz="2" w:space="0"/>
              <w:left w:val="single" w:color="auto" w:sz="2" w:space="0"/>
              <w:bottom w:val="single" w:color="auto" w:sz="2" w:space="0"/>
              <w:right w:val="single" w:color="auto" w:sz="2" w:space="0"/>
            </w:tcBorders>
            <w:shd w:val="clear" w:color="auto" w:fill="D3D3D3"/>
            <w:vAlign w:val="center"/>
          </w:tcPr>
          <w:p w14:paraId="33FE0F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589" w:type="pct"/>
            <w:tcBorders>
              <w:top w:val="single" w:color="auto" w:sz="2" w:space="0"/>
              <w:left w:val="single" w:color="auto" w:sz="2" w:space="0"/>
              <w:bottom w:val="single" w:color="auto" w:sz="2" w:space="0"/>
              <w:right w:val="single" w:color="auto" w:sz="2" w:space="0"/>
            </w:tcBorders>
            <w:shd w:val="clear" w:color="auto" w:fill="D3D3D3"/>
            <w:vAlign w:val="center"/>
          </w:tcPr>
          <w:p w14:paraId="5097F50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589" w:type="pct"/>
            <w:tcBorders>
              <w:top w:val="single" w:color="auto" w:sz="2" w:space="0"/>
              <w:left w:val="single" w:color="auto" w:sz="2" w:space="0"/>
              <w:bottom w:val="single" w:color="auto" w:sz="2" w:space="0"/>
              <w:right w:val="single" w:color="auto" w:sz="2" w:space="0"/>
            </w:tcBorders>
            <w:shd w:val="clear" w:color="auto" w:fill="D3D3D3"/>
            <w:vAlign w:val="center"/>
          </w:tcPr>
          <w:p w14:paraId="7D784DD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459" w:type="pct"/>
            <w:tcBorders>
              <w:top w:val="single" w:color="auto" w:sz="2" w:space="0"/>
              <w:left w:val="single" w:color="auto" w:sz="2" w:space="0"/>
              <w:bottom w:val="single" w:color="auto" w:sz="2" w:space="0"/>
              <w:right w:val="single" w:color="auto" w:sz="2" w:space="0"/>
            </w:tcBorders>
            <w:shd w:val="clear" w:color="auto" w:fill="D3D3D3"/>
            <w:vAlign w:val="center"/>
          </w:tcPr>
          <w:p w14:paraId="096C1C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本期计入其他综合收益的利得</w:t>
            </w:r>
          </w:p>
        </w:tc>
        <w:tc>
          <w:tcPr>
            <w:tcW w:w="459" w:type="pct"/>
            <w:tcBorders>
              <w:top w:val="single" w:color="auto" w:sz="2" w:space="0"/>
              <w:left w:val="single" w:color="auto" w:sz="2" w:space="0"/>
              <w:bottom w:val="single" w:color="auto" w:sz="2" w:space="0"/>
              <w:right w:val="single" w:color="auto" w:sz="2" w:space="0"/>
            </w:tcBorders>
            <w:shd w:val="clear" w:color="auto" w:fill="D3D3D3"/>
            <w:vAlign w:val="center"/>
          </w:tcPr>
          <w:p w14:paraId="3EC690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本期计入其他综合收益的损失</w:t>
            </w:r>
          </w:p>
        </w:tc>
        <w:tc>
          <w:tcPr>
            <w:tcW w:w="523" w:type="pct"/>
            <w:tcBorders>
              <w:top w:val="single" w:color="auto" w:sz="2" w:space="0"/>
              <w:left w:val="single" w:color="auto" w:sz="2" w:space="0"/>
              <w:bottom w:val="single" w:color="auto" w:sz="2" w:space="0"/>
              <w:right w:val="single" w:color="auto" w:sz="2" w:space="0"/>
            </w:tcBorders>
            <w:shd w:val="clear" w:color="auto" w:fill="D3D3D3"/>
            <w:vAlign w:val="center"/>
          </w:tcPr>
          <w:p w14:paraId="2115ADB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本期末累计计入其他综合收益的利得</w:t>
            </w:r>
          </w:p>
        </w:tc>
        <w:tc>
          <w:tcPr>
            <w:tcW w:w="768" w:type="pct"/>
            <w:tcBorders>
              <w:top w:val="single" w:color="auto" w:sz="2" w:space="0"/>
              <w:left w:val="single" w:color="auto" w:sz="2" w:space="0"/>
              <w:bottom w:val="single" w:color="auto" w:sz="2" w:space="0"/>
              <w:right w:val="single" w:color="auto" w:sz="2" w:space="0"/>
            </w:tcBorders>
            <w:shd w:val="clear" w:color="auto" w:fill="D3D3D3"/>
            <w:vAlign w:val="center"/>
          </w:tcPr>
          <w:p w14:paraId="7FCCF75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本期末累计计入其他综合收益的损失</w:t>
            </w:r>
          </w:p>
        </w:tc>
        <w:tc>
          <w:tcPr>
            <w:tcW w:w="373" w:type="pct"/>
            <w:tcBorders>
              <w:top w:val="single" w:color="auto" w:sz="2" w:space="0"/>
              <w:left w:val="single" w:color="auto" w:sz="2" w:space="0"/>
              <w:bottom w:val="single" w:color="auto" w:sz="2" w:space="0"/>
              <w:right w:val="single" w:color="auto" w:sz="2" w:space="0"/>
            </w:tcBorders>
            <w:shd w:val="clear" w:color="auto" w:fill="D3D3D3"/>
            <w:vAlign w:val="center"/>
          </w:tcPr>
          <w:p w14:paraId="1B8575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本期确认的股利收入</w:t>
            </w:r>
          </w:p>
        </w:tc>
        <w:tc>
          <w:tcPr>
            <w:tcW w:w="717" w:type="pct"/>
            <w:tcBorders>
              <w:top w:val="single" w:color="auto" w:sz="2" w:space="0"/>
              <w:left w:val="single" w:color="auto" w:sz="2" w:space="0"/>
              <w:bottom w:val="single" w:color="auto" w:sz="2" w:space="0"/>
              <w:right w:val="single" w:color="auto" w:sz="2" w:space="0"/>
            </w:tcBorders>
            <w:shd w:val="clear" w:color="auto" w:fill="D3D3D3"/>
            <w:vAlign w:val="center"/>
          </w:tcPr>
          <w:p w14:paraId="60A2C3F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指定为以公允价值计量且其变动计入其他综合收益的原因</w:t>
            </w:r>
          </w:p>
        </w:tc>
      </w:tr>
      <w:tr w14:paraId="1B06CA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24" w:type="pct"/>
            <w:tcBorders>
              <w:top w:val="single" w:color="auto" w:sz="2" w:space="0"/>
              <w:left w:val="single" w:color="auto" w:sz="2" w:space="0"/>
              <w:bottom w:val="single" w:color="auto" w:sz="2" w:space="0"/>
              <w:right w:val="single" w:color="auto" w:sz="2" w:space="0"/>
            </w:tcBorders>
            <w:vAlign w:val="center"/>
          </w:tcPr>
          <w:p w14:paraId="25A8BA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广东潮阳农村商业银行股份有限公司</w:t>
            </w:r>
          </w:p>
        </w:tc>
        <w:tc>
          <w:tcPr>
            <w:tcW w:w="589" w:type="pct"/>
            <w:tcBorders>
              <w:top w:val="single" w:color="auto" w:sz="2" w:space="0"/>
              <w:left w:val="single" w:color="auto" w:sz="2" w:space="0"/>
              <w:bottom w:val="single" w:color="auto" w:sz="2" w:space="0"/>
              <w:right w:val="single" w:color="auto" w:sz="2" w:space="0"/>
            </w:tcBorders>
            <w:vAlign w:val="center"/>
          </w:tcPr>
          <w:p w14:paraId="74CBC9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589" w:type="pct"/>
            <w:tcBorders>
              <w:top w:val="single" w:color="auto" w:sz="2" w:space="0"/>
              <w:left w:val="single" w:color="auto" w:sz="2" w:space="0"/>
              <w:bottom w:val="single" w:color="auto" w:sz="2" w:space="0"/>
              <w:right w:val="single" w:color="auto" w:sz="2" w:space="0"/>
            </w:tcBorders>
            <w:vAlign w:val="center"/>
          </w:tcPr>
          <w:p w14:paraId="4199B0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459" w:type="pct"/>
            <w:tcBorders>
              <w:top w:val="single" w:color="auto" w:sz="2" w:space="0"/>
              <w:left w:val="single" w:color="auto" w:sz="2" w:space="0"/>
              <w:bottom w:val="single" w:color="auto" w:sz="2" w:space="0"/>
              <w:right w:val="single" w:color="auto" w:sz="2" w:space="0"/>
            </w:tcBorders>
            <w:vAlign w:val="center"/>
          </w:tcPr>
          <w:p w14:paraId="25FBAF25">
            <w:pPr>
              <w:spacing w:line="240" w:lineRule="exact"/>
              <w:jc w:val="right"/>
              <w:rPr>
                <w:rFonts w:ascii="Times New Roman" w:hAnsi="Times New Roman" w:cs="Times New Roman" w:eastAsiaTheme="majorEastAsia"/>
                <w:sz w:val="18"/>
                <w:szCs w:val="18"/>
              </w:rPr>
            </w:pPr>
          </w:p>
        </w:tc>
        <w:tc>
          <w:tcPr>
            <w:tcW w:w="459" w:type="pct"/>
            <w:tcBorders>
              <w:top w:val="single" w:color="auto" w:sz="2" w:space="0"/>
              <w:left w:val="single" w:color="auto" w:sz="2" w:space="0"/>
              <w:bottom w:val="single" w:color="auto" w:sz="2" w:space="0"/>
              <w:right w:val="single" w:color="auto" w:sz="2" w:space="0"/>
            </w:tcBorders>
            <w:vAlign w:val="center"/>
          </w:tcPr>
          <w:p w14:paraId="6F92D957">
            <w:pPr>
              <w:spacing w:line="240" w:lineRule="exact"/>
              <w:jc w:val="right"/>
              <w:rPr>
                <w:rFonts w:ascii="Times New Roman" w:hAnsi="Times New Roman" w:cs="Times New Roman" w:eastAsiaTheme="majorEastAsia"/>
                <w:sz w:val="18"/>
                <w:szCs w:val="18"/>
              </w:rPr>
            </w:pPr>
          </w:p>
        </w:tc>
        <w:tc>
          <w:tcPr>
            <w:tcW w:w="523" w:type="pct"/>
            <w:tcBorders>
              <w:top w:val="single" w:color="auto" w:sz="2" w:space="0"/>
              <w:left w:val="single" w:color="auto" w:sz="2" w:space="0"/>
              <w:bottom w:val="single" w:color="auto" w:sz="2" w:space="0"/>
              <w:right w:val="single" w:color="auto" w:sz="2" w:space="0"/>
            </w:tcBorders>
            <w:vAlign w:val="center"/>
          </w:tcPr>
          <w:p w14:paraId="5865CA9A">
            <w:pPr>
              <w:spacing w:line="240" w:lineRule="exact"/>
              <w:jc w:val="right"/>
              <w:rPr>
                <w:rFonts w:ascii="Times New Roman" w:hAnsi="Times New Roman" w:cs="Times New Roman" w:eastAsiaTheme="majorEastAsia"/>
                <w:sz w:val="18"/>
                <w:szCs w:val="18"/>
              </w:rPr>
            </w:pPr>
          </w:p>
        </w:tc>
        <w:tc>
          <w:tcPr>
            <w:tcW w:w="768" w:type="pct"/>
            <w:tcBorders>
              <w:top w:val="single" w:color="auto" w:sz="2" w:space="0"/>
              <w:left w:val="single" w:color="auto" w:sz="2" w:space="0"/>
              <w:bottom w:val="single" w:color="auto" w:sz="2" w:space="0"/>
              <w:right w:val="single" w:color="auto" w:sz="2" w:space="0"/>
            </w:tcBorders>
            <w:vAlign w:val="center"/>
          </w:tcPr>
          <w:p w14:paraId="04BD6D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373" w:type="pct"/>
            <w:tcBorders>
              <w:top w:val="single" w:color="auto" w:sz="2" w:space="0"/>
              <w:left w:val="single" w:color="auto" w:sz="2" w:space="0"/>
              <w:bottom w:val="single" w:color="auto" w:sz="2" w:space="0"/>
              <w:right w:val="single" w:color="auto" w:sz="2" w:space="0"/>
            </w:tcBorders>
            <w:vAlign w:val="center"/>
          </w:tcPr>
          <w:p w14:paraId="2D15ACBD">
            <w:pPr>
              <w:spacing w:line="240" w:lineRule="exact"/>
              <w:jc w:val="right"/>
              <w:rPr>
                <w:rFonts w:ascii="Times New Roman" w:hAnsi="Times New Roman" w:cs="Times New Roman" w:eastAsiaTheme="majorEastAsia"/>
                <w:sz w:val="18"/>
                <w:szCs w:val="18"/>
              </w:rPr>
            </w:pPr>
          </w:p>
        </w:tc>
        <w:tc>
          <w:tcPr>
            <w:tcW w:w="717" w:type="pct"/>
            <w:tcBorders>
              <w:top w:val="single" w:color="auto" w:sz="2" w:space="0"/>
              <w:left w:val="single" w:color="auto" w:sz="2" w:space="0"/>
              <w:bottom w:val="single" w:color="auto" w:sz="2" w:space="0"/>
              <w:right w:val="single" w:color="auto" w:sz="2" w:space="0"/>
            </w:tcBorders>
            <w:vAlign w:val="center"/>
          </w:tcPr>
          <w:p w14:paraId="6A297148">
            <w:pPr>
              <w:spacing w:line="240" w:lineRule="exact"/>
              <w:rPr>
                <w:rFonts w:ascii="Times New Roman" w:hAnsi="Times New Roman" w:cs="Times New Roman" w:eastAsiaTheme="majorEastAsia"/>
                <w:sz w:val="18"/>
                <w:szCs w:val="18"/>
              </w:rPr>
            </w:pPr>
          </w:p>
        </w:tc>
      </w:tr>
      <w:tr w14:paraId="79DA77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24" w:type="pct"/>
            <w:tcBorders>
              <w:top w:val="single" w:color="auto" w:sz="2" w:space="0"/>
              <w:left w:val="single" w:color="auto" w:sz="2" w:space="0"/>
              <w:bottom w:val="single" w:color="auto" w:sz="2" w:space="0"/>
              <w:right w:val="single" w:color="auto" w:sz="2" w:space="0"/>
            </w:tcBorders>
            <w:shd w:val="clear" w:color="auto" w:fill="D3D3D3"/>
            <w:vAlign w:val="center"/>
          </w:tcPr>
          <w:p w14:paraId="69417C3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589" w:type="pct"/>
            <w:tcBorders>
              <w:top w:val="single" w:color="auto" w:sz="2" w:space="0"/>
              <w:left w:val="single" w:color="auto" w:sz="2" w:space="0"/>
              <w:bottom w:val="single" w:color="auto" w:sz="2" w:space="0"/>
              <w:right w:val="single" w:color="auto" w:sz="2" w:space="0"/>
            </w:tcBorders>
            <w:vAlign w:val="center"/>
          </w:tcPr>
          <w:p w14:paraId="30D242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589" w:type="pct"/>
            <w:tcBorders>
              <w:top w:val="single" w:color="auto" w:sz="2" w:space="0"/>
              <w:left w:val="single" w:color="auto" w:sz="2" w:space="0"/>
              <w:bottom w:val="single" w:color="auto" w:sz="2" w:space="0"/>
              <w:right w:val="single" w:color="auto" w:sz="2" w:space="0"/>
            </w:tcBorders>
            <w:vAlign w:val="center"/>
          </w:tcPr>
          <w:p w14:paraId="01093E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4,083,400.00</w:t>
            </w:r>
          </w:p>
        </w:tc>
        <w:tc>
          <w:tcPr>
            <w:tcW w:w="459" w:type="pct"/>
            <w:tcBorders>
              <w:top w:val="single" w:color="auto" w:sz="2" w:space="0"/>
              <w:left w:val="single" w:color="auto" w:sz="2" w:space="0"/>
              <w:bottom w:val="single" w:color="auto" w:sz="2" w:space="0"/>
              <w:right w:val="single" w:color="auto" w:sz="2" w:space="0"/>
            </w:tcBorders>
            <w:vAlign w:val="center"/>
          </w:tcPr>
          <w:p w14:paraId="75A0B089">
            <w:pPr>
              <w:spacing w:line="240" w:lineRule="exact"/>
              <w:jc w:val="right"/>
              <w:rPr>
                <w:rFonts w:ascii="Times New Roman" w:hAnsi="Times New Roman" w:cs="Times New Roman" w:eastAsiaTheme="majorEastAsia"/>
                <w:sz w:val="18"/>
                <w:szCs w:val="18"/>
              </w:rPr>
            </w:pPr>
          </w:p>
        </w:tc>
        <w:tc>
          <w:tcPr>
            <w:tcW w:w="459" w:type="pct"/>
            <w:tcBorders>
              <w:top w:val="single" w:color="auto" w:sz="2" w:space="0"/>
              <w:left w:val="single" w:color="auto" w:sz="2" w:space="0"/>
              <w:bottom w:val="single" w:color="auto" w:sz="2" w:space="0"/>
              <w:right w:val="single" w:color="auto" w:sz="2" w:space="0"/>
            </w:tcBorders>
            <w:vAlign w:val="center"/>
          </w:tcPr>
          <w:p w14:paraId="78089C7F">
            <w:pPr>
              <w:spacing w:line="240" w:lineRule="exact"/>
              <w:jc w:val="right"/>
              <w:rPr>
                <w:rFonts w:ascii="Times New Roman" w:hAnsi="Times New Roman" w:cs="Times New Roman" w:eastAsiaTheme="majorEastAsia"/>
                <w:sz w:val="18"/>
                <w:szCs w:val="18"/>
              </w:rPr>
            </w:pPr>
          </w:p>
        </w:tc>
        <w:tc>
          <w:tcPr>
            <w:tcW w:w="523" w:type="pct"/>
            <w:tcBorders>
              <w:top w:val="single" w:color="auto" w:sz="2" w:space="0"/>
              <w:left w:val="single" w:color="auto" w:sz="2" w:space="0"/>
              <w:bottom w:val="single" w:color="auto" w:sz="2" w:space="0"/>
              <w:right w:val="single" w:color="auto" w:sz="2" w:space="0"/>
            </w:tcBorders>
            <w:vAlign w:val="center"/>
          </w:tcPr>
          <w:p w14:paraId="76491373">
            <w:pPr>
              <w:spacing w:line="240" w:lineRule="exact"/>
              <w:jc w:val="right"/>
              <w:rPr>
                <w:rFonts w:ascii="Times New Roman" w:hAnsi="Times New Roman" w:cs="Times New Roman" w:eastAsiaTheme="majorEastAsia"/>
                <w:sz w:val="18"/>
                <w:szCs w:val="18"/>
              </w:rPr>
            </w:pPr>
          </w:p>
        </w:tc>
        <w:tc>
          <w:tcPr>
            <w:tcW w:w="768" w:type="pct"/>
            <w:tcBorders>
              <w:top w:val="single" w:color="auto" w:sz="2" w:space="0"/>
              <w:left w:val="single" w:color="auto" w:sz="2" w:space="0"/>
              <w:bottom w:val="single" w:color="auto" w:sz="2" w:space="0"/>
              <w:right w:val="single" w:color="auto" w:sz="2" w:space="0"/>
            </w:tcBorders>
            <w:vAlign w:val="center"/>
          </w:tcPr>
          <w:p w14:paraId="1968A3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373" w:type="pct"/>
            <w:tcBorders>
              <w:top w:val="single" w:color="auto" w:sz="2" w:space="0"/>
              <w:left w:val="single" w:color="auto" w:sz="2" w:space="0"/>
              <w:bottom w:val="single" w:color="auto" w:sz="2" w:space="0"/>
              <w:right w:val="single" w:color="auto" w:sz="2" w:space="0"/>
            </w:tcBorders>
            <w:vAlign w:val="center"/>
          </w:tcPr>
          <w:p w14:paraId="2D80E2FC">
            <w:pPr>
              <w:spacing w:line="240" w:lineRule="exact"/>
              <w:jc w:val="right"/>
              <w:rPr>
                <w:rFonts w:ascii="Times New Roman" w:hAnsi="Times New Roman" w:cs="Times New Roman" w:eastAsiaTheme="majorEastAsia"/>
                <w:sz w:val="18"/>
                <w:szCs w:val="18"/>
              </w:rPr>
            </w:pPr>
          </w:p>
        </w:tc>
        <w:tc>
          <w:tcPr>
            <w:tcW w:w="717" w:type="pct"/>
            <w:tcBorders>
              <w:top w:val="single" w:color="auto" w:sz="2" w:space="0"/>
              <w:left w:val="single" w:color="auto" w:sz="2" w:space="0"/>
              <w:bottom w:val="single" w:color="auto" w:sz="2" w:space="0"/>
              <w:right w:val="single" w:color="auto" w:sz="2" w:space="0"/>
            </w:tcBorders>
            <w:shd w:val="clear" w:color="auto" w:fill="D3D3D3"/>
            <w:vAlign w:val="center"/>
          </w:tcPr>
          <w:p w14:paraId="4C98ED9B">
            <w:pPr>
              <w:rPr>
                <w:rFonts w:ascii="Times New Roman" w:hAnsi="Times New Roman" w:cs="Times New Roman" w:eastAsiaTheme="majorEastAsia"/>
              </w:rPr>
            </w:pPr>
          </w:p>
        </w:tc>
      </w:tr>
    </w:tbl>
    <w:p w14:paraId="00B5B0A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本期存在终止确认</w:t>
      </w:r>
    </w:p>
    <w:p w14:paraId="539C530D">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357241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ECEA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F6B1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转入留存收益的累计利得</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FDCA6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转入留存收益的累计损失</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D1EDC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终止确认的原因</w:t>
            </w:r>
          </w:p>
        </w:tc>
      </w:tr>
      <w:tr w14:paraId="2052B3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A37E4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2410" w:type="dxa"/>
            <w:tcBorders>
              <w:top w:val="single" w:color="auto" w:sz="2" w:space="0"/>
              <w:left w:val="single" w:color="auto" w:sz="2" w:space="0"/>
              <w:bottom w:val="single" w:color="auto" w:sz="2" w:space="0"/>
              <w:right w:val="single" w:color="auto" w:sz="2" w:space="0"/>
            </w:tcBorders>
            <w:vAlign w:val="center"/>
          </w:tcPr>
          <w:p w14:paraId="61B6C6EA">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6BBA67F">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4FD46D6">
            <w:pPr>
              <w:spacing w:line="240" w:lineRule="exact"/>
              <w:rPr>
                <w:rFonts w:ascii="Times New Roman" w:hAnsi="Times New Roman" w:cs="Times New Roman" w:eastAsiaTheme="majorEastAsia"/>
                <w:sz w:val="18"/>
                <w:szCs w:val="18"/>
              </w:rPr>
            </w:pPr>
          </w:p>
        </w:tc>
      </w:tr>
    </w:tbl>
    <w:p w14:paraId="48B1E23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分项披露本期非交易性权益工具投资</w:t>
      </w:r>
    </w:p>
    <w:p w14:paraId="2C2B6469">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B85F4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3A5C8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65862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确认的股利收入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9D56E7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累计利得</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1E58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累计损失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2C10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其他综合收益转入留存收益的金额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3AB5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指定为以公允价值计量且其变动计入其他综合收益的原因</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180EA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其他综合收益转入留存收益的原因</w:t>
            </w:r>
          </w:p>
        </w:tc>
      </w:tr>
      <w:tr w14:paraId="6988DE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EB76E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377" w:type="dxa"/>
            <w:tcBorders>
              <w:top w:val="single" w:color="auto" w:sz="2" w:space="0"/>
              <w:left w:val="single" w:color="auto" w:sz="2" w:space="0"/>
              <w:bottom w:val="single" w:color="auto" w:sz="2" w:space="0"/>
              <w:right w:val="single" w:color="auto" w:sz="2" w:space="0"/>
            </w:tcBorders>
            <w:vAlign w:val="center"/>
          </w:tcPr>
          <w:p w14:paraId="7DD8A5C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3E1A5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0480F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FE1E65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73A8E8">
            <w:pPr>
              <w:spacing w:line="240" w:lineRule="exac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F7DA254">
            <w:pPr>
              <w:spacing w:line="240" w:lineRule="exact"/>
              <w:rPr>
                <w:rFonts w:ascii="Times New Roman" w:hAnsi="Times New Roman" w:cs="Times New Roman" w:eastAsiaTheme="majorEastAsia"/>
                <w:sz w:val="18"/>
                <w:szCs w:val="18"/>
              </w:rPr>
            </w:pPr>
          </w:p>
        </w:tc>
      </w:tr>
    </w:tbl>
    <w:p w14:paraId="288BD66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r>
        <w:rPr>
          <w:rFonts w:hint="eastAsia" w:ascii="Times New Roman" w:hAnsi="Times New Roman" w:cs="Times New Roman" w:eastAsiaTheme="majorEastAsia"/>
          <w:sz w:val="18"/>
          <w:szCs w:val="18"/>
        </w:rPr>
        <w:t>。</w:t>
      </w:r>
    </w:p>
    <w:p w14:paraId="588CAC38">
      <w:pPr>
        <w:pStyle w:val="3"/>
        <w:spacing w:line="280" w:lineRule="exact"/>
        <w:jc w:val="left"/>
        <w:rPr>
          <w:rFonts w:ascii="Times New Roman" w:hAnsi="Times New Roman" w:cs="Times New Roman" w:eastAsiaTheme="majorEastAsia"/>
          <w:b/>
          <w:bCs/>
        </w:rPr>
      </w:pPr>
      <w:bookmarkStart w:id="266" w:name="_Toc989155"/>
      <w:r>
        <w:rPr>
          <w:rFonts w:ascii="Times New Roman" w:hAnsi="Times New Roman" w:cs="Times New Roman" w:eastAsiaTheme="majorEastAsia"/>
          <w:b/>
          <w:bCs/>
        </w:rPr>
        <w:t>12、长期应收款</w:t>
      </w:r>
      <w:bookmarkEnd w:id="266"/>
    </w:p>
    <w:p w14:paraId="19F0FA08">
      <w:pPr>
        <w:keepNext/>
        <w:keepLines/>
        <w:spacing w:before="300" w:after="300" w:line="280" w:lineRule="exact"/>
        <w:outlineLvl w:val="3"/>
        <w:rPr>
          <w:rFonts w:ascii="Times New Roman" w:hAnsi="Times New Roman" w:cs="Times New Roman" w:eastAsiaTheme="majorEastAsia"/>
          <w:b/>
          <w:bCs/>
          <w:szCs w:val="21"/>
        </w:rPr>
      </w:pPr>
      <w:bookmarkStart w:id="267" w:name="_Toc989156"/>
      <w:r>
        <w:rPr>
          <w:rFonts w:ascii="Times New Roman" w:hAnsi="Times New Roman" w:cs="Times New Roman" w:eastAsiaTheme="majorEastAsia"/>
          <w:b/>
          <w:bCs/>
          <w:szCs w:val="21"/>
        </w:rPr>
        <w:t>（1） 长期应收款情况</w:t>
      </w:r>
      <w:bookmarkEnd w:id="267"/>
    </w:p>
    <w:p w14:paraId="71348C9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85"/>
        <w:gridCol w:w="1278"/>
        <w:gridCol w:w="1189"/>
        <w:gridCol w:w="1279"/>
        <w:gridCol w:w="1279"/>
        <w:gridCol w:w="1183"/>
        <w:gridCol w:w="1279"/>
        <w:gridCol w:w="881"/>
      </w:tblGrid>
      <w:tr w14:paraId="49CD2E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3BD35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88C9DD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0" w:type="auto"/>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CFF6D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849F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折现率区间</w:t>
            </w:r>
          </w:p>
        </w:tc>
      </w:tr>
      <w:tr w14:paraId="74C1BF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24F8016">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3393B8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BA8A2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DB6F79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627AF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85ED5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9A8D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B6E57DD">
            <w:pPr>
              <w:rPr>
                <w:rFonts w:ascii="Times New Roman" w:hAnsi="Times New Roman" w:cs="Times New Roman" w:eastAsiaTheme="majorEastAsia"/>
              </w:rPr>
            </w:pPr>
          </w:p>
        </w:tc>
      </w:tr>
      <w:tr w14:paraId="01048E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89092A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分期收款销售商品</w:t>
            </w:r>
          </w:p>
        </w:tc>
        <w:tc>
          <w:tcPr>
            <w:tcW w:w="0" w:type="auto"/>
            <w:tcBorders>
              <w:top w:val="single" w:color="auto" w:sz="2" w:space="0"/>
              <w:left w:val="single" w:color="auto" w:sz="2" w:space="0"/>
              <w:bottom w:val="single" w:color="auto" w:sz="2" w:space="0"/>
              <w:right w:val="single" w:color="auto" w:sz="2" w:space="0"/>
            </w:tcBorders>
            <w:vAlign w:val="center"/>
          </w:tcPr>
          <w:p w14:paraId="39367B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42,165,606.77</w:t>
            </w:r>
          </w:p>
        </w:tc>
        <w:tc>
          <w:tcPr>
            <w:tcW w:w="0" w:type="auto"/>
            <w:tcBorders>
              <w:top w:val="single" w:color="auto" w:sz="2" w:space="0"/>
              <w:left w:val="single" w:color="auto" w:sz="2" w:space="0"/>
              <w:bottom w:val="single" w:color="auto" w:sz="2" w:space="0"/>
              <w:right w:val="single" w:color="auto" w:sz="2" w:space="0"/>
            </w:tcBorders>
            <w:vAlign w:val="center"/>
          </w:tcPr>
          <w:p w14:paraId="39C24D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7,034,901.53</w:t>
            </w:r>
          </w:p>
        </w:tc>
        <w:tc>
          <w:tcPr>
            <w:tcW w:w="0" w:type="auto"/>
            <w:tcBorders>
              <w:top w:val="single" w:color="auto" w:sz="2" w:space="0"/>
              <w:left w:val="single" w:color="auto" w:sz="2" w:space="0"/>
              <w:bottom w:val="single" w:color="auto" w:sz="2" w:space="0"/>
              <w:right w:val="single" w:color="auto" w:sz="2" w:space="0"/>
            </w:tcBorders>
            <w:vAlign w:val="center"/>
          </w:tcPr>
          <w:p w14:paraId="7EDBF3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35,130,705.24</w:t>
            </w:r>
          </w:p>
        </w:tc>
        <w:tc>
          <w:tcPr>
            <w:tcW w:w="0" w:type="auto"/>
            <w:tcBorders>
              <w:top w:val="single" w:color="auto" w:sz="2" w:space="0"/>
              <w:left w:val="single" w:color="auto" w:sz="2" w:space="0"/>
              <w:bottom w:val="single" w:color="auto" w:sz="2" w:space="0"/>
              <w:right w:val="single" w:color="auto" w:sz="2" w:space="0"/>
            </w:tcBorders>
            <w:vAlign w:val="center"/>
          </w:tcPr>
          <w:p w14:paraId="3C9386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33,806,095.55</w:t>
            </w:r>
          </w:p>
        </w:tc>
        <w:tc>
          <w:tcPr>
            <w:tcW w:w="0" w:type="auto"/>
            <w:tcBorders>
              <w:top w:val="single" w:color="auto" w:sz="2" w:space="0"/>
              <w:left w:val="single" w:color="auto" w:sz="2" w:space="0"/>
              <w:bottom w:val="single" w:color="auto" w:sz="2" w:space="0"/>
              <w:right w:val="single" w:color="auto" w:sz="2" w:space="0"/>
            </w:tcBorders>
            <w:vAlign w:val="center"/>
          </w:tcPr>
          <w:p w14:paraId="40414A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0" w:type="auto"/>
            <w:tcBorders>
              <w:top w:val="single" w:color="auto" w:sz="2" w:space="0"/>
              <w:left w:val="single" w:color="auto" w:sz="2" w:space="0"/>
              <w:bottom w:val="single" w:color="auto" w:sz="2" w:space="0"/>
              <w:right w:val="single" w:color="auto" w:sz="2" w:space="0"/>
            </w:tcBorders>
            <w:vAlign w:val="center"/>
          </w:tcPr>
          <w:p w14:paraId="25961B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c>
          <w:tcPr>
            <w:tcW w:w="0" w:type="auto"/>
            <w:tcBorders>
              <w:top w:val="single" w:color="auto" w:sz="2" w:space="0"/>
              <w:left w:val="single" w:color="auto" w:sz="2" w:space="0"/>
              <w:bottom w:val="single" w:color="auto" w:sz="2" w:space="0"/>
              <w:right w:val="single" w:color="auto" w:sz="2" w:space="0"/>
            </w:tcBorders>
            <w:vAlign w:val="center"/>
          </w:tcPr>
          <w:p w14:paraId="3134BC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3.6%-4.75%</w:t>
            </w:r>
          </w:p>
        </w:tc>
      </w:tr>
      <w:tr w14:paraId="1BE066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8CFA6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减：一年内到期的长期应收款</w:t>
            </w:r>
          </w:p>
        </w:tc>
        <w:tc>
          <w:tcPr>
            <w:tcW w:w="0" w:type="auto"/>
            <w:tcBorders>
              <w:top w:val="single" w:color="auto" w:sz="2" w:space="0"/>
              <w:left w:val="single" w:color="auto" w:sz="2" w:space="0"/>
              <w:bottom w:val="single" w:color="auto" w:sz="2" w:space="0"/>
              <w:right w:val="single" w:color="auto" w:sz="2" w:space="0"/>
            </w:tcBorders>
            <w:vAlign w:val="center"/>
          </w:tcPr>
          <w:p w14:paraId="1207CC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-31,428,156.81</w:t>
            </w:r>
          </w:p>
        </w:tc>
        <w:tc>
          <w:tcPr>
            <w:tcW w:w="0" w:type="auto"/>
            <w:tcBorders>
              <w:top w:val="single" w:color="auto" w:sz="2" w:space="0"/>
              <w:left w:val="single" w:color="auto" w:sz="2" w:space="0"/>
              <w:bottom w:val="single" w:color="auto" w:sz="2" w:space="0"/>
              <w:right w:val="single" w:color="auto" w:sz="2" w:space="0"/>
            </w:tcBorders>
            <w:vAlign w:val="center"/>
          </w:tcPr>
          <w:p w14:paraId="2AEBAD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-7,028,535.93</w:t>
            </w:r>
          </w:p>
        </w:tc>
        <w:tc>
          <w:tcPr>
            <w:tcW w:w="0" w:type="auto"/>
            <w:tcBorders>
              <w:top w:val="single" w:color="auto" w:sz="2" w:space="0"/>
              <w:left w:val="single" w:color="auto" w:sz="2" w:space="0"/>
              <w:bottom w:val="single" w:color="auto" w:sz="2" w:space="0"/>
              <w:right w:val="single" w:color="auto" w:sz="2" w:space="0"/>
            </w:tcBorders>
            <w:vAlign w:val="center"/>
          </w:tcPr>
          <w:p w14:paraId="5EA0E0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-24,399,620.88</w:t>
            </w:r>
          </w:p>
        </w:tc>
        <w:tc>
          <w:tcPr>
            <w:tcW w:w="0" w:type="auto"/>
            <w:tcBorders>
              <w:top w:val="single" w:color="auto" w:sz="2" w:space="0"/>
              <w:left w:val="single" w:color="auto" w:sz="2" w:space="0"/>
              <w:bottom w:val="single" w:color="auto" w:sz="2" w:space="0"/>
              <w:right w:val="single" w:color="auto" w:sz="2" w:space="0"/>
            </w:tcBorders>
            <w:vAlign w:val="center"/>
          </w:tcPr>
          <w:p w14:paraId="5B0A29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-33,806,095.55</w:t>
            </w:r>
          </w:p>
        </w:tc>
        <w:tc>
          <w:tcPr>
            <w:tcW w:w="0" w:type="auto"/>
            <w:tcBorders>
              <w:top w:val="single" w:color="auto" w:sz="2" w:space="0"/>
              <w:left w:val="single" w:color="auto" w:sz="2" w:space="0"/>
              <w:bottom w:val="single" w:color="auto" w:sz="2" w:space="0"/>
              <w:right w:val="single" w:color="auto" w:sz="2" w:space="0"/>
            </w:tcBorders>
            <w:vAlign w:val="center"/>
          </w:tcPr>
          <w:p w14:paraId="362288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0" w:type="auto"/>
            <w:tcBorders>
              <w:top w:val="single" w:color="auto" w:sz="2" w:space="0"/>
              <w:left w:val="single" w:color="auto" w:sz="2" w:space="0"/>
              <w:bottom w:val="single" w:color="auto" w:sz="2" w:space="0"/>
              <w:right w:val="single" w:color="auto" w:sz="2" w:space="0"/>
            </w:tcBorders>
            <w:vAlign w:val="center"/>
          </w:tcPr>
          <w:p w14:paraId="66265B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c>
          <w:tcPr>
            <w:tcW w:w="0" w:type="auto"/>
            <w:tcBorders>
              <w:top w:val="single" w:color="auto" w:sz="2" w:space="0"/>
              <w:left w:val="single" w:color="auto" w:sz="2" w:space="0"/>
              <w:bottom w:val="single" w:color="auto" w:sz="2" w:space="0"/>
              <w:right w:val="single" w:color="auto" w:sz="2" w:space="0"/>
            </w:tcBorders>
            <w:vAlign w:val="center"/>
          </w:tcPr>
          <w:p w14:paraId="00ECD54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3.6%-4.75%</w:t>
            </w:r>
          </w:p>
        </w:tc>
      </w:tr>
      <w:tr w14:paraId="18585E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2291FA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0" w:type="auto"/>
            <w:tcBorders>
              <w:top w:val="single" w:color="auto" w:sz="2" w:space="0"/>
              <w:left w:val="single" w:color="auto" w:sz="2" w:space="0"/>
              <w:bottom w:val="single" w:color="auto" w:sz="2" w:space="0"/>
              <w:right w:val="single" w:color="auto" w:sz="2" w:space="0"/>
            </w:tcBorders>
            <w:vAlign w:val="center"/>
          </w:tcPr>
          <w:p w14:paraId="318FF4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10,737,449.96</w:t>
            </w:r>
          </w:p>
        </w:tc>
        <w:tc>
          <w:tcPr>
            <w:tcW w:w="0" w:type="auto"/>
            <w:tcBorders>
              <w:top w:val="single" w:color="auto" w:sz="2" w:space="0"/>
              <w:left w:val="single" w:color="auto" w:sz="2" w:space="0"/>
              <w:bottom w:val="single" w:color="auto" w:sz="2" w:space="0"/>
              <w:right w:val="single" w:color="auto" w:sz="2" w:space="0"/>
            </w:tcBorders>
            <w:vAlign w:val="center"/>
          </w:tcPr>
          <w:p w14:paraId="09B8AB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6,365.60</w:t>
            </w:r>
          </w:p>
        </w:tc>
        <w:tc>
          <w:tcPr>
            <w:tcW w:w="0" w:type="auto"/>
            <w:tcBorders>
              <w:top w:val="single" w:color="auto" w:sz="2" w:space="0"/>
              <w:left w:val="single" w:color="auto" w:sz="2" w:space="0"/>
              <w:bottom w:val="single" w:color="auto" w:sz="2" w:space="0"/>
              <w:right w:val="single" w:color="auto" w:sz="2" w:space="0"/>
            </w:tcBorders>
            <w:vAlign w:val="center"/>
          </w:tcPr>
          <w:p w14:paraId="1E05CB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10,731,084.36</w:t>
            </w:r>
          </w:p>
        </w:tc>
        <w:tc>
          <w:tcPr>
            <w:tcW w:w="0" w:type="auto"/>
            <w:tcBorders>
              <w:top w:val="single" w:color="auto" w:sz="2" w:space="0"/>
              <w:left w:val="single" w:color="auto" w:sz="2" w:space="0"/>
              <w:bottom w:val="single" w:color="auto" w:sz="2" w:space="0"/>
              <w:right w:val="single" w:color="auto" w:sz="2" w:space="0"/>
            </w:tcBorders>
            <w:vAlign w:val="center"/>
          </w:tcPr>
          <w:p w14:paraId="7CDE0C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3C8235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0" w:type="auto"/>
            <w:tcBorders>
              <w:top w:val="single" w:color="auto" w:sz="2" w:space="0"/>
              <w:left w:val="single" w:color="auto" w:sz="2" w:space="0"/>
              <w:bottom w:val="single" w:color="auto" w:sz="2" w:space="0"/>
              <w:right w:val="single" w:color="auto" w:sz="2" w:space="0"/>
            </w:tcBorders>
            <w:vAlign w:val="center"/>
          </w:tcPr>
          <w:p w14:paraId="4CD3981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F66FF62">
            <w:pPr>
              <w:rPr>
                <w:rFonts w:ascii="Times New Roman" w:hAnsi="Times New Roman" w:cs="Times New Roman" w:eastAsiaTheme="majorEastAsia"/>
              </w:rPr>
            </w:pPr>
          </w:p>
        </w:tc>
      </w:tr>
    </w:tbl>
    <w:p w14:paraId="14A65DE4">
      <w:pPr>
        <w:keepNext/>
        <w:keepLines/>
        <w:spacing w:before="300" w:after="300" w:line="280" w:lineRule="exact"/>
        <w:outlineLvl w:val="3"/>
        <w:rPr>
          <w:rFonts w:ascii="Times New Roman" w:hAnsi="Times New Roman" w:cs="Times New Roman" w:eastAsiaTheme="majorEastAsia"/>
          <w:b/>
          <w:bCs/>
          <w:szCs w:val="21"/>
        </w:rPr>
      </w:pPr>
      <w:bookmarkStart w:id="268" w:name="_Toc989157"/>
      <w:r>
        <w:rPr>
          <w:rFonts w:ascii="Times New Roman" w:hAnsi="Times New Roman" w:cs="Times New Roman" w:eastAsiaTheme="majorEastAsia"/>
          <w:b/>
          <w:bCs/>
          <w:szCs w:val="21"/>
        </w:rPr>
        <w:t>（2） 按坏账计提方法分类披露</w:t>
      </w:r>
      <w:bookmarkEnd w:id="268"/>
    </w:p>
    <w:p w14:paraId="1DBA0D3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47F132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2E40C5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24C6FB4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44616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7F521B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98614E">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FF2ED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2210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99B5E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69626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1261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883C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2DAA8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03F22D">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09398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8F2A5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ABEA4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08B2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B24F76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0C16B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2BB88D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7E9C6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ECB78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D0A307">
            <w:pPr>
              <w:rPr>
                <w:rFonts w:ascii="Times New Roman" w:hAnsi="Times New Roman" w:cs="Times New Roman" w:eastAsiaTheme="majorEastAsia"/>
              </w:rPr>
            </w:pPr>
          </w:p>
        </w:tc>
      </w:tr>
      <w:tr w14:paraId="412B00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28B6069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0958C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2214C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7A590B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42,165,606.77</w:t>
            </w:r>
          </w:p>
        </w:tc>
        <w:tc>
          <w:tcPr>
            <w:tcW w:w="876" w:type="dxa"/>
            <w:tcBorders>
              <w:top w:val="single" w:color="auto" w:sz="2" w:space="0"/>
              <w:left w:val="single" w:color="auto" w:sz="2" w:space="0"/>
              <w:bottom w:val="single" w:color="auto" w:sz="2" w:space="0"/>
              <w:right w:val="single" w:color="auto" w:sz="2" w:space="0"/>
            </w:tcBorders>
            <w:vAlign w:val="center"/>
          </w:tcPr>
          <w:p w14:paraId="2FBC5F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192F5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7,034,901.53</w:t>
            </w:r>
          </w:p>
        </w:tc>
        <w:tc>
          <w:tcPr>
            <w:tcW w:w="876" w:type="dxa"/>
            <w:tcBorders>
              <w:top w:val="single" w:color="auto" w:sz="2" w:space="0"/>
              <w:left w:val="single" w:color="auto" w:sz="2" w:space="0"/>
              <w:bottom w:val="single" w:color="auto" w:sz="2" w:space="0"/>
              <w:right w:val="single" w:color="auto" w:sz="2" w:space="0"/>
            </w:tcBorders>
            <w:vAlign w:val="center"/>
          </w:tcPr>
          <w:p w14:paraId="644A37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16.68%</w:t>
            </w:r>
          </w:p>
        </w:tc>
        <w:tc>
          <w:tcPr>
            <w:tcW w:w="876" w:type="dxa"/>
            <w:tcBorders>
              <w:top w:val="single" w:color="auto" w:sz="2" w:space="0"/>
              <w:left w:val="single" w:color="auto" w:sz="2" w:space="0"/>
              <w:bottom w:val="single" w:color="auto" w:sz="2" w:space="0"/>
              <w:right w:val="single" w:color="auto" w:sz="2" w:space="0"/>
            </w:tcBorders>
            <w:vAlign w:val="center"/>
          </w:tcPr>
          <w:p w14:paraId="3A5EA6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35,130,705.24</w:t>
            </w:r>
          </w:p>
        </w:tc>
        <w:tc>
          <w:tcPr>
            <w:tcW w:w="876" w:type="dxa"/>
            <w:tcBorders>
              <w:top w:val="single" w:color="auto" w:sz="2" w:space="0"/>
              <w:left w:val="single" w:color="auto" w:sz="2" w:space="0"/>
              <w:bottom w:val="single" w:color="auto" w:sz="2" w:space="0"/>
              <w:right w:val="single" w:color="auto" w:sz="2" w:space="0"/>
            </w:tcBorders>
            <w:vAlign w:val="center"/>
          </w:tcPr>
          <w:p w14:paraId="0A3789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33,806,095.55</w:t>
            </w:r>
          </w:p>
        </w:tc>
        <w:tc>
          <w:tcPr>
            <w:tcW w:w="876" w:type="dxa"/>
            <w:tcBorders>
              <w:top w:val="single" w:color="auto" w:sz="2" w:space="0"/>
              <w:left w:val="single" w:color="auto" w:sz="2" w:space="0"/>
              <w:bottom w:val="single" w:color="auto" w:sz="2" w:space="0"/>
              <w:right w:val="single" w:color="auto" w:sz="2" w:space="0"/>
            </w:tcBorders>
            <w:vAlign w:val="center"/>
          </w:tcPr>
          <w:p w14:paraId="3379B1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4EBF71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876" w:type="dxa"/>
            <w:tcBorders>
              <w:top w:val="single" w:color="auto" w:sz="2" w:space="0"/>
              <w:left w:val="single" w:color="auto" w:sz="2" w:space="0"/>
              <w:bottom w:val="single" w:color="auto" w:sz="2" w:space="0"/>
              <w:right w:val="single" w:color="auto" w:sz="2" w:space="0"/>
            </w:tcBorders>
            <w:vAlign w:val="center"/>
          </w:tcPr>
          <w:p w14:paraId="3685DB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9.02%</w:t>
            </w:r>
          </w:p>
        </w:tc>
        <w:tc>
          <w:tcPr>
            <w:tcW w:w="876" w:type="dxa"/>
            <w:tcBorders>
              <w:top w:val="single" w:color="auto" w:sz="2" w:space="0"/>
              <w:left w:val="single" w:color="auto" w:sz="2" w:space="0"/>
              <w:bottom w:val="single" w:color="auto" w:sz="2" w:space="0"/>
              <w:right w:val="single" w:color="auto" w:sz="2" w:space="0"/>
            </w:tcBorders>
            <w:vAlign w:val="center"/>
          </w:tcPr>
          <w:p w14:paraId="644982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r w14:paraId="065F8F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5CF313F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1DA757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F2B40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1F2563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13,835,221.87</w:t>
            </w:r>
          </w:p>
        </w:tc>
        <w:tc>
          <w:tcPr>
            <w:tcW w:w="876" w:type="dxa"/>
            <w:tcBorders>
              <w:top w:val="single" w:color="auto" w:sz="2" w:space="0"/>
              <w:left w:val="single" w:color="auto" w:sz="2" w:space="0"/>
              <w:bottom w:val="single" w:color="auto" w:sz="2" w:space="0"/>
              <w:right w:val="single" w:color="auto" w:sz="2" w:space="0"/>
            </w:tcBorders>
            <w:vAlign w:val="center"/>
          </w:tcPr>
          <w:p w14:paraId="5459BD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32.81%</w:t>
            </w:r>
          </w:p>
        </w:tc>
        <w:tc>
          <w:tcPr>
            <w:tcW w:w="876" w:type="dxa"/>
            <w:tcBorders>
              <w:top w:val="single" w:color="auto" w:sz="2" w:space="0"/>
              <w:left w:val="single" w:color="auto" w:sz="2" w:space="0"/>
              <w:bottom w:val="single" w:color="auto" w:sz="2" w:space="0"/>
              <w:right w:val="single" w:color="auto" w:sz="2" w:space="0"/>
            </w:tcBorders>
            <w:vAlign w:val="center"/>
          </w:tcPr>
          <w:p w14:paraId="3DBC54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6,365.60</w:t>
            </w:r>
          </w:p>
        </w:tc>
        <w:tc>
          <w:tcPr>
            <w:tcW w:w="876" w:type="dxa"/>
            <w:tcBorders>
              <w:top w:val="single" w:color="auto" w:sz="2" w:space="0"/>
              <w:left w:val="single" w:color="auto" w:sz="2" w:space="0"/>
              <w:bottom w:val="single" w:color="auto" w:sz="2" w:space="0"/>
              <w:right w:val="single" w:color="auto" w:sz="2" w:space="0"/>
            </w:tcBorders>
            <w:vAlign w:val="center"/>
          </w:tcPr>
          <w:p w14:paraId="17B5F74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0.05%</w:t>
            </w:r>
          </w:p>
        </w:tc>
        <w:tc>
          <w:tcPr>
            <w:tcW w:w="876" w:type="dxa"/>
            <w:tcBorders>
              <w:top w:val="single" w:color="auto" w:sz="2" w:space="0"/>
              <w:left w:val="single" w:color="auto" w:sz="2" w:space="0"/>
              <w:bottom w:val="single" w:color="auto" w:sz="2" w:space="0"/>
              <w:right w:val="single" w:color="auto" w:sz="2" w:space="0"/>
            </w:tcBorders>
            <w:vAlign w:val="center"/>
          </w:tcPr>
          <w:p w14:paraId="20323E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13,828,856.27</w:t>
            </w:r>
          </w:p>
        </w:tc>
        <w:tc>
          <w:tcPr>
            <w:tcW w:w="876" w:type="dxa"/>
            <w:tcBorders>
              <w:top w:val="single" w:color="auto" w:sz="2" w:space="0"/>
              <w:left w:val="single" w:color="auto" w:sz="2" w:space="0"/>
              <w:bottom w:val="single" w:color="auto" w:sz="2" w:space="0"/>
              <w:right w:val="single" w:color="auto" w:sz="2" w:space="0"/>
            </w:tcBorders>
            <w:vAlign w:val="center"/>
          </w:tcPr>
          <w:p w14:paraId="74BB4BB9">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C8D0FC5">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24E807BE">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466DE2D">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A6E17E0">
            <w:pPr>
              <w:spacing w:line="240" w:lineRule="exact"/>
              <w:jc w:val="right"/>
              <w:rPr>
                <w:rFonts w:ascii="Times New Roman" w:hAnsi="Times New Roman" w:cs="Times New Roman" w:eastAsiaTheme="majorEastAsia"/>
                <w:sz w:val="18"/>
                <w:szCs w:val="18"/>
              </w:rPr>
            </w:pPr>
          </w:p>
        </w:tc>
      </w:tr>
      <w:tr w14:paraId="4096AA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E3E09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4566B8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28,330,384.90</w:t>
            </w:r>
          </w:p>
        </w:tc>
        <w:tc>
          <w:tcPr>
            <w:tcW w:w="876" w:type="dxa"/>
            <w:tcBorders>
              <w:top w:val="single" w:color="auto" w:sz="2" w:space="0"/>
              <w:left w:val="single" w:color="auto" w:sz="2" w:space="0"/>
              <w:bottom w:val="single" w:color="auto" w:sz="2" w:space="0"/>
              <w:right w:val="single" w:color="auto" w:sz="2" w:space="0"/>
            </w:tcBorders>
            <w:vAlign w:val="center"/>
          </w:tcPr>
          <w:p w14:paraId="5C851F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67.19%</w:t>
            </w:r>
          </w:p>
        </w:tc>
        <w:tc>
          <w:tcPr>
            <w:tcW w:w="876" w:type="dxa"/>
            <w:tcBorders>
              <w:top w:val="single" w:color="auto" w:sz="2" w:space="0"/>
              <w:left w:val="single" w:color="auto" w:sz="2" w:space="0"/>
              <w:bottom w:val="single" w:color="auto" w:sz="2" w:space="0"/>
              <w:right w:val="single" w:color="auto" w:sz="2" w:space="0"/>
            </w:tcBorders>
            <w:vAlign w:val="center"/>
          </w:tcPr>
          <w:p w14:paraId="752390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7,028,535.93</w:t>
            </w:r>
          </w:p>
        </w:tc>
        <w:tc>
          <w:tcPr>
            <w:tcW w:w="876" w:type="dxa"/>
            <w:tcBorders>
              <w:top w:val="single" w:color="auto" w:sz="2" w:space="0"/>
              <w:left w:val="single" w:color="auto" w:sz="2" w:space="0"/>
              <w:bottom w:val="single" w:color="auto" w:sz="2" w:space="0"/>
              <w:right w:val="single" w:color="auto" w:sz="2" w:space="0"/>
            </w:tcBorders>
            <w:vAlign w:val="center"/>
          </w:tcPr>
          <w:p w14:paraId="462A17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24.81%</w:t>
            </w:r>
          </w:p>
        </w:tc>
        <w:tc>
          <w:tcPr>
            <w:tcW w:w="876" w:type="dxa"/>
            <w:tcBorders>
              <w:top w:val="single" w:color="auto" w:sz="2" w:space="0"/>
              <w:left w:val="single" w:color="auto" w:sz="2" w:space="0"/>
              <w:bottom w:val="single" w:color="auto" w:sz="2" w:space="0"/>
              <w:right w:val="single" w:color="auto" w:sz="2" w:space="0"/>
            </w:tcBorders>
            <w:vAlign w:val="center"/>
          </w:tcPr>
          <w:p w14:paraId="02067D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21,301,848.97</w:t>
            </w:r>
          </w:p>
        </w:tc>
        <w:tc>
          <w:tcPr>
            <w:tcW w:w="876" w:type="dxa"/>
            <w:tcBorders>
              <w:top w:val="single" w:color="auto" w:sz="2" w:space="0"/>
              <w:left w:val="single" w:color="auto" w:sz="2" w:space="0"/>
              <w:bottom w:val="single" w:color="auto" w:sz="2" w:space="0"/>
              <w:right w:val="single" w:color="auto" w:sz="2" w:space="0"/>
            </w:tcBorders>
            <w:vAlign w:val="center"/>
          </w:tcPr>
          <w:p w14:paraId="7459EA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33,806,095.55</w:t>
            </w:r>
          </w:p>
        </w:tc>
        <w:tc>
          <w:tcPr>
            <w:tcW w:w="876" w:type="dxa"/>
            <w:tcBorders>
              <w:top w:val="single" w:color="auto" w:sz="2" w:space="0"/>
              <w:left w:val="single" w:color="auto" w:sz="2" w:space="0"/>
              <w:bottom w:val="single" w:color="auto" w:sz="2" w:space="0"/>
              <w:right w:val="single" w:color="auto" w:sz="2" w:space="0"/>
            </w:tcBorders>
            <w:vAlign w:val="center"/>
          </w:tcPr>
          <w:p w14:paraId="47A0EC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6DC213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876" w:type="dxa"/>
            <w:tcBorders>
              <w:top w:val="single" w:color="auto" w:sz="2" w:space="0"/>
              <w:left w:val="single" w:color="auto" w:sz="2" w:space="0"/>
              <w:bottom w:val="single" w:color="auto" w:sz="2" w:space="0"/>
              <w:right w:val="single" w:color="auto" w:sz="2" w:space="0"/>
            </w:tcBorders>
            <w:vAlign w:val="center"/>
          </w:tcPr>
          <w:p w14:paraId="44F32A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9.02%</w:t>
            </w:r>
          </w:p>
        </w:tc>
        <w:tc>
          <w:tcPr>
            <w:tcW w:w="876" w:type="dxa"/>
            <w:tcBorders>
              <w:top w:val="single" w:color="auto" w:sz="2" w:space="0"/>
              <w:left w:val="single" w:color="auto" w:sz="2" w:space="0"/>
              <w:bottom w:val="single" w:color="auto" w:sz="2" w:space="0"/>
              <w:right w:val="single" w:color="auto" w:sz="2" w:space="0"/>
            </w:tcBorders>
            <w:vAlign w:val="center"/>
          </w:tcPr>
          <w:p w14:paraId="000704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r w14:paraId="7C8065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7C1A74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6A3BCF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42,165,606.77</w:t>
            </w:r>
          </w:p>
        </w:tc>
        <w:tc>
          <w:tcPr>
            <w:tcW w:w="876" w:type="dxa"/>
            <w:tcBorders>
              <w:top w:val="single" w:color="auto" w:sz="2" w:space="0"/>
              <w:left w:val="single" w:color="auto" w:sz="2" w:space="0"/>
              <w:bottom w:val="single" w:color="auto" w:sz="2" w:space="0"/>
              <w:right w:val="single" w:color="auto" w:sz="2" w:space="0"/>
            </w:tcBorders>
            <w:vAlign w:val="center"/>
          </w:tcPr>
          <w:p w14:paraId="74E14F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2612D4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7,034,901.53</w:t>
            </w:r>
          </w:p>
        </w:tc>
        <w:tc>
          <w:tcPr>
            <w:tcW w:w="876" w:type="dxa"/>
            <w:tcBorders>
              <w:top w:val="single" w:color="auto" w:sz="2" w:space="0"/>
              <w:left w:val="single" w:color="auto" w:sz="2" w:space="0"/>
              <w:bottom w:val="single" w:color="auto" w:sz="2" w:space="0"/>
              <w:right w:val="single" w:color="auto" w:sz="2" w:space="0"/>
            </w:tcBorders>
            <w:vAlign w:val="center"/>
          </w:tcPr>
          <w:p w14:paraId="7ABC88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16.68%</w:t>
            </w:r>
          </w:p>
        </w:tc>
        <w:tc>
          <w:tcPr>
            <w:tcW w:w="876" w:type="dxa"/>
            <w:tcBorders>
              <w:top w:val="single" w:color="auto" w:sz="2" w:space="0"/>
              <w:left w:val="single" w:color="auto" w:sz="2" w:space="0"/>
              <w:bottom w:val="single" w:color="auto" w:sz="2" w:space="0"/>
              <w:right w:val="single" w:color="auto" w:sz="2" w:space="0"/>
            </w:tcBorders>
            <w:vAlign w:val="center"/>
          </w:tcPr>
          <w:p w14:paraId="7CE606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35,130,705.24</w:t>
            </w:r>
          </w:p>
        </w:tc>
        <w:tc>
          <w:tcPr>
            <w:tcW w:w="876" w:type="dxa"/>
            <w:tcBorders>
              <w:top w:val="single" w:color="auto" w:sz="2" w:space="0"/>
              <w:left w:val="single" w:color="auto" w:sz="2" w:space="0"/>
              <w:bottom w:val="single" w:color="auto" w:sz="2" w:space="0"/>
              <w:right w:val="single" w:color="auto" w:sz="2" w:space="0"/>
            </w:tcBorders>
            <w:vAlign w:val="center"/>
          </w:tcPr>
          <w:p w14:paraId="2FA866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33,806,095.55</w:t>
            </w:r>
          </w:p>
        </w:tc>
        <w:tc>
          <w:tcPr>
            <w:tcW w:w="876" w:type="dxa"/>
            <w:tcBorders>
              <w:top w:val="single" w:color="auto" w:sz="2" w:space="0"/>
              <w:left w:val="single" w:color="auto" w:sz="2" w:space="0"/>
              <w:bottom w:val="single" w:color="auto" w:sz="2" w:space="0"/>
              <w:right w:val="single" w:color="auto" w:sz="2" w:space="0"/>
            </w:tcBorders>
            <w:vAlign w:val="center"/>
          </w:tcPr>
          <w:p w14:paraId="620997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1D748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876" w:type="dxa"/>
            <w:tcBorders>
              <w:top w:val="single" w:color="auto" w:sz="2" w:space="0"/>
              <w:left w:val="single" w:color="auto" w:sz="2" w:space="0"/>
              <w:bottom w:val="single" w:color="auto" w:sz="2" w:space="0"/>
              <w:right w:val="single" w:color="auto" w:sz="2" w:space="0"/>
            </w:tcBorders>
            <w:vAlign w:val="center"/>
          </w:tcPr>
          <w:p w14:paraId="1BF9DC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9.02%</w:t>
            </w:r>
          </w:p>
        </w:tc>
        <w:tc>
          <w:tcPr>
            <w:tcW w:w="876" w:type="dxa"/>
            <w:tcBorders>
              <w:top w:val="single" w:color="auto" w:sz="2" w:space="0"/>
              <w:left w:val="single" w:color="auto" w:sz="2" w:space="0"/>
              <w:bottom w:val="single" w:color="auto" w:sz="2" w:space="0"/>
              <w:right w:val="single" w:color="auto" w:sz="2" w:space="0"/>
            </w:tcBorders>
            <w:vAlign w:val="center"/>
          </w:tcPr>
          <w:p w14:paraId="263D80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30,757,977.09</w:t>
            </w:r>
          </w:p>
        </w:tc>
      </w:tr>
    </w:tbl>
    <w:p w14:paraId="4A538E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按组合计提坏账准备：组合1</w:t>
      </w:r>
    </w:p>
    <w:p w14:paraId="241A42A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4D444F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5988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7CCE2B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373AD1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429527A">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CA37CE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2F48C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75792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65CDF8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F2E95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政府部门、教育医疗单位的应收款项账龄组合</w:t>
            </w:r>
          </w:p>
        </w:tc>
        <w:tc>
          <w:tcPr>
            <w:tcW w:w="2410" w:type="dxa"/>
            <w:tcBorders>
              <w:top w:val="single" w:color="auto" w:sz="2" w:space="0"/>
              <w:left w:val="single" w:color="auto" w:sz="2" w:space="0"/>
              <w:bottom w:val="single" w:color="auto" w:sz="2" w:space="0"/>
              <w:right w:val="single" w:color="auto" w:sz="2" w:space="0"/>
            </w:tcBorders>
            <w:vAlign w:val="center"/>
          </w:tcPr>
          <w:p w14:paraId="7296AF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13,835,221.87</w:t>
            </w:r>
          </w:p>
        </w:tc>
        <w:tc>
          <w:tcPr>
            <w:tcW w:w="2410" w:type="dxa"/>
            <w:tcBorders>
              <w:top w:val="single" w:color="auto" w:sz="2" w:space="0"/>
              <w:left w:val="single" w:color="auto" w:sz="2" w:space="0"/>
              <w:bottom w:val="single" w:color="auto" w:sz="2" w:space="0"/>
              <w:right w:val="single" w:color="auto" w:sz="2" w:space="0"/>
            </w:tcBorders>
            <w:vAlign w:val="center"/>
          </w:tcPr>
          <w:p w14:paraId="58D050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6,365.60</w:t>
            </w:r>
          </w:p>
        </w:tc>
        <w:tc>
          <w:tcPr>
            <w:tcW w:w="2410" w:type="dxa"/>
            <w:tcBorders>
              <w:top w:val="single" w:color="auto" w:sz="2" w:space="0"/>
              <w:left w:val="single" w:color="auto" w:sz="2" w:space="0"/>
              <w:bottom w:val="single" w:color="auto" w:sz="2" w:space="0"/>
              <w:right w:val="single" w:color="auto" w:sz="2" w:space="0"/>
            </w:tcBorders>
            <w:vAlign w:val="center"/>
          </w:tcPr>
          <w:p w14:paraId="04CF60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0.05%</w:t>
            </w:r>
          </w:p>
        </w:tc>
      </w:tr>
      <w:tr w14:paraId="085850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B8B00A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AD80E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13,835,221.87</w:t>
            </w:r>
          </w:p>
        </w:tc>
        <w:tc>
          <w:tcPr>
            <w:tcW w:w="2410" w:type="dxa"/>
            <w:tcBorders>
              <w:top w:val="single" w:color="auto" w:sz="2" w:space="0"/>
              <w:left w:val="single" w:color="auto" w:sz="2" w:space="0"/>
              <w:bottom w:val="single" w:color="auto" w:sz="2" w:space="0"/>
              <w:right w:val="single" w:color="auto" w:sz="2" w:space="0"/>
            </w:tcBorders>
            <w:vAlign w:val="center"/>
          </w:tcPr>
          <w:p w14:paraId="35DB47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6,365.60</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5E73498">
            <w:pPr>
              <w:rPr>
                <w:rFonts w:ascii="Times New Roman" w:hAnsi="Times New Roman" w:cs="Times New Roman" w:eastAsiaTheme="majorEastAsia"/>
              </w:rPr>
            </w:pPr>
          </w:p>
        </w:tc>
      </w:tr>
    </w:tbl>
    <w:p w14:paraId="7AFCB32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r>
        <w:rPr>
          <w:rFonts w:hint="eastAsia" w:ascii="Times New Roman" w:hAnsi="Times New Roman" w:cs="Times New Roman" w:eastAsiaTheme="majorEastAsia"/>
          <w:sz w:val="18"/>
          <w:szCs w:val="18"/>
        </w:rPr>
        <w:t>无。</w:t>
      </w:r>
    </w:p>
    <w:p w14:paraId="12C7CE7D">
      <w:pPr>
        <w:rPr>
          <w:rFonts w:ascii="Times New Roman" w:hAnsi="Times New Roman" w:cs="Times New Roman" w:eastAsiaTheme="majorEastAsia"/>
          <w:sz w:val="18"/>
          <w:szCs w:val="18"/>
        </w:rPr>
      </w:pPr>
    </w:p>
    <w:p w14:paraId="593B41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按组合计提坏账准备：组合2</w:t>
      </w:r>
    </w:p>
    <w:p w14:paraId="187C4F9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AC469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E41FDB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5F3B9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CDB9C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D3DA651">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2FB98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F9B51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3EC03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52146E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6A28E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企业及其他单位的应收款项账龄组合</w:t>
            </w:r>
          </w:p>
        </w:tc>
        <w:tc>
          <w:tcPr>
            <w:tcW w:w="2410" w:type="dxa"/>
            <w:tcBorders>
              <w:top w:val="single" w:color="auto" w:sz="2" w:space="0"/>
              <w:left w:val="single" w:color="auto" w:sz="2" w:space="0"/>
              <w:bottom w:val="single" w:color="auto" w:sz="2" w:space="0"/>
              <w:right w:val="single" w:color="auto" w:sz="2" w:space="0"/>
            </w:tcBorders>
            <w:vAlign w:val="center"/>
          </w:tcPr>
          <w:p w14:paraId="15DC95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28,330,384.90</w:t>
            </w:r>
          </w:p>
        </w:tc>
        <w:tc>
          <w:tcPr>
            <w:tcW w:w="2410" w:type="dxa"/>
            <w:tcBorders>
              <w:top w:val="single" w:color="auto" w:sz="2" w:space="0"/>
              <w:left w:val="single" w:color="auto" w:sz="2" w:space="0"/>
              <w:bottom w:val="single" w:color="auto" w:sz="2" w:space="0"/>
              <w:right w:val="single" w:color="auto" w:sz="2" w:space="0"/>
            </w:tcBorders>
            <w:vAlign w:val="center"/>
          </w:tcPr>
          <w:p w14:paraId="165884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7,028,535.93</w:t>
            </w:r>
          </w:p>
        </w:tc>
        <w:tc>
          <w:tcPr>
            <w:tcW w:w="2410" w:type="dxa"/>
            <w:tcBorders>
              <w:top w:val="single" w:color="auto" w:sz="2" w:space="0"/>
              <w:left w:val="single" w:color="auto" w:sz="2" w:space="0"/>
              <w:bottom w:val="single" w:color="auto" w:sz="2" w:space="0"/>
              <w:right w:val="single" w:color="auto" w:sz="2" w:space="0"/>
            </w:tcBorders>
            <w:vAlign w:val="center"/>
          </w:tcPr>
          <w:p w14:paraId="628791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24.81%</w:t>
            </w:r>
          </w:p>
        </w:tc>
      </w:tr>
      <w:tr w14:paraId="032C7C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7B549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AE753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28,330,384.90</w:t>
            </w:r>
          </w:p>
        </w:tc>
        <w:tc>
          <w:tcPr>
            <w:tcW w:w="2410" w:type="dxa"/>
            <w:tcBorders>
              <w:top w:val="single" w:color="auto" w:sz="2" w:space="0"/>
              <w:left w:val="single" w:color="auto" w:sz="2" w:space="0"/>
              <w:bottom w:val="single" w:color="auto" w:sz="2" w:space="0"/>
              <w:right w:val="single" w:color="auto" w:sz="2" w:space="0"/>
            </w:tcBorders>
            <w:vAlign w:val="center"/>
          </w:tcPr>
          <w:p w14:paraId="1DD151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7,028,535.93</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0A28F6D">
            <w:pPr>
              <w:rPr>
                <w:rFonts w:ascii="Times New Roman" w:hAnsi="Times New Roman" w:cs="Times New Roman" w:eastAsiaTheme="majorEastAsia"/>
              </w:rPr>
            </w:pPr>
          </w:p>
        </w:tc>
      </w:tr>
    </w:tbl>
    <w:p w14:paraId="4F78E06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r>
        <w:rPr>
          <w:rFonts w:hint="eastAsia" w:ascii="Times New Roman" w:hAnsi="Times New Roman" w:cs="Times New Roman" w:eastAsiaTheme="majorEastAsia"/>
          <w:sz w:val="18"/>
          <w:szCs w:val="18"/>
        </w:rPr>
        <w:t>无。</w:t>
      </w:r>
    </w:p>
    <w:p w14:paraId="18860A1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按预期信用损失一般模型计提坏账准备</w:t>
      </w:r>
    </w:p>
    <w:p w14:paraId="034089C1">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898CC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912F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E061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10FB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084D06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E752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181EC8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07548C">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46A57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8911F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ABDEC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F5276D9">
            <w:pPr>
              <w:rPr>
                <w:rFonts w:ascii="Times New Roman" w:hAnsi="Times New Roman" w:cs="Times New Roman" w:eastAsiaTheme="majorEastAsia"/>
              </w:rPr>
            </w:pPr>
          </w:p>
        </w:tc>
      </w:tr>
      <w:tr w14:paraId="55DB82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5544A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A86E85">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77A948">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62ECA5">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5BDABA">
            <w:pPr>
              <w:rPr>
                <w:rFonts w:ascii="Times New Roman" w:hAnsi="Times New Roman" w:cs="Times New Roman" w:eastAsiaTheme="majorEastAsia"/>
              </w:rPr>
            </w:pPr>
          </w:p>
        </w:tc>
      </w:tr>
    </w:tbl>
    <w:p w14:paraId="3D02CED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各阶段划分依据和坏账准备计提比例</w:t>
      </w:r>
    </w:p>
    <w:p w14:paraId="37B88533">
      <w:pPr>
        <w:rPr>
          <w:rFonts w:ascii="Times New Roman" w:hAnsi="Times New Roman" w:cs="Times New Roman" w:eastAsiaTheme="majorEastAsia"/>
          <w:sz w:val="18"/>
          <w:szCs w:val="18"/>
        </w:rPr>
      </w:pPr>
    </w:p>
    <w:p w14:paraId="02791537">
      <w:pPr>
        <w:keepNext/>
        <w:keepLines/>
        <w:spacing w:before="300" w:after="300" w:line="280" w:lineRule="exact"/>
        <w:outlineLvl w:val="3"/>
        <w:rPr>
          <w:rFonts w:ascii="Times New Roman" w:hAnsi="Times New Roman" w:cs="Times New Roman" w:eastAsiaTheme="majorEastAsia"/>
          <w:b/>
          <w:bCs/>
          <w:szCs w:val="21"/>
        </w:rPr>
      </w:pPr>
      <w:bookmarkStart w:id="269" w:name="_Toc989158"/>
      <w:r>
        <w:rPr>
          <w:rFonts w:ascii="Times New Roman" w:hAnsi="Times New Roman" w:cs="Times New Roman" w:eastAsiaTheme="majorEastAsia"/>
          <w:b/>
          <w:bCs/>
          <w:szCs w:val="21"/>
        </w:rPr>
        <w:t>（3） 本期计提、收回或转回的坏账准备的情况</w:t>
      </w:r>
      <w:bookmarkEnd w:id="269"/>
    </w:p>
    <w:p w14:paraId="4E3C13A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21C79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2C7D0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2F880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16C654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6FBBE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E78BE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1E4BCEA">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9D207DD">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CA9BC3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1BD0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7245B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71703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396D69">
            <w:pPr>
              <w:rPr>
                <w:rFonts w:ascii="Times New Roman" w:hAnsi="Times New Roman" w:cs="Times New Roman" w:eastAsiaTheme="majorEastAsia"/>
              </w:rPr>
            </w:pPr>
          </w:p>
        </w:tc>
      </w:tr>
      <w:tr w14:paraId="1A7BBC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95A00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账龄组合</w:t>
            </w:r>
          </w:p>
        </w:tc>
        <w:tc>
          <w:tcPr>
            <w:tcW w:w="1377" w:type="dxa"/>
            <w:tcBorders>
              <w:top w:val="single" w:color="auto" w:sz="2" w:space="0"/>
              <w:left w:val="single" w:color="auto" w:sz="2" w:space="0"/>
              <w:bottom w:val="single" w:color="auto" w:sz="2" w:space="0"/>
              <w:right w:val="single" w:color="auto" w:sz="2" w:space="0"/>
            </w:tcBorders>
            <w:vAlign w:val="center"/>
          </w:tcPr>
          <w:p w14:paraId="37E41B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1377" w:type="dxa"/>
            <w:tcBorders>
              <w:top w:val="single" w:color="auto" w:sz="2" w:space="0"/>
              <w:left w:val="single" w:color="auto" w:sz="2" w:space="0"/>
              <w:bottom w:val="single" w:color="auto" w:sz="2" w:space="0"/>
              <w:right w:val="single" w:color="auto" w:sz="2" w:space="0"/>
            </w:tcBorders>
            <w:vAlign w:val="center"/>
          </w:tcPr>
          <w:p w14:paraId="14D52E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3,986,783.07</w:t>
            </w:r>
          </w:p>
        </w:tc>
        <w:tc>
          <w:tcPr>
            <w:tcW w:w="1377" w:type="dxa"/>
            <w:tcBorders>
              <w:top w:val="single" w:color="auto" w:sz="2" w:space="0"/>
              <w:left w:val="single" w:color="auto" w:sz="2" w:space="0"/>
              <w:bottom w:val="single" w:color="auto" w:sz="2" w:space="0"/>
              <w:right w:val="single" w:color="auto" w:sz="2" w:space="0"/>
            </w:tcBorders>
            <w:vAlign w:val="center"/>
          </w:tcPr>
          <w:p w14:paraId="5730E60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477FE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35A27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05B1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7,034,901.53</w:t>
            </w:r>
          </w:p>
        </w:tc>
      </w:tr>
      <w:tr w14:paraId="1822EB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DF841A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44D06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3,048,118.46</w:t>
            </w:r>
          </w:p>
        </w:tc>
        <w:tc>
          <w:tcPr>
            <w:tcW w:w="1377" w:type="dxa"/>
            <w:tcBorders>
              <w:top w:val="single" w:color="auto" w:sz="2" w:space="0"/>
              <w:left w:val="single" w:color="auto" w:sz="2" w:space="0"/>
              <w:bottom w:val="single" w:color="auto" w:sz="2" w:space="0"/>
              <w:right w:val="single" w:color="auto" w:sz="2" w:space="0"/>
            </w:tcBorders>
            <w:vAlign w:val="center"/>
          </w:tcPr>
          <w:p w14:paraId="76B9E0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3,986,783.07</w:t>
            </w:r>
          </w:p>
        </w:tc>
        <w:tc>
          <w:tcPr>
            <w:tcW w:w="1377" w:type="dxa"/>
            <w:tcBorders>
              <w:top w:val="single" w:color="auto" w:sz="2" w:space="0"/>
              <w:left w:val="single" w:color="auto" w:sz="2" w:space="0"/>
              <w:bottom w:val="single" w:color="auto" w:sz="2" w:space="0"/>
              <w:right w:val="single" w:color="auto" w:sz="2" w:space="0"/>
            </w:tcBorders>
            <w:vAlign w:val="center"/>
          </w:tcPr>
          <w:p w14:paraId="018FA19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0C7A1D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3C35500">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603E0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7,034,901.53</w:t>
            </w:r>
          </w:p>
        </w:tc>
      </w:tr>
    </w:tbl>
    <w:p w14:paraId="3327BD5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其中本期坏账准备转回或收回金额重要的：</w:t>
      </w:r>
      <w:r>
        <w:rPr>
          <w:rFonts w:hint="eastAsia" w:ascii="Times New Roman" w:hAnsi="Times New Roman" w:cs="Times New Roman" w:eastAsiaTheme="majorEastAsia"/>
          <w:sz w:val="18"/>
          <w:szCs w:val="18"/>
        </w:rPr>
        <w:t>无。</w:t>
      </w:r>
    </w:p>
    <w:p w14:paraId="13ECD61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74103446">
      <w:pPr>
        <w:keepNext/>
        <w:keepLines/>
        <w:spacing w:before="300" w:after="300" w:line="280" w:lineRule="exact"/>
        <w:outlineLvl w:val="3"/>
        <w:rPr>
          <w:rFonts w:ascii="Times New Roman" w:hAnsi="Times New Roman" w:cs="Times New Roman" w:eastAsiaTheme="majorEastAsia"/>
          <w:b/>
          <w:bCs/>
          <w:szCs w:val="21"/>
        </w:rPr>
      </w:pPr>
      <w:bookmarkStart w:id="270" w:name="_Toc989159"/>
      <w:r>
        <w:rPr>
          <w:rFonts w:ascii="Times New Roman" w:hAnsi="Times New Roman" w:cs="Times New Roman" w:eastAsiaTheme="majorEastAsia"/>
          <w:b/>
          <w:bCs/>
          <w:szCs w:val="21"/>
        </w:rPr>
        <w:t>（4） 本期实际核销的长期应收款情况</w:t>
      </w:r>
      <w:bookmarkEnd w:id="270"/>
    </w:p>
    <w:p w14:paraId="2F2469B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Cs w:val="21"/>
        </w:rPr>
        <w:t>长期应收款核销说明：本期无实际核销的长期应收款。</w:t>
      </w:r>
    </w:p>
    <w:p w14:paraId="58EF2E72">
      <w:pPr>
        <w:pStyle w:val="3"/>
        <w:spacing w:line="280" w:lineRule="exact"/>
        <w:jc w:val="left"/>
        <w:rPr>
          <w:rFonts w:ascii="Times New Roman" w:hAnsi="Times New Roman" w:cs="Times New Roman" w:eastAsiaTheme="majorEastAsia"/>
          <w:b/>
          <w:bCs/>
        </w:rPr>
      </w:pPr>
      <w:bookmarkStart w:id="271" w:name="_Toc989160"/>
      <w:r>
        <w:rPr>
          <w:rFonts w:ascii="Times New Roman" w:hAnsi="Times New Roman" w:cs="Times New Roman" w:eastAsiaTheme="majorEastAsia"/>
          <w:b/>
          <w:bCs/>
        </w:rPr>
        <w:t>13、长期股权投资</w:t>
      </w:r>
      <w:bookmarkEnd w:id="271"/>
    </w:p>
    <w:p w14:paraId="1E77B53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1"/>
        <w:gridCol w:w="741"/>
        <w:gridCol w:w="741"/>
        <w:gridCol w:w="741"/>
        <w:gridCol w:w="745"/>
        <w:gridCol w:w="741"/>
        <w:gridCol w:w="743"/>
      </w:tblGrid>
      <w:tr w14:paraId="5BAB32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12D807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被投资单位</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78542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6C7DA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减值准备期初余额</w:t>
            </w:r>
          </w:p>
        </w:tc>
        <w:tc>
          <w:tcPr>
            <w:tcW w:w="5932" w:type="dxa"/>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4DFD25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本期增减变动</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85015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期末余额（账面价值）</w:t>
            </w:r>
          </w:p>
        </w:tc>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E07C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减值准备期末余额</w:t>
            </w:r>
          </w:p>
        </w:tc>
      </w:tr>
      <w:tr w14:paraId="110F35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93462F9">
            <w:pPr>
              <w:rPr>
                <w:rFonts w:ascii="Times New Roman" w:hAnsi="Times New Roman" w:cs="Times New Roman" w:eastAsiaTheme="majorEastAsia"/>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DD40E2">
            <w:pPr>
              <w:rPr>
                <w:rFonts w:ascii="Times New Roman" w:hAnsi="Times New Roman" w:cs="Times New Roman" w:eastAsiaTheme="majorEastAsia"/>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C0881B">
            <w:pPr>
              <w:rPr>
                <w:rFonts w:ascii="Times New Roman" w:hAnsi="Times New Roman" w:cs="Times New Roman" w:eastAsiaTheme="majorEastAsia"/>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03EF8D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追加投资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FD53A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减少投资</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8B053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权益法下确认的投资损益</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387ED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其他综合收益调整</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718BED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其他权益变动</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E649A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宣告发放现金股利或利润</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4607CA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计提减值准备</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87E6A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DD7D24E">
            <w:pPr>
              <w:rPr>
                <w:rFonts w:ascii="Times New Roman" w:hAnsi="Times New Roman" w:cs="Times New Roman" w:eastAsiaTheme="majorEastAsia"/>
              </w:rPr>
            </w:pPr>
          </w:p>
        </w:tc>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E1AF7D8">
            <w:pPr>
              <w:rPr>
                <w:rFonts w:ascii="Times New Roman" w:hAnsi="Times New Roman" w:cs="Times New Roman" w:eastAsiaTheme="majorEastAsia"/>
              </w:rPr>
            </w:pPr>
          </w:p>
        </w:tc>
      </w:tr>
      <w:tr w14:paraId="6E4252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6801A0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一、合营企业</w:t>
            </w:r>
          </w:p>
        </w:tc>
      </w:tr>
      <w:tr w14:paraId="52D7C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76A3B39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二、联营企业</w:t>
            </w:r>
          </w:p>
        </w:tc>
      </w:tr>
    </w:tbl>
    <w:p w14:paraId="1BE6ED6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可收回金额按公允价值减去处置费用后的净额确定</w:t>
      </w:r>
    </w:p>
    <w:p w14:paraId="1BA80685">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BC1F86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可收回金额按预计未来现金流量的现值确定</w:t>
      </w:r>
    </w:p>
    <w:p w14:paraId="7DA3BA59">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8DD371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前述信息与以前年度减值测试采用的信息或外部信息明显不一致的差异原因</w:t>
      </w:r>
    </w:p>
    <w:p w14:paraId="38E1E11C">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52DE5F0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公司以前年度减值测试采用信息与当年实际情况明显不一致的差异原因</w:t>
      </w:r>
    </w:p>
    <w:p w14:paraId="50010852">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34C77B6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ascii="Times New Roman" w:hAnsi="Times New Roman" w:cs="Times New Roman" w:eastAsiaTheme="majorEastAsia"/>
          <w:szCs w:val="21"/>
        </w:rPr>
        <w:t>无。</w:t>
      </w:r>
    </w:p>
    <w:p w14:paraId="7C0325B4">
      <w:pPr>
        <w:pStyle w:val="3"/>
        <w:spacing w:line="280" w:lineRule="exact"/>
        <w:jc w:val="left"/>
        <w:rPr>
          <w:rFonts w:ascii="Times New Roman" w:hAnsi="Times New Roman" w:cs="Times New Roman" w:eastAsiaTheme="majorEastAsia"/>
          <w:b/>
          <w:bCs/>
        </w:rPr>
      </w:pPr>
      <w:bookmarkStart w:id="272" w:name="_Toc989161"/>
      <w:r>
        <w:rPr>
          <w:rFonts w:ascii="Times New Roman" w:hAnsi="Times New Roman" w:cs="Times New Roman" w:eastAsiaTheme="majorEastAsia"/>
          <w:b/>
          <w:bCs/>
        </w:rPr>
        <w:t>14、其他非流动金融资产</w:t>
      </w:r>
      <w:bookmarkEnd w:id="272"/>
    </w:p>
    <w:p w14:paraId="2907AF6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ascii="Times New Roman" w:hAnsi="Times New Roman" w:cs="Times New Roman" w:eastAsiaTheme="majorEastAsia"/>
          <w:szCs w:val="21"/>
        </w:rPr>
        <w:t>不适用。</w:t>
      </w:r>
    </w:p>
    <w:p w14:paraId="457A568E">
      <w:pPr>
        <w:pStyle w:val="3"/>
        <w:spacing w:line="280" w:lineRule="exact"/>
        <w:jc w:val="left"/>
        <w:rPr>
          <w:rFonts w:ascii="Times New Roman" w:hAnsi="Times New Roman" w:cs="Times New Roman" w:eastAsiaTheme="majorEastAsia"/>
          <w:b/>
          <w:bCs/>
        </w:rPr>
      </w:pPr>
      <w:bookmarkStart w:id="273" w:name="_Toc989162"/>
      <w:r>
        <w:rPr>
          <w:rFonts w:ascii="Times New Roman" w:hAnsi="Times New Roman" w:cs="Times New Roman" w:eastAsiaTheme="majorEastAsia"/>
          <w:b/>
          <w:bCs/>
        </w:rPr>
        <w:t>15、投资性房地产</w:t>
      </w:r>
      <w:bookmarkEnd w:id="273"/>
    </w:p>
    <w:p w14:paraId="31834C79">
      <w:pPr>
        <w:keepNext/>
        <w:keepLines/>
        <w:spacing w:before="300" w:after="300" w:line="280" w:lineRule="exact"/>
        <w:outlineLvl w:val="3"/>
        <w:rPr>
          <w:rFonts w:ascii="Times New Roman" w:hAnsi="Times New Roman" w:cs="Times New Roman" w:eastAsiaTheme="majorEastAsia"/>
          <w:b/>
          <w:bCs/>
          <w:sz w:val="18"/>
          <w:szCs w:val="18"/>
        </w:rPr>
      </w:pPr>
      <w:bookmarkStart w:id="274" w:name="_Toc989163"/>
      <w:r>
        <w:rPr>
          <w:rFonts w:ascii="Times New Roman" w:hAnsi="Times New Roman" w:cs="Times New Roman" w:eastAsiaTheme="majorEastAsia"/>
          <w:b/>
          <w:bCs/>
          <w:sz w:val="18"/>
          <w:szCs w:val="18"/>
        </w:rPr>
        <w:t>（1） 采用成本计量模式的投资性房地产</w:t>
      </w:r>
      <w:bookmarkEnd w:id="274"/>
    </w:p>
    <w:p w14:paraId="0DF45DA7">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C940398">
      <w:pPr>
        <w:keepNext/>
        <w:keepLines/>
        <w:spacing w:before="300" w:after="300" w:line="280" w:lineRule="exact"/>
        <w:outlineLvl w:val="3"/>
        <w:rPr>
          <w:rFonts w:ascii="Times New Roman" w:hAnsi="Times New Roman" w:cs="Times New Roman" w:eastAsiaTheme="majorEastAsia"/>
          <w:b/>
          <w:bCs/>
          <w:sz w:val="18"/>
          <w:szCs w:val="18"/>
        </w:rPr>
      </w:pPr>
      <w:bookmarkStart w:id="275" w:name="_Toc989164"/>
      <w:r>
        <w:rPr>
          <w:rFonts w:ascii="Times New Roman" w:hAnsi="Times New Roman" w:cs="Times New Roman" w:eastAsiaTheme="majorEastAsia"/>
          <w:b/>
          <w:bCs/>
          <w:sz w:val="18"/>
          <w:szCs w:val="18"/>
        </w:rPr>
        <w:t>（2） 采用公允价值计量模式的投资性房地产</w:t>
      </w:r>
      <w:bookmarkEnd w:id="275"/>
    </w:p>
    <w:p w14:paraId="4A117DE0">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3A16CC3">
      <w:pPr>
        <w:keepNext/>
        <w:keepLines/>
        <w:spacing w:before="300" w:after="300" w:line="280" w:lineRule="exact"/>
        <w:outlineLvl w:val="3"/>
        <w:rPr>
          <w:rFonts w:ascii="Times New Roman" w:hAnsi="Times New Roman" w:cs="Times New Roman" w:eastAsiaTheme="majorEastAsia"/>
          <w:b/>
          <w:bCs/>
          <w:sz w:val="18"/>
          <w:szCs w:val="18"/>
        </w:rPr>
      </w:pPr>
      <w:bookmarkStart w:id="276" w:name="_Toc989165"/>
      <w:r>
        <w:rPr>
          <w:rFonts w:ascii="Times New Roman" w:hAnsi="Times New Roman" w:cs="Times New Roman" w:eastAsiaTheme="majorEastAsia"/>
          <w:b/>
          <w:bCs/>
          <w:sz w:val="18"/>
          <w:szCs w:val="18"/>
        </w:rPr>
        <w:t>（3） 转换为投资性房地产并采用公允价值计量</w:t>
      </w:r>
      <w:bookmarkEnd w:id="276"/>
    </w:p>
    <w:p w14:paraId="26EDBF3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19F62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56BA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DF169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转换前核算科目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212F4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507F1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转换理由</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5D54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审批程序</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814F7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对损益的影响</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F4B85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对其他综合收益的影响</w:t>
            </w:r>
          </w:p>
        </w:tc>
      </w:tr>
      <w:tr w14:paraId="5DE80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521A111">
            <w:pPr>
              <w:spacing w:before="40" w:after="40"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5BD8CD1F">
            <w:pPr>
              <w:spacing w:before="40" w:after="40"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1A4A9C94">
            <w:pPr>
              <w:spacing w:before="40" w:after="40"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6A47B6A7">
            <w:pPr>
              <w:spacing w:before="40" w:after="40"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6AE759EC">
            <w:pPr>
              <w:spacing w:before="40" w:after="40"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4A5B3FC">
            <w:pPr>
              <w:spacing w:before="40" w:after="40" w:line="240" w:lineRule="exact"/>
              <w:jc w:val="center"/>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1E04FB81">
            <w:pPr>
              <w:spacing w:before="40" w:after="40" w:line="240" w:lineRule="exact"/>
              <w:jc w:val="center"/>
              <w:rPr>
                <w:rFonts w:ascii="Times New Roman" w:hAnsi="Times New Roman" w:cs="Times New Roman" w:eastAsiaTheme="majorEastAsia"/>
                <w:sz w:val="18"/>
                <w:szCs w:val="18"/>
              </w:rPr>
            </w:pPr>
          </w:p>
        </w:tc>
      </w:tr>
    </w:tbl>
    <w:p w14:paraId="0C14EBF7">
      <w:pPr>
        <w:keepNext/>
        <w:keepLines/>
        <w:spacing w:before="300" w:after="300" w:line="280" w:lineRule="exact"/>
        <w:outlineLvl w:val="3"/>
        <w:rPr>
          <w:rFonts w:ascii="Times New Roman" w:hAnsi="Times New Roman" w:cs="Times New Roman" w:eastAsiaTheme="majorEastAsia"/>
          <w:b/>
          <w:bCs/>
          <w:sz w:val="18"/>
          <w:szCs w:val="18"/>
        </w:rPr>
      </w:pPr>
      <w:bookmarkStart w:id="277" w:name="_Toc989166"/>
      <w:r>
        <w:rPr>
          <w:rFonts w:ascii="Times New Roman" w:hAnsi="Times New Roman" w:cs="Times New Roman" w:eastAsiaTheme="majorEastAsia"/>
          <w:b/>
          <w:bCs/>
          <w:sz w:val="18"/>
          <w:szCs w:val="18"/>
        </w:rPr>
        <w:t>（4） 未办妥产权证书的投资性房地产情况</w:t>
      </w:r>
      <w:bookmarkEnd w:id="277"/>
    </w:p>
    <w:p w14:paraId="31242C7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57401C20">
      <w:pPr>
        <w:pStyle w:val="3"/>
        <w:spacing w:line="280" w:lineRule="exact"/>
        <w:jc w:val="left"/>
        <w:rPr>
          <w:rFonts w:ascii="Times New Roman" w:hAnsi="Times New Roman" w:cs="Times New Roman" w:eastAsiaTheme="majorEastAsia"/>
          <w:b/>
          <w:bCs/>
        </w:rPr>
      </w:pPr>
      <w:bookmarkStart w:id="278" w:name="_Toc989167"/>
      <w:r>
        <w:rPr>
          <w:rFonts w:ascii="Times New Roman" w:hAnsi="Times New Roman" w:cs="Times New Roman" w:eastAsiaTheme="majorEastAsia"/>
          <w:b/>
          <w:bCs/>
        </w:rPr>
        <w:t>16、固定资产</w:t>
      </w:r>
      <w:bookmarkEnd w:id="278"/>
    </w:p>
    <w:p w14:paraId="21D4E22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8A479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837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603C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AF72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52648B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9972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511874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125,026,382.09</w:t>
            </w:r>
          </w:p>
        </w:tc>
        <w:tc>
          <w:tcPr>
            <w:tcW w:w="3213" w:type="dxa"/>
            <w:tcBorders>
              <w:top w:val="single" w:color="auto" w:sz="2" w:space="0"/>
              <w:left w:val="single" w:color="auto" w:sz="2" w:space="0"/>
              <w:bottom w:val="single" w:color="auto" w:sz="2" w:space="0"/>
              <w:right w:val="single" w:color="auto" w:sz="2" w:space="0"/>
            </w:tcBorders>
            <w:vAlign w:val="center"/>
          </w:tcPr>
          <w:p w14:paraId="0392A7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71,582,827.64</w:t>
            </w:r>
          </w:p>
        </w:tc>
      </w:tr>
      <w:tr w14:paraId="2B357A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B1A08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6BAF8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125,026,382.09</w:t>
            </w:r>
          </w:p>
        </w:tc>
        <w:tc>
          <w:tcPr>
            <w:tcW w:w="3213" w:type="dxa"/>
            <w:tcBorders>
              <w:top w:val="single" w:color="auto" w:sz="2" w:space="0"/>
              <w:left w:val="single" w:color="auto" w:sz="2" w:space="0"/>
              <w:bottom w:val="single" w:color="auto" w:sz="2" w:space="0"/>
              <w:right w:val="single" w:color="auto" w:sz="2" w:space="0"/>
            </w:tcBorders>
            <w:vAlign w:val="center"/>
          </w:tcPr>
          <w:p w14:paraId="0FDF29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71,582,827.64</w:t>
            </w:r>
          </w:p>
        </w:tc>
      </w:tr>
    </w:tbl>
    <w:p w14:paraId="1C5C19A9">
      <w:pPr>
        <w:keepNext/>
        <w:keepLines/>
        <w:spacing w:before="300" w:after="300" w:line="280" w:lineRule="exact"/>
        <w:outlineLvl w:val="3"/>
        <w:rPr>
          <w:rFonts w:ascii="Times New Roman" w:hAnsi="Times New Roman" w:cs="Times New Roman" w:eastAsiaTheme="majorEastAsia"/>
          <w:b/>
          <w:bCs/>
          <w:szCs w:val="21"/>
        </w:rPr>
      </w:pPr>
      <w:bookmarkStart w:id="279" w:name="_Toc989168"/>
      <w:r>
        <w:rPr>
          <w:rFonts w:ascii="Times New Roman" w:hAnsi="Times New Roman" w:cs="Times New Roman" w:eastAsiaTheme="majorEastAsia"/>
          <w:b/>
          <w:bCs/>
          <w:szCs w:val="21"/>
        </w:rPr>
        <w:t>（1） 固定资产情况</w:t>
      </w:r>
      <w:bookmarkEnd w:id="279"/>
    </w:p>
    <w:p w14:paraId="32E854A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5"/>
        <w:gridCol w:w="1312"/>
        <w:gridCol w:w="1312"/>
        <w:gridCol w:w="1220"/>
        <w:gridCol w:w="1218"/>
        <w:gridCol w:w="1549"/>
        <w:gridCol w:w="1407"/>
      </w:tblGrid>
      <w:tr w14:paraId="24FBEF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931"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CCC2E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66"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9BF9CA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房屋建筑物</w:t>
            </w:r>
          </w:p>
        </w:tc>
        <w:tc>
          <w:tcPr>
            <w:tcW w:w="666"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7882D19">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新能源设备</w:t>
            </w:r>
          </w:p>
        </w:tc>
        <w:tc>
          <w:tcPr>
            <w:tcW w:w="619"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A663BC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运输设备</w:t>
            </w:r>
          </w:p>
        </w:tc>
        <w:tc>
          <w:tcPr>
            <w:tcW w:w="618"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3EDB42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电子设备</w:t>
            </w:r>
          </w:p>
        </w:tc>
        <w:tc>
          <w:tcPr>
            <w:tcW w:w="786"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840EEA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办公设备及其他</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22E0FE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54DEAB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09B4AA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一、账面原值：</w:t>
            </w:r>
          </w:p>
        </w:tc>
        <w:tc>
          <w:tcPr>
            <w:tcW w:w="666" w:type="pct"/>
            <w:tcBorders>
              <w:top w:val="single" w:color="auto" w:sz="2" w:space="0"/>
              <w:left w:val="single" w:color="auto" w:sz="2" w:space="0"/>
              <w:bottom w:val="single" w:color="auto" w:sz="2" w:space="0"/>
              <w:right w:val="single" w:color="auto" w:sz="2" w:space="0"/>
            </w:tcBorders>
            <w:vAlign w:val="center"/>
          </w:tcPr>
          <w:p w14:paraId="1B21A7A8">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0548B042">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3449B397">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37448619">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29A41D4">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7C44951F">
            <w:pPr>
              <w:spacing w:line="240" w:lineRule="exact"/>
              <w:jc w:val="right"/>
              <w:rPr>
                <w:rFonts w:ascii="Times New Roman" w:hAnsi="Times New Roman" w:cs="Times New Roman" w:eastAsiaTheme="majorEastAsia"/>
                <w:sz w:val="18"/>
                <w:szCs w:val="18"/>
              </w:rPr>
            </w:pPr>
          </w:p>
        </w:tc>
      </w:tr>
      <w:tr w14:paraId="1ADAB1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125AA72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6" w:type="pct"/>
            <w:tcBorders>
              <w:top w:val="single" w:color="auto" w:sz="2" w:space="0"/>
              <w:left w:val="single" w:color="auto" w:sz="2" w:space="0"/>
              <w:bottom w:val="single" w:color="auto" w:sz="2" w:space="0"/>
              <w:right w:val="single" w:color="auto" w:sz="2" w:space="0"/>
            </w:tcBorders>
            <w:vAlign w:val="center"/>
          </w:tcPr>
          <w:p w14:paraId="58A196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69,916,135.72</w:t>
            </w:r>
          </w:p>
        </w:tc>
        <w:tc>
          <w:tcPr>
            <w:tcW w:w="666" w:type="pct"/>
            <w:tcBorders>
              <w:top w:val="single" w:color="auto" w:sz="2" w:space="0"/>
              <w:left w:val="single" w:color="auto" w:sz="2" w:space="0"/>
              <w:bottom w:val="single" w:color="auto" w:sz="2" w:space="0"/>
              <w:right w:val="single" w:color="auto" w:sz="2" w:space="0"/>
            </w:tcBorders>
            <w:vAlign w:val="center"/>
          </w:tcPr>
          <w:p w14:paraId="4AC02DAE">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008BE9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4,555,481.34</w:t>
            </w:r>
          </w:p>
        </w:tc>
        <w:tc>
          <w:tcPr>
            <w:tcW w:w="618" w:type="pct"/>
            <w:tcBorders>
              <w:top w:val="single" w:color="auto" w:sz="2" w:space="0"/>
              <w:left w:val="single" w:color="auto" w:sz="2" w:space="0"/>
              <w:bottom w:val="single" w:color="auto" w:sz="2" w:space="0"/>
              <w:right w:val="single" w:color="auto" w:sz="2" w:space="0"/>
            </w:tcBorders>
            <w:vAlign w:val="center"/>
          </w:tcPr>
          <w:p w14:paraId="7E73D8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2,676,767.06</w:t>
            </w:r>
          </w:p>
        </w:tc>
        <w:tc>
          <w:tcPr>
            <w:tcW w:w="786" w:type="pct"/>
            <w:tcBorders>
              <w:top w:val="single" w:color="auto" w:sz="2" w:space="0"/>
              <w:left w:val="single" w:color="auto" w:sz="2" w:space="0"/>
              <w:bottom w:val="single" w:color="auto" w:sz="2" w:space="0"/>
              <w:right w:val="single" w:color="auto" w:sz="2" w:space="0"/>
            </w:tcBorders>
            <w:vAlign w:val="center"/>
          </w:tcPr>
          <w:p w14:paraId="1178F1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1,796,398.37</w:t>
            </w:r>
          </w:p>
        </w:tc>
        <w:tc>
          <w:tcPr>
            <w:tcW w:w="714" w:type="pct"/>
            <w:tcBorders>
              <w:top w:val="single" w:color="auto" w:sz="2" w:space="0"/>
              <w:left w:val="single" w:color="auto" w:sz="2" w:space="0"/>
              <w:bottom w:val="single" w:color="auto" w:sz="2" w:space="0"/>
              <w:right w:val="single" w:color="auto" w:sz="2" w:space="0"/>
            </w:tcBorders>
            <w:vAlign w:val="center"/>
          </w:tcPr>
          <w:p w14:paraId="04D934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78,944,782.49</w:t>
            </w:r>
          </w:p>
        </w:tc>
      </w:tr>
      <w:tr w14:paraId="79FF19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240121A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6" w:type="pct"/>
            <w:tcBorders>
              <w:top w:val="single" w:color="auto" w:sz="2" w:space="0"/>
              <w:left w:val="single" w:color="auto" w:sz="2" w:space="0"/>
              <w:bottom w:val="single" w:color="auto" w:sz="2" w:space="0"/>
              <w:right w:val="single" w:color="auto" w:sz="2" w:space="0"/>
            </w:tcBorders>
            <w:vAlign w:val="center"/>
          </w:tcPr>
          <w:p w14:paraId="78FD5F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10,907,236.70</w:t>
            </w:r>
          </w:p>
        </w:tc>
        <w:tc>
          <w:tcPr>
            <w:tcW w:w="666" w:type="pct"/>
            <w:tcBorders>
              <w:top w:val="single" w:color="auto" w:sz="2" w:space="0"/>
              <w:left w:val="single" w:color="auto" w:sz="2" w:space="0"/>
              <w:bottom w:val="single" w:color="auto" w:sz="2" w:space="0"/>
              <w:right w:val="single" w:color="auto" w:sz="2" w:space="0"/>
            </w:tcBorders>
            <w:vAlign w:val="center"/>
          </w:tcPr>
          <w:p w14:paraId="7E697F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42,406,157.44</w:t>
            </w:r>
          </w:p>
        </w:tc>
        <w:tc>
          <w:tcPr>
            <w:tcW w:w="619" w:type="pct"/>
            <w:tcBorders>
              <w:top w:val="single" w:color="auto" w:sz="2" w:space="0"/>
              <w:left w:val="single" w:color="auto" w:sz="2" w:space="0"/>
              <w:bottom w:val="single" w:color="auto" w:sz="2" w:space="0"/>
              <w:right w:val="single" w:color="auto" w:sz="2" w:space="0"/>
            </w:tcBorders>
            <w:vAlign w:val="center"/>
          </w:tcPr>
          <w:p w14:paraId="6B3552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2,529,441.39</w:t>
            </w:r>
          </w:p>
        </w:tc>
        <w:tc>
          <w:tcPr>
            <w:tcW w:w="618" w:type="pct"/>
            <w:tcBorders>
              <w:top w:val="single" w:color="auto" w:sz="2" w:space="0"/>
              <w:left w:val="single" w:color="auto" w:sz="2" w:space="0"/>
              <w:bottom w:val="single" w:color="auto" w:sz="2" w:space="0"/>
              <w:right w:val="single" w:color="auto" w:sz="2" w:space="0"/>
            </w:tcBorders>
            <w:vAlign w:val="center"/>
          </w:tcPr>
          <w:p w14:paraId="288C0D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553,230.77</w:t>
            </w:r>
          </w:p>
        </w:tc>
        <w:tc>
          <w:tcPr>
            <w:tcW w:w="786" w:type="pct"/>
            <w:tcBorders>
              <w:top w:val="single" w:color="auto" w:sz="2" w:space="0"/>
              <w:left w:val="single" w:color="auto" w:sz="2" w:space="0"/>
              <w:bottom w:val="single" w:color="auto" w:sz="2" w:space="0"/>
              <w:right w:val="single" w:color="auto" w:sz="2" w:space="0"/>
            </w:tcBorders>
            <w:vAlign w:val="center"/>
          </w:tcPr>
          <w:p w14:paraId="7FAB36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354,266.39</w:t>
            </w:r>
          </w:p>
        </w:tc>
        <w:tc>
          <w:tcPr>
            <w:tcW w:w="714" w:type="pct"/>
            <w:tcBorders>
              <w:top w:val="single" w:color="auto" w:sz="2" w:space="0"/>
              <w:left w:val="single" w:color="auto" w:sz="2" w:space="0"/>
              <w:bottom w:val="single" w:color="auto" w:sz="2" w:space="0"/>
              <w:right w:val="single" w:color="auto" w:sz="2" w:space="0"/>
            </w:tcBorders>
            <w:vAlign w:val="center"/>
          </w:tcPr>
          <w:p w14:paraId="5E3284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56,750,332.69</w:t>
            </w:r>
          </w:p>
        </w:tc>
      </w:tr>
      <w:tr w14:paraId="7C0D9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6772CE30">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（1）购置</w:t>
            </w:r>
          </w:p>
        </w:tc>
        <w:tc>
          <w:tcPr>
            <w:tcW w:w="666" w:type="pct"/>
            <w:tcBorders>
              <w:top w:val="single" w:color="auto" w:sz="2" w:space="0"/>
              <w:left w:val="single" w:color="auto" w:sz="2" w:space="0"/>
              <w:bottom w:val="single" w:color="auto" w:sz="2" w:space="0"/>
              <w:right w:val="single" w:color="auto" w:sz="2" w:space="0"/>
            </w:tcBorders>
            <w:vAlign w:val="center"/>
          </w:tcPr>
          <w:p w14:paraId="702827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10,907,236.70</w:t>
            </w:r>
          </w:p>
        </w:tc>
        <w:tc>
          <w:tcPr>
            <w:tcW w:w="666" w:type="pct"/>
            <w:tcBorders>
              <w:top w:val="single" w:color="auto" w:sz="2" w:space="0"/>
              <w:left w:val="single" w:color="auto" w:sz="2" w:space="0"/>
              <w:bottom w:val="single" w:color="auto" w:sz="2" w:space="0"/>
              <w:right w:val="single" w:color="auto" w:sz="2" w:space="0"/>
            </w:tcBorders>
            <w:vAlign w:val="center"/>
          </w:tcPr>
          <w:p w14:paraId="5D9F2179">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6C6739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2,529,441.39</w:t>
            </w:r>
          </w:p>
        </w:tc>
        <w:tc>
          <w:tcPr>
            <w:tcW w:w="618" w:type="pct"/>
            <w:tcBorders>
              <w:top w:val="single" w:color="auto" w:sz="2" w:space="0"/>
              <w:left w:val="single" w:color="auto" w:sz="2" w:space="0"/>
              <w:bottom w:val="single" w:color="auto" w:sz="2" w:space="0"/>
              <w:right w:val="single" w:color="auto" w:sz="2" w:space="0"/>
            </w:tcBorders>
            <w:vAlign w:val="center"/>
          </w:tcPr>
          <w:p w14:paraId="4AB932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486,339.07</w:t>
            </w:r>
          </w:p>
        </w:tc>
        <w:tc>
          <w:tcPr>
            <w:tcW w:w="786" w:type="pct"/>
            <w:tcBorders>
              <w:top w:val="single" w:color="auto" w:sz="2" w:space="0"/>
              <w:left w:val="single" w:color="auto" w:sz="2" w:space="0"/>
              <w:bottom w:val="single" w:color="auto" w:sz="2" w:space="0"/>
              <w:right w:val="single" w:color="auto" w:sz="2" w:space="0"/>
            </w:tcBorders>
            <w:vAlign w:val="center"/>
          </w:tcPr>
          <w:p w14:paraId="697A99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347,940.39</w:t>
            </w:r>
          </w:p>
        </w:tc>
        <w:tc>
          <w:tcPr>
            <w:tcW w:w="714" w:type="pct"/>
            <w:tcBorders>
              <w:top w:val="single" w:color="auto" w:sz="2" w:space="0"/>
              <w:left w:val="single" w:color="auto" w:sz="2" w:space="0"/>
              <w:bottom w:val="single" w:color="auto" w:sz="2" w:space="0"/>
              <w:right w:val="single" w:color="auto" w:sz="2" w:space="0"/>
            </w:tcBorders>
            <w:vAlign w:val="center"/>
          </w:tcPr>
          <w:p w14:paraId="43C4A1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14,270,957.55</w:t>
            </w:r>
          </w:p>
        </w:tc>
      </w:tr>
      <w:tr w14:paraId="22BBE6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D22E56C">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（2）在建工程转入</w:t>
            </w:r>
          </w:p>
        </w:tc>
        <w:tc>
          <w:tcPr>
            <w:tcW w:w="666" w:type="pct"/>
            <w:tcBorders>
              <w:top w:val="single" w:color="auto" w:sz="2" w:space="0"/>
              <w:left w:val="single" w:color="auto" w:sz="2" w:space="0"/>
              <w:bottom w:val="single" w:color="auto" w:sz="2" w:space="0"/>
              <w:right w:val="single" w:color="auto" w:sz="2" w:space="0"/>
            </w:tcBorders>
            <w:vAlign w:val="center"/>
          </w:tcPr>
          <w:p w14:paraId="72BBC0F2">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5F0187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42,406,157.44</w:t>
            </w:r>
          </w:p>
        </w:tc>
        <w:tc>
          <w:tcPr>
            <w:tcW w:w="619" w:type="pct"/>
            <w:tcBorders>
              <w:top w:val="single" w:color="auto" w:sz="2" w:space="0"/>
              <w:left w:val="single" w:color="auto" w:sz="2" w:space="0"/>
              <w:bottom w:val="single" w:color="auto" w:sz="2" w:space="0"/>
              <w:right w:val="single" w:color="auto" w:sz="2" w:space="0"/>
            </w:tcBorders>
            <w:vAlign w:val="center"/>
          </w:tcPr>
          <w:p w14:paraId="49923C14">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59A6138F">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02F906CE">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2067CA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42,406,157.44</w:t>
            </w:r>
          </w:p>
        </w:tc>
      </w:tr>
      <w:tr w14:paraId="3C6913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2D23BC9E">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（3）企业合并增加</w:t>
            </w:r>
          </w:p>
        </w:tc>
        <w:tc>
          <w:tcPr>
            <w:tcW w:w="666" w:type="pct"/>
            <w:tcBorders>
              <w:top w:val="single" w:color="auto" w:sz="2" w:space="0"/>
              <w:left w:val="single" w:color="auto" w:sz="2" w:space="0"/>
              <w:bottom w:val="single" w:color="auto" w:sz="2" w:space="0"/>
              <w:right w:val="single" w:color="auto" w:sz="2" w:space="0"/>
            </w:tcBorders>
            <w:vAlign w:val="center"/>
          </w:tcPr>
          <w:p w14:paraId="22EDD3F0">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31DA75D2">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3A41E189">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19BF3E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66,891.70</w:t>
            </w:r>
          </w:p>
        </w:tc>
        <w:tc>
          <w:tcPr>
            <w:tcW w:w="786" w:type="pct"/>
            <w:tcBorders>
              <w:top w:val="single" w:color="auto" w:sz="2" w:space="0"/>
              <w:left w:val="single" w:color="auto" w:sz="2" w:space="0"/>
              <w:bottom w:val="single" w:color="auto" w:sz="2" w:space="0"/>
              <w:right w:val="single" w:color="auto" w:sz="2" w:space="0"/>
            </w:tcBorders>
            <w:vAlign w:val="center"/>
          </w:tcPr>
          <w:p w14:paraId="62730F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6,326.00</w:t>
            </w:r>
          </w:p>
        </w:tc>
        <w:tc>
          <w:tcPr>
            <w:tcW w:w="714" w:type="pct"/>
            <w:tcBorders>
              <w:top w:val="single" w:color="auto" w:sz="2" w:space="0"/>
              <w:left w:val="single" w:color="auto" w:sz="2" w:space="0"/>
              <w:bottom w:val="single" w:color="auto" w:sz="2" w:space="0"/>
              <w:right w:val="single" w:color="auto" w:sz="2" w:space="0"/>
            </w:tcBorders>
            <w:vAlign w:val="center"/>
          </w:tcPr>
          <w:p w14:paraId="2C8B14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73,217.70</w:t>
            </w:r>
          </w:p>
        </w:tc>
      </w:tr>
      <w:tr w14:paraId="08851A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231B979">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6" w:type="pct"/>
            <w:tcBorders>
              <w:top w:val="single" w:color="auto" w:sz="2" w:space="0"/>
              <w:left w:val="single" w:color="auto" w:sz="2" w:space="0"/>
              <w:bottom w:val="single" w:color="auto" w:sz="2" w:space="0"/>
              <w:right w:val="single" w:color="auto" w:sz="2" w:space="0"/>
            </w:tcBorders>
            <w:vAlign w:val="center"/>
          </w:tcPr>
          <w:p w14:paraId="1A09F0A4">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70340058">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2CEB29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1,614,033.77</w:t>
            </w:r>
          </w:p>
        </w:tc>
        <w:tc>
          <w:tcPr>
            <w:tcW w:w="618" w:type="pct"/>
            <w:tcBorders>
              <w:top w:val="single" w:color="auto" w:sz="2" w:space="0"/>
              <w:left w:val="single" w:color="auto" w:sz="2" w:space="0"/>
              <w:bottom w:val="single" w:color="auto" w:sz="2" w:space="0"/>
              <w:right w:val="single" w:color="auto" w:sz="2" w:space="0"/>
            </w:tcBorders>
            <w:vAlign w:val="center"/>
          </w:tcPr>
          <w:p w14:paraId="523BD1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360,596.62</w:t>
            </w:r>
          </w:p>
        </w:tc>
        <w:tc>
          <w:tcPr>
            <w:tcW w:w="786" w:type="pct"/>
            <w:tcBorders>
              <w:top w:val="single" w:color="auto" w:sz="2" w:space="0"/>
              <w:left w:val="single" w:color="auto" w:sz="2" w:space="0"/>
              <w:bottom w:val="single" w:color="auto" w:sz="2" w:space="0"/>
              <w:right w:val="single" w:color="auto" w:sz="2" w:space="0"/>
            </w:tcBorders>
            <w:vAlign w:val="center"/>
          </w:tcPr>
          <w:p w14:paraId="7731BC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143,050.43</w:t>
            </w:r>
          </w:p>
        </w:tc>
        <w:tc>
          <w:tcPr>
            <w:tcW w:w="714" w:type="pct"/>
            <w:tcBorders>
              <w:top w:val="single" w:color="auto" w:sz="2" w:space="0"/>
              <w:left w:val="single" w:color="auto" w:sz="2" w:space="0"/>
              <w:bottom w:val="single" w:color="auto" w:sz="2" w:space="0"/>
              <w:right w:val="single" w:color="auto" w:sz="2" w:space="0"/>
            </w:tcBorders>
            <w:vAlign w:val="center"/>
          </w:tcPr>
          <w:p w14:paraId="6D4A20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2,117,680.82</w:t>
            </w:r>
          </w:p>
        </w:tc>
      </w:tr>
      <w:tr w14:paraId="2C09B7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82CEE31">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（1）处置或报废</w:t>
            </w:r>
          </w:p>
        </w:tc>
        <w:tc>
          <w:tcPr>
            <w:tcW w:w="666" w:type="pct"/>
            <w:tcBorders>
              <w:top w:val="single" w:color="auto" w:sz="2" w:space="0"/>
              <w:left w:val="single" w:color="auto" w:sz="2" w:space="0"/>
              <w:bottom w:val="single" w:color="auto" w:sz="2" w:space="0"/>
              <w:right w:val="single" w:color="auto" w:sz="2" w:space="0"/>
            </w:tcBorders>
            <w:vAlign w:val="center"/>
          </w:tcPr>
          <w:p w14:paraId="50F0C84F">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51F76E21">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50A1B7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1,614,033.77</w:t>
            </w:r>
          </w:p>
        </w:tc>
        <w:tc>
          <w:tcPr>
            <w:tcW w:w="618" w:type="pct"/>
            <w:tcBorders>
              <w:top w:val="single" w:color="auto" w:sz="2" w:space="0"/>
              <w:left w:val="single" w:color="auto" w:sz="2" w:space="0"/>
              <w:bottom w:val="single" w:color="auto" w:sz="2" w:space="0"/>
              <w:right w:val="single" w:color="auto" w:sz="2" w:space="0"/>
            </w:tcBorders>
            <w:vAlign w:val="center"/>
          </w:tcPr>
          <w:p w14:paraId="668C7C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360,596.62</w:t>
            </w:r>
          </w:p>
        </w:tc>
        <w:tc>
          <w:tcPr>
            <w:tcW w:w="786" w:type="pct"/>
            <w:tcBorders>
              <w:top w:val="single" w:color="auto" w:sz="2" w:space="0"/>
              <w:left w:val="single" w:color="auto" w:sz="2" w:space="0"/>
              <w:bottom w:val="single" w:color="auto" w:sz="2" w:space="0"/>
              <w:right w:val="single" w:color="auto" w:sz="2" w:space="0"/>
            </w:tcBorders>
            <w:vAlign w:val="center"/>
          </w:tcPr>
          <w:p w14:paraId="5E5DE7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143,050.43</w:t>
            </w:r>
          </w:p>
        </w:tc>
        <w:tc>
          <w:tcPr>
            <w:tcW w:w="714" w:type="pct"/>
            <w:tcBorders>
              <w:top w:val="single" w:color="auto" w:sz="2" w:space="0"/>
              <w:left w:val="single" w:color="auto" w:sz="2" w:space="0"/>
              <w:bottom w:val="single" w:color="auto" w:sz="2" w:space="0"/>
              <w:right w:val="single" w:color="auto" w:sz="2" w:space="0"/>
            </w:tcBorders>
            <w:vAlign w:val="center"/>
          </w:tcPr>
          <w:p w14:paraId="6C3498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2,117,680.82</w:t>
            </w:r>
          </w:p>
        </w:tc>
      </w:tr>
      <w:tr w14:paraId="531346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A230BEE">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6" w:type="pct"/>
            <w:tcBorders>
              <w:top w:val="single" w:color="auto" w:sz="2" w:space="0"/>
              <w:left w:val="single" w:color="auto" w:sz="2" w:space="0"/>
              <w:bottom w:val="single" w:color="auto" w:sz="2" w:space="0"/>
              <w:right w:val="single" w:color="auto" w:sz="2" w:space="0"/>
            </w:tcBorders>
            <w:vAlign w:val="center"/>
          </w:tcPr>
          <w:p w14:paraId="068615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80,823,372.42</w:t>
            </w:r>
          </w:p>
        </w:tc>
        <w:tc>
          <w:tcPr>
            <w:tcW w:w="666" w:type="pct"/>
            <w:tcBorders>
              <w:top w:val="single" w:color="auto" w:sz="2" w:space="0"/>
              <w:left w:val="single" w:color="auto" w:sz="2" w:space="0"/>
              <w:bottom w:val="single" w:color="auto" w:sz="2" w:space="0"/>
              <w:right w:val="single" w:color="auto" w:sz="2" w:space="0"/>
            </w:tcBorders>
            <w:vAlign w:val="center"/>
          </w:tcPr>
          <w:p w14:paraId="4D0DA1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42,406,157.44</w:t>
            </w:r>
          </w:p>
        </w:tc>
        <w:tc>
          <w:tcPr>
            <w:tcW w:w="619" w:type="pct"/>
            <w:tcBorders>
              <w:top w:val="single" w:color="auto" w:sz="2" w:space="0"/>
              <w:left w:val="single" w:color="auto" w:sz="2" w:space="0"/>
              <w:bottom w:val="single" w:color="auto" w:sz="2" w:space="0"/>
              <w:right w:val="single" w:color="auto" w:sz="2" w:space="0"/>
            </w:tcBorders>
            <w:vAlign w:val="center"/>
          </w:tcPr>
          <w:p w14:paraId="229B19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5,470,888.96</w:t>
            </w:r>
          </w:p>
        </w:tc>
        <w:tc>
          <w:tcPr>
            <w:tcW w:w="618" w:type="pct"/>
            <w:tcBorders>
              <w:top w:val="single" w:color="auto" w:sz="2" w:space="0"/>
              <w:left w:val="single" w:color="auto" w:sz="2" w:space="0"/>
              <w:bottom w:val="single" w:color="auto" w:sz="2" w:space="0"/>
              <w:right w:val="single" w:color="auto" w:sz="2" w:space="0"/>
            </w:tcBorders>
            <w:vAlign w:val="center"/>
          </w:tcPr>
          <w:p w14:paraId="3B1A6E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2,869,401.21</w:t>
            </w:r>
          </w:p>
        </w:tc>
        <w:tc>
          <w:tcPr>
            <w:tcW w:w="786" w:type="pct"/>
            <w:tcBorders>
              <w:top w:val="single" w:color="auto" w:sz="2" w:space="0"/>
              <w:left w:val="single" w:color="auto" w:sz="2" w:space="0"/>
              <w:bottom w:val="single" w:color="auto" w:sz="2" w:space="0"/>
              <w:right w:val="single" w:color="auto" w:sz="2" w:space="0"/>
            </w:tcBorders>
            <w:vAlign w:val="center"/>
          </w:tcPr>
          <w:p w14:paraId="03A6BB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2,007,614.33</w:t>
            </w:r>
          </w:p>
        </w:tc>
        <w:tc>
          <w:tcPr>
            <w:tcW w:w="714" w:type="pct"/>
            <w:tcBorders>
              <w:top w:val="single" w:color="auto" w:sz="2" w:space="0"/>
              <w:left w:val="single" w:color="auto" w:sz="2" w:space="0"/>
              <w:bottom w:val="single" w:color="auto" w:sz="2" w:space="0"/>
              <w:right w:val="single" w:color="auto" w:sz="2" w:space="0"/>
            </w:tcBorders>
            <w:vAlign w:val="center"/>
          </w:tcPr>
          <w:p w14:paraId="19C548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133,577,434.36</w:t>
            </w:r>
          </w:p>
        </w:tc>
      </w:tr>
      <w:tr w14:paraId="00E59C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13F0B90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二、累计折旧</w:t>
            </w:r>
          </w:p>
        </w:tc>
        <w:tc>
          <w:tcPr>
            <w:tcW w:w="666" w:type="pct"/>
            <w:tcBorders>
              <w:top w:val="single" w:color="auto" w:sz="2" w:space="0"/>
              <w:left w:val="single" w:color="auto" w:sz="2" w:space="0"/>
              <w:bottom w:val="single" w:color="auto" w:sz="2" w:space="0"/>
              <w:right w:val="single" w:color="auto" w:sz="2" w:space="0"/>
            </w:tcBorders>
            <w:vAlign w:val="center"/>
          </w:tcPr>
          <w:p w14:paraId="6342BB64">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21E9C4CE">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EED6E4A">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4CA41E16">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37DDA657">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0EAE8A33">
            <w:pPr>
              <w:spacing w:line="240" w:lineRule="exact"/>
              <w:jc w:val="right"/>
              <w:rPr>
                <w:rFonts w:ascii="Times New Roman" w:hAnsi="Times New Roman" w:cs="Times New Roman" w:eastAsiaTheme="majorEastAsia"/>
                <w:sz w:val="18"/>
                <w:szCs w:val="18"/>
              </w:rPr>
            </w:pPr>
          </w:p>
        </w:tc>
      </w:tr>
      <w:tr w14:paraId="4C0A6C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0A50B08A">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6" w:type="pct"/>
            <w:tcBorders>
              <w:top w:val="single" w:color="auto" w:sz="2" w:space="0"/>
              <w:left w:val="single" w:color="auto" w:sz="2" w:space="0"/>
              <w:bottom w:val="single" w:color="auto" w:sz="2" w:space="0"/>
              <w:right w:val="single" w:color="auto" w:sz="2" w:space="0"/>
            </w:tcBorders>
            <w:vAlign w:val="center"/>
          </w:tcPr>
          <w:p w14:paraId="665B16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313,710.18</w:t>
            </w:r>
          </w:p>
        </w:tc>
        <w:tc>
          <w:tcPr>
            <w:tcW w:w="666" w:type="pct"/>
            <w:tcBorders>
              <w:top w:val="single" w:color="auto" w:sz="2" w:space="0"/>
              <w:left w:val="single" w:color="auto" w:sz="2" w:space="0"/>
              <w:bottom w:val="single" w:color="auto" w:sz="2" w:space="0"/>
              <w:right w:val="single" w:color="auto" w:sz="2" w:space="0"/>
            </w:tcBorders>
            <w:vAlign w:val="center"/>
          </w:tcPr>
          <w:p w14:paraId="4F5D4FC5">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53FD81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3,114,832.83</w:t>
            </w:r>
          </w:p>
        </w:tc>
        <w:tc>
          <w:tcPr>
            <w:tcW w:w="618" w:type="pct"/>
            <w:tcBorders>
              <w:top w:val="single" w:color="auto" w:sz="2" w:space="0"/>
              <w:left w:val="single" w:color="auto" w:sz="2" w:space="0"/>
              <w:bottom w:val="single" w:color="auto" w:sz="2" w:space="0"/>
              <w:right w:val="single" w:color="auto" w:sz="2" w:space="0"/>
            </w:tcBorders>
            <w:vAlign w:val="center"/>
          </w:tcPr>
          <w:p w14:paraId="41DAD6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2,321,316.24</w:t>
            </w:r>
          </w:p>
        </w:tc>
        <w:tc>
          <w:tcPr>
            <w:tcW w:w="786" w:type="pct"/>
            <w:tcBorders>
              <w:top w:val="single" w:color="auto" w:sz="2" w:space="0"/>
              <w:left w:val="single" w:color="auto" w:sz="2" w:space="0"/>
              <w:bottom w:val="single" w:color="auto" w:sz="2" w:space="0"/>
              <w:right w:val="single" w:color="auto" w:sz="2" w:space="0"/>
            </w:tcBorders>
            <w:vAlign w:val="center"/>
          </w:tcPr>
          <w:p w14:paraId="7769F7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1,612,095.60</w:t>
            </w:r>
          </w:p>
        </w:tc>
        <w:tc>
          <w:tcPr>
            <w:tcW w:w="714" w:type="pct"/>
            <w:tcBorders>
              <w:top w:val="single" w:color="auto" w:sz="2" w:space="0"/>
              <w:left w:val="single" w:color="auto" w:sz="2" w:space="0"/>
              <w:bottom w:val="single" w:color="auto" w:sz="2" w:space="0"/>
              <w:right w:val="single" w:color="auto" w:sz="2" w:space="0"/>
            </w:tcBorders>
            <w:vAlign w:val="center"/>
          </w:tcPr>
          <w:p w14:paraId="7B62A3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7,361,954.85</w:t>
            </w:r>
          </w:p>
        </w:tc>
      </w:tr>
      <w:tr w14:paraId="03A9DA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67B0BA3">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6" w:type="pct"/>
            <w:tcBorders>
              <w:top w:val="single" w:color="auto" w:sz="2" w:space="0"/>
              <w:left w:val="single" w:color="auto" w:sz="2" w:space="0"/>
              <w:bottom w:val="single" w:color="auto" w:sz="2" w:space="0"/>
              <w:right w:val="single" w:color="auto" w:sz="2" w:space="0"/>
            </w:tcBorders>
            <w:vAlign w:val="center"/>
          </w:tcPr>
          <w:p w14:paraId="114AC5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2,214,010.92</w:t>
            </w:r>
          </w:p>
        </w:tc>
        <w:tc>
          <w:tcPr>
            <w:tcW w:w="666" w:type="pct"/>
            <w:tcBorders>
              <w:top w:val="single" w:color="auto" w:sz="2" w:space="0"/>
              <w:left w:val="single" w:color="auto" w:sz="2" w:space="0"/>
              <w:bottom w:val="single" w:color="auto" w:sz="2" w:space="0"/>
              <w:right w:val="single" w:color="auto" w:sz="2" w:space="0"/>
            </w:tcBorders>
            <w:vAlign w:val="center"/>
          </w:tcPr>
          <w:p w14:paraId="7892E1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337,078.88</w:t>
            </w:r>
          </w:p>
        </w:tc>
        <w:tc>
          <w:tcPr>
            <w:tcW w:w="619" w:type="pct"/>
            <w:tcBorders>
              <w:top w:val="single" w:color="auto" w:sz="2" w:space="0"/>
              <w:left w:val="single" w:color="auto" w:sz="2" w:space="0"/>
              <w:bottom w:val="single" w:color="auto" w:sz="2" w:space="0"/>
              <w:right w:val="single" w:color="auto" w:sz="2" w:space="0"/>
            </w:tcBorders>
            <w:vAlign w:val="center"/>
          </w:tcPr>
          <w:p w14:paraId="6C3291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411,967.23</w:t>
            </w:r>
          </w:p>
        </w:tc>
        <w:tc>
          <w:tcPr>
            <w:tcW w:w="618" w:type="pct"/>
            <w:tcBorders>
              <w:top w:val="single" w:color="auto" w:sz="2" w:space="0"/>
              <w:left w:val="single" w:color="auto" w:sz="2" w:space="0"/>
              <w:bottom w:val="single" w:color="auto" w:sz="2" w:space="0"/>
              <w:right w:val="single" w:color="auto" w:sz="2" w:space="0"/>
            </w:tcBorders>
            <w:vAlign w:val="center"/>
          </w:tcPr>
          <w:p w14:paraId="7A2CA9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165,466.49</w:t>
            </w:r>
          </w:p>
        </w:tc>
        <w:tc>
          <w:tcPr>
            <w:tcW w:w="786" w:type="pct"/>
            <w:tcBorders>
              <w:top w:val="single" w:color="auto" w:sz="2" w:space="0"/>
              <w:left w:val="single" w:color="auto" w:sz="2" w:space="0"/>
              <w:bottom w:val="single" w:color="auto" w:sz="2" w:space="0"/>
              <w:right w:val="single" w:color="auto" w:sz="2" w:space="0"/>
            </w:tcBorders>
            <w:vAlign w:val="center"/>
          </w:tcPr>
          <w:p w14:paraId="03F716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65,561.57</w:t>
            </w:r>
          </w:p>
        </w:tc>
        <w:tc>
          <w:tcPr>
            <w:tcW w:w="714" w:type="pct"/>
            <w:tcBorders>
              <w:top w:val="single" w:color="auto" w:sz="2" w:space="0"/>
              <w:left w:val="single" w:color="auto" w:sz="2" w:space="0"/>
              <w:bottom w:val="single" w:color="auto" w:sz="2" w:space="0"/>
              <w:right w:val="single" w:color="auto" w:sz="2" w:space="0"/>
            </w:tcBorders>
            <w:vAlign w:val="center"/>
          </w:tcPr>
          <w:p w14:paraId="6D26B2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3,194,085.09</w:t>
            </w:r>
          </w:p>
        </w:tc>
      </w:tr>
      <w:tr w14:paraId="39D17B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0BDAD74">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666" w:type="pct"/>
            <w:tcBorders>
              <w:top w:val="single" w:color="auto" w:sz="2" w:space="0"/>
              <w:left w:val="single" w:color="auto" w:sz="2" w:space="0"/>
              <w:bottom w:val="single" w:color="auto" w:sz="2" w:space="0"/>
              <w:right w:val="single" w:color="auto" w:sz="2" w:space="0"/>
            </w:tcBorders>
            <w:vAlign w:val="center"/>
          </w:tcPr>
          <w:p w14:paraId="4C73D7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2,214,010.92</w:t>
            </w:r>
          </w:p>
        </w:tc>
        <w:tc>
          <w:tcPr>
            <w:tcW w:w="666" w:type="pct"/>
            <w:tcBorders>
              <w:top w:val="single" w:color="auto" w:sz="2" w:space="0"/>
              <w:left w:val="single" w:color="auto" w:sz="2" w:space="0"/>
              <w:bottom w:val="single" w:color="auto" w:sz="2" w:space="0"/>
              <w:right w:val="single" w:color="auto" w:sz="2" w:space="0"/>
            </w:tcBorders>
            <w:vAlign w:val="center"/>
          </w:tcPr>
          <w:p w14:paraId="68934C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337,078.88</w:t>
            </w:r>
          </w:p>
        </w:tc>
        <w:tc>
          <w:tcPr>
            <w:tcW w:w="619" w:type="pct"/>
            <w:tcBorders>
              <w:top w:val="single" w:color="auto" w:sz="2" w:space="0"/>
              <w:left w:val="single" w:color="auto" w:sz="2" w:space="0"/>
              <w:bottom w:val="single" w:color="auto" w:sz="2" w:space="0"/>
              <w:right w:val="single" w:color="auto" w:sz="2" w:space="0"/>
            </w:tcBorders>
            <w:vAlign w:val="center"/>
          </w:tcPr>
          <w:p w14:paraId="017516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411,967.23</w:t>
            </w:r>
          </w:p>
        </w:tc>
        <w:tc>
          <w:tcPr>
            <w:tcW w:w="618" w:type="pct"/>
            <w:tcBorders>
              <w:top w:val="single" w:color="auto" w:sz="2" w:space="0"/>
              <w:left w:val="single" w:color="auto" w:sz="2" w:space="0"/>
              <w:bottom w:val="single" w:color="auto" w:sz="2" w:space="0"/>
              <w:right w:val="single" w:color="auto" w:sz="2" w:space="0"/>
            </w:tcBorders>
            <w:vAlign w:val="center"/>
          </w:tcPr>
          <w:p w14:paraId="3F6946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139,017.17</w:t>
            </w:r>
          </w:p>
        </w:tc>
        <w:tc>
          <w:tcPr>
            <w:tcW w:w="786" w:type="pct"/>
            <w:tcBorders>
              <w:top w:val="single" w:color="auto" w:sz="2" w:space="0"/>
              <w:left w:val="single" w:color="auto" w:sz="2" w:space="0"/>
              <w:bottom w:val="single" w:color="auto" w:sz="2" w:space="0"/>
              <w:right w:val="single" w:color="auto" w:sz="2" w:space="0"/>
            </w:tcBorders>
            <w:vAlign w:val="center"/>
          </w:tcPr>
          <w:p w14:paraId="4A3582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63,094.68</w:t>
            </w:r>
          </w:p>
        </w:tc>
        <w:tc>
          <w:tcPr>
            <w:tcW w:w="714" w:type="pct"/>
            <w:tcBorders>
              <w:top w:val="single" w:color="auto" w:sz="2" w:space="0"/>
              <w:left w:val="single" w:color="auto" w:sz="2" w:space="0"/>
              <w:bottom w:val="single" w:color="auto" w:sz="2" w:space="0"/>
              <w:right w:val="single" w:color="auto" w:sz="2" w:space="0"/>
            </w:tcBorders>
            <w:vAlign w:val="center"/>
          </w:tcPr>
          <w:p w14:paraId="227A75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3,165,168.88</w:t>
            </w:r>
          </w:p>
        </w:tc>
      </w:tr>
      <w:tr w14:paraId="2B6008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26215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（2）企业合并增加</w:t>
            </w:r>
          </w:p>
        </w:tc>
        <w:tc>
          <w:tcPr>
            <w:tcW w:w="666" w:type="pct"/>
            <w:tcBorders>
              <w:top w:val="single" w:color="auto" w:sz="2" w:space="0"/>
              <w:left w:val="single" w:color="auto" w:sz="2" w:space="0"/>
              <w:bottom w:val="single" w:color="auto" w:sz="2" w:space="0"/>
              <w:right w:val="single" w:color="auto" w:sz="2" w:space="0"/>
            </w:tcBorders>
            <w:vAlign w:val="center"/>
          </w:tcPr>
          <w:p w14:paraId="6A556129">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2BEB80E1">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0C900ED">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69E307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26,449.32</w:t>
            </w:r>
          </w:p>
        </w:tc>
        <w:tc>
          <w:tcPr>
            <w:tcW w:w="786" w:type="pct"/>
            <w:tcBorders>
              <w:top w:val="single" w:color="auto" w:sz="2" w:space="0"/>
              <w:left w:val="single" w:color="auto" w:sz="2" w:space="0"/>
              <w:bottom w:val="single" w:color="auto" w:sz="2" w:space="0"/>
              <w:right w:val="single" w:color="auto" w:sz="2" w:space="0"/>
            </w:tcBorders>
            <w:vAlign w:val="center"/>
          </w:tcPr>
          <w:p w14:paraId="3294C9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2,466.89</w:t>
            </w:r>
          </w:p>
        </w:tc>
        <w:tc>
          <w:tcPr>
            <w:tcW w:w="714" w:type="pct"/>
            <w:tcBorders>
              <w:top w:val="single" w:color="auto" w:sz="2" w:space="0"/>
              <w:left w:val="single" w:color="auto" w:sz="2" w:space="0"/>
              <w:bottom w:val="single" w:color="auto" w:sz="2" w:space="0"/>
              <w:right w:val="single" w:color="auto" w:sz="2" w:space="0"/>
            </w:tcBorders>
            <w:vAlign w:val="center"/>
          </w:tcPr>
          <w:p w14:paraId="462C2E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28,916.21</w:t>
            </w:r>
          </w:p>
        </w:tc>
      </w:tr>
      <w:tr w14:paraId="1BAA06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743463D">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6" w:type="pct"/>
            <w:tcBorders>
              <w:top w:val="single" w:color="auto" w:sz="2" w:space="0"/>
              <w:left w:val="single" w:color="auto" w:sz="2" w:space="0"/>
              <w:bottom w:val="single" w:color="auto" w:sz="2" w:space="0"/>
              <w:right w:val="single" w:color="auto" w:sz="2" w:space="0"/>
            </w:tcBorders>
            <w:vAlign w:val="center"/>
          </w:tcPr>
          <w:p w14:paraId="248D9CF3">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4ABCD8B6">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6B2DAA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1,533,332.08</w:t>
            </w:r>
          </w:p>
        </w:tc>
        <w:tc>
          <w:tcPr>
            <w:tcW w:w="618" w:type="pct"/>
            <w:tcBorders>
              <w:top w:val="single" w:color="auto" w:sz="2" w:space="0"/>
              <w:left w:val="single" w:color="auto" w:sz="2" w:space="0"/>
              <w:bottom w:val="single" w:color="auto" w:sz="2" w:space="0"/>
              <w:right w:val="single" w:color="auto" w:sz="2" w:space="0"/>
            </w:tcBorders>
            <w:vAlign w:val="center"/>
          </w:tcPr>
          <w:p w14:paraId="2960A3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335,757.69</w:t>
            </w:r>
          </w:p>
        </w:tc>
        <w:tc>
          <w:tcPr>
            <w:tcW w:w="786" w:type="pct"/>
            <w:tcBorders>
              <w:top w:val="single" w:color="auto" w:sz="2" w:space="0"/>
              <w:left w:val="single" w:color="auto" w:sz="2" w:space="0"/>
              <w:bottom w:val="single" w:color="auto" w:sz="2" w:space="0"/>
              <w:right w:val="single" w:color="auto" w:sz="2" w:space="0"/>
            </w:tcBorders>
            <w:vAlign w:val="center"/>
          </w:tcPr>
          <w:p w14:paraId="527FEF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135,897.90</w:t>
            </w:r>
          </w:p>
        </w:tc>
        <w:tc>
          <w:tcPr>
            <w:tcW w:w="714" w:type="pct"/>
            <w:tcBorders>
              <w:top w:val="single" w:color="auto" w:sz="2" w:space="0"/>
              <w:left w:val="single" w:color="auto" w:sz="2" w:space="0"/>
              <w:bottom w:val="single" w:color="auto" w:sz="2" w:space="0"/>
              <w:right w:val="single" w:color="auto" w:sz="2" w:space="0"/>
            </w:tcBorders>
            <w:vAlign w:val="center"/>
          </w:tcPr>
          <w:p w14:paraId="496D11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2,004,987.67</w:t>
            </w:r>
          </w:p>
        </w:tc>
      </w:tr>
      <w:tr w14:paraId="3AE4BB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687CF9A5">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（1）处置或报废</w:t>
            </w:r>
          </w:p>
        </w:tc>
        <w:tc>
          <w:tcPr>
            <w:tcW w:w="666" w:type="pct"/>
            <w:tcBorders>
              <w:top w:val="single" w:color="auto" w:sz="2" w:space="0"/>
              <w:left w:val="single" w:color="auto" w:sz="2" w:space="0"/>
              <w:bottom w:val="single" w:color="auto" w:sz="2" w:space="0"/>
              <w:right w:val="single" w:color="auto" w:sz="2" w:space="0"/>
            </w:tcBorders>
            <w:vAlign w:val="center"/>
          </w:tcPr>
          <w:p w14:paraId="286BCBFC">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4614BE7D">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1CF211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1,533,332.08</w:t>
            </w:r>
          </w:p>
        </w:tc>
        <w:tc>
          <w:tcPr>
            <w:tcW w:w="618" w:type="pct"/>
            <w:tcBorders>
              <w:top w:val="single" w:color="auto" w:sz="2" w:space="0"/>
              <w:left w:val="single" w:color="auto" w:sz="2" w:space="0"/>
              <w:bottom w:val="single" w:color="auto" w:sz="2" w:space="0"/>
              <w:right w:val="single" w:color="auto" w:sz="2" w:space="0"/>
            </w:tcBorders>
            <w:vAlign w:val="center"/>
          </w:tcPr>
          <w:p w14:paraId="48BE3F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335,757.69</w:t>
            </w:r>
          </w:p>
        </w:tc>
        <w:tc>
          <w:tcPr>
            <w:tcW w:w="786" w:type="pct"/>
            <w:tcBorders>
              <w:top w:val="single" w:color="auto" w:sz="2" w:space="0"/>
              <w:left w:val="single" w:color="auto" w:sz="2" w:space="0"/>
              <w:bottom w:val="single" w:color="auto" w:sz="2" w:space="0"/>
              <w:right w:val="single" w:color="auto" w:sz="2" w:space="0"/>
            </w:tcBorders>
            <w:vAlign w:val="center"/>
          </w:tcPr>
          <w:p w14:paraId="136DB8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135,897.90</w:t>
            </w:r>
          </w:p>
        </w:tc>
        <w:tc>
          <w:tcPr>
            <w:tcW w:w="714" w:type="pct"/>
            <w:tcBorders>
              <w:top w:val="single" w:color="auto" w:sz="2" w:space="0"/>
              <w:left w:val="single" w:color="auto" w:sz="2" w:space="0"/>
              <w:bottom w:val="single" w:color="auto" w:sz="2" w:space="0"/>
              <w:right w:val="single" w:color="auto" w:sz="2" w:space="0"/>
            </w:tcBorders>
            <w:vAlign w:val="center"/>
          </w:tcPr>
          <w:p w14:paraId="62BE7D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2,004,987.67</w:t>
            </w:r>
          </w:p>
        </w:tc>
      </w:tr>
      <w:tr w14:paraId="546518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CB5009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6" w:type="pct"/>
            <w:tcBorders>
              <w:top w:val="single" w:color="auto" w:sz="2" w:space="0"/>
              <w:left w:val="single" w:color="auto" w:sz="2" w:space="0"/>
              <w:bottom w:val="single" w:color="auto" w:sz="2" w:space="0"/>
              <w:right w:val="single" w:color="auto" w:sz="2" w:space="0"/>
            </w:tcBorders>
            <w:vAlign w:val="center"/>
          </w:tcPr>
          <w:p w14:paraId="7C7F64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2,527,721.10</w:t>
            </w:r>
          </w:p>
        </w:tc>
        <w:tc>
          <w:tcPr>
            <w:tcW w:w="666" w:type="pct"/>
            <w:tcBorders>
              <w:top w:val="single" w:color="auto" w:sz="2" w:space="0"/>
              <w:left w:val="single" w:color="auto" w:sz="2" w:space="0"/>
              <w:bottom w:val="single" w:color="auto" w:sz="2" w:space="0"/>
              <w:right w:val="single" w:color="auto" w:sz="2" w:space="0"/>
            </w:tcBorders>
            <w:vAlign w:val="center"/>
          </w:tcPr>
          <w:p w14:paraId="126EC9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337,078.88</w:t>
            </w:r>
          </w:p>
        </w:tc>
        <w:tc>
          <w:tcPr>
            <w:tcW w:w="619" w:type="pct"/>
            <w:tcBorders>
              <w:top w:val="single" w:color="auto" w:sz="2" w:space="0"/>
              <w:left w:val="single" w:color="auto" w:sz="2" w:space="0"/>
              <w:bottom w:val="single" w:color="auto" w:sz="2" w:space="0"/>
              <w:right w:val="single" w:color="auto" w:sz="2" w:space="0"/>
            </w:tcBorders>
            <w:vAlign w:val="center"/>
          </w:tcPr>
          <w:p w14:paraId="36F5A0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1,993,467.98</w:t>
            </w:r>
          </w:p>
        </w:tc>
        <w:tc>
          <w:tcPr>
            <w:tcW w:w="618" w:type="pct"/>
            <w:tcBorders>
              <w:top w:val="single" w:color="auto" w:sz="2" w:space="0"/>
              <w:left w:val="single" w:color="auto" w:sz="2" w:space="0"/>
              <w:bottom w:val="single" w:color="auto" w:sz="2" w:space="0"/>
              <w:right w:val="single" w:color="auto" w:sz="2" w:space="0"/>
            </w:tcBorders>
            <w:vAlign w:val="center"/>
          </w:tcPr>
          <w:p w14:paraId="3462B1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2,151,025.04</w:t>
            </w:r>
          </w:p>
        </w:tc>
        <w:tc>
          <w:tcPr>
            <w:tcW w:w="786" w:type="pct"/>
            <w:tcBorders>
              <w:top w:val="single" w:color="auto" w:sz="2" w:space="0"/>
              <w:left w:val="single" w:color="auto" w:sz="2" w:space="0"/>
              <w:bottom w:val="single" w:color="auto" w:sz="2" w:space="0"/>
              <w:right w:val="single" w:color="auto" w:sz="2" w:space="0"/>
            </w:tcBorders>
            <w:vAlign w:val="center"/>
          </w:tcPr>
          <w:p w14:paraId="4B2C52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1,541,759.27</w:t>
            </w:r>
          </w:p>
        </w:tc>
        <w:tc>
          <w:tcPr>
            <w:tcW w:w="714" w:type="pct"/>
            <w:tcBorders>
              <w:top w:val="single" w:color="auto" w:sz="2" w:space="0"/>
              <w:left w:val="single" w:color="auto" w:sz="2" w:space="0"/>
              <w:bottom w:val="single" w:color="auto" w:sz="2" w:space="0"/>
              <w:right w:val="single" w:color="auto" w:sz="2" w:space="0"/>
            </w:tcBorders>
            <w:vAlign w:val="center"/>
          </w:tcPr>
          <w:p w14:paraId="6B0F96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8,551,052.27</w:t>
            </w:r>
          </w:p>
        </w:tc>
      </w:tr>
      <w:tr w14:paraId="49ACE5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46E7774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三、减值准备</w:t>
            </w:r>
          </w:p>
        </w:tc>
        <w:tc>
          <w:tcPr>
            <w:tcW w:w="666" w:type="pct"/>
            <w:tcBorders>
              <w:top w:val="single" w:color="auto" w:sz="2" w:space="0"/>
              <w:left w:val="single" w:color="auto" w:sz="2" w:space="0"/>
              <w:bottom w:val="single" w:color="auto" w:sz="2" w:space="0"/>
              <w:right w:val="single" w:color="auto" w:sz="2" w:space="0"/>
            </w:tcBorders>
            <w:vAlign w:val="center"/>
          </w:tcPr>
          <w:p w14:paraId="71EB6042">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728608F4">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5BF6D453">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60A2CD60">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B341B87">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1E44BEB7">
            <w:pPr>
              <w:spacing w:line="240" w:lineRule="exact"/>
              <w:jc w:val="right"/>
              <w:rPr>
                <w:rFonts w:ascii="Times New Roman" w:hAnsi="Times New Roman" w:cs="Times New Roman" w:eastAsiaTheme="majorEastAsia"/>
                <w:sz w:val="18"/>
                <w:szCs w:val="18"/>
              </w:rPr>
            </w:pPr>
          </w:p>
        </w:tc>
      </w:tr>
      <w:tr w14:paraId="7BC4EA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376542E">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6" w:type="pct"/>
            <w:tcBorders>
              <w:top w:val="single" w:color="auto" w:sz="2" w:space="0"/>
              <w:left w:val="single" w:color="auto" w:sz="2" w:space="0"/>
              <w:bottom w:val="single" w:color="auto" w:sz="2" w:space="0"/>
              <w:right w:val="single" w:color="auto" w:sz="2" w:space="0"/>
            </w:tcBorders>
            <w:vAlign w:val="center"/>
          </w:tcPr>
          <w:p w14:paraId="22D7E24D">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58235859">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7E5CF1F">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30AA3477">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41B6B0A8">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1DCC44E1">
            <w:pPr>
              <w:spacing w:line="240" w:lineRule="exact"/>
              <w:jc w:val="right"/>
              <w:rPr>
                <w:rFonts w:ascii="Times New Roman" w:hAnsi="Times New Roman" w:cs="Times New Roman" w:eastAsiaTheme="majorEastAsia"/>
                <w:sz w:val="18"/>
                <w:szCs w:val="18"/>
              </w:rPr>
            </w:pPr>
          </w:p>
        </w:tc>
      </w:tr>
      <w:tr w14:paraId="19AA4A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F56FAE3">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6" w:type="pct"/>
            <w:tcBorders>
              <w:top w:val="single" w:color="auto" w:sz="2" w:space="0"/>
              <w:left w:val="single" w:color="auto" w:sz="2" w:space="0"/>
              <w:bottom w:val="single" w:color="auto" w:sz="2" w:space="0"/>
              <w:right w:val="single" w:color="auto" w:sz="2" w:space="0"/>
            </w:tcBorders>
            <w:vAlign w:val="center"/>
          </w:tcPr>
          <w:p w14:paraId="4CBA7FC3">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57B76CBC">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783E62CF">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1319CB4D">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147EA2A3">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2D055AF2">
            <w:pPr>
              <w:spacing w:line="240" w:lineRule="exact"/>
              <w:jc w:val="right"/>
              <w:rPr>
                <w:rFonts w:ascii="Times New Roman" w:hAnsi="Times New Roman" w:cs="Times New Roman" w:eastAsiaTheme="majorEastAsia"/>
                <w:sz w:val="18"/>
                <w:szCs w:val="18"/>
              </w:rPr>
            </w:pPr>
          </w:p>
        </w:tc>
      </w:tr>
      <w:tr w14:paraId="38575E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9E6A223">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666" w:type="pct"/>
            <w:tcBorders>
              <w:top w:val="single" w:color="auto" w:sz="2" w:space="0"/>
              <w:left w:val="single" w:color="auto" w:sz="2" w:space="0"/>
              <w:bottom w:val="single" w:color="auto" w:sz="2" w:space="0"/>
              <w:right w:val="single" w:color="auto" w:sz="2" w:space="0"/>
            </w:tcBorders>
            <w:vAlign w:val="center"/>
          </w:tcPr>
          <w:p w14:paraId="1575417C">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4A94B283">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7C95F51D">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178ED0A6">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E0DE771">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52EC339F">
            <w:pPr>
              <w:spacing w:line="240" w:lineRule="exact"/>
              <w:jc w:val="right"/>
              <w:rPr>
                <w:rFonts w:ascii="Times New Roman" w:hAnsi="Times New Roman" w:cs="Times New Roman" w:eastAsiaTheme="majorEastAsia"/>
                <w:sz w:val="18"/>
                <w:szCs w:val="18"/>
              </w:rPr>
            </w:pPr>
          </w:p>
        </w:tc>
      </w:tr>
      <w:tr w14:paraId="271EF0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72F75CB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6" w:type="pct"/>
            <w:tcBorders>
              <w:top w:val="single" w:color="auto" w:sz="2" w:space="0"/>
              <w:left w:val="single" w:color="auto" w:sz="2" w:space="0"/>
              <w:bottom w:val="single" w:color="auto" w:sz="2" w:space="0"/>
              <w:right w:val="single" w:color="auto" w:sz="2" w:space="0"/>
            </w:tcBorders>
            <w:vAlign w:val="center"/>
          </w:tcPr>
          <w:p w14:paraId="397C31ED">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5D2B6334">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6114E629">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0259E437">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2EC02D2">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56E6B375">
            <w:pPr>
              <w:spacing w:line="240" w:lineRule="exact"/>
              <w:jc w:val="right"/>
              <w:rPr>
                <w:rFonts w:ascii="Times New Roman" w:hAnsi="Times New Roman" w:cs="Times New Roman" w:eastAsiaTheme="majorEastAsia"/>
                <w:sz w:val="18"/>
                <w:szCs w:val="18"/>
              </w:rPr>
            </w:pPr>
          </w:p>
        </w:tc>
      </w:tr>
      <w:tr w14:paraId="2E0F9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0B07CC69">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（1）处置或报废</w:t>
            </w:r>
          </w:p>
        </w:tc>
        <w:tc>
          <w:tcPr>
            <w:tcW w:w="666" w:type="pct"/>
            <w:tcBorders>
              <w:top w:val="single" w:color="auto" w:sz="2" w:space="0"/>
              <w:left w:val="single" w:color="auto" w:sz="2" w:space="0"/>
              <w:bottom w:val="single" w:color="auto" w:sz="2" w:space="0"/>
              <w:right w:val="single" w:color="auto" w:sz="2" w:space="0"/>
            </w:tcBorders>
            <w:vAlign w:val="center"/>
          </w:tcPr>
          <w:p w14:paraId="102C40DB">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23CC2391">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29F192C">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7DB0AD23">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68128263">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06B811B5">
            <w:pPr>
              <w:spacing w:line="240" w:lineRule="exact"/>
              <w:jc w:val="right"/>
              <w:rPr>
                <w:rFonts w:ascii="Times New Roman" w:hAnsi="Times New Roman" w:cs="Times New Roman" w:eastAsiaTheme="majorEastAsia"/>
                <w:sz w:val="18"/>
                <w:szCs w:val="18"/>
              </w:rPr>
            </w:pPr>
          </w:p>
        </w:tc>
      </w:tr>
      <w:tr w14:paraId="7B3B4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162EB9F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6" w:type="pct"/>
            <w:tcBorders>
              <w:top w:val="single" w:color="auto" w:sz="2" w:space="0"/>
              <w:left w:val="single" w:color="auto" w:sz="2" w:space="0"/>
              <w:bottom w:val="single" w:color="auto" w:sz="2" w:space="0"/>
              <w:right w:val="single" w:color="auto" w:sz="2" w:space="0"/>
            </w:tcBorders>
            <w:vAlign w:val="center"/>
          </w:tcPr>
          <w:p w14:paraId="57EE378F">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6F56325B">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7407764">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6166BBFC">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3CC22ED">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700D892B">
            <w:pPr>
              <w:spacing w:line="240" w:lineRule="exact"/>
              <w:jc w:val="right"/>
              <w:rPr>
                <w:rFonts w:ascii="Times New Roman" w:hAnsi="Times New Roman" w:cs="Times New Roman" w:eastAsiaTheme="majorEastAsia"/>
                <w:sz w:val="18"/>
                <w:szCs w:val="18"/>
              </w:rPr>
            </w:pPr>
          </w:p>
        </w:tc>
      </w:tr>
      <w:tr w14:paraId="30F471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039720E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四、账面价值</w:t>
            </w:r>
          </w:p>
        </w:tc>
        <w:tc>
          <w:tcPr>
            <w:tcW w:w="666" w:type="pct"/>
            <w:tcBorders>
              <w:top w:val="single" w:color="auto" w:sz="2" w:space="0"/>
              <w:left w:val="single" w:color="auto" w:sz="2" w:space="0"/>
              <w:bottom w:val="single" w:color="auto" w:sz="2" w:space="0"/>
              <w:right w:val="single" w:color="auto" w:sz="2" w:space="0"/>
            </w:tcBorders>
            <w:vAlign w:val="center"/>
          </w:tcPr>
          <w:p w14:paraId="54E16118">
            <w:pPr>
              <w:spacing w:line="240" w:lineRule="exact"/>
              <w:jc w:val="right"/>
              <w:rPr>
                <w:rFonts w:ascii="Times New Roman" w:hAnsi="Times New Roman" w:cs="Times New Roman" w:eastAsiaTheme="majorEastAsia"/>
                <w:sz w:val="18"/>
                <w:szCs w:val="18"/>
              </w:rPr>
            </w:pPr>
          </w:p>
        </w:tc>
        <w:tc>
          <w:tcPr>
            <w:tcW w:w="666" w:type="pct"/>
            <w:tcBorders>
              <w:top w:val="single" w:color="auto" w:sz="2" w:space="0"/>
              <w:left w:val="single" w:color="auto" w:sz="2" w:space="0"/>
              <w:bottom w:val="single" w:color="auto" w:sz="2" w:space="0"/>
              <w:right w:val="single" w:color="auto" w:sz="2" w:space="0"/>
            </w:tcBorders>
            <w:vAlign w:val="center"/>
          </w:tcPr>
          <w:p w14:paraId="3E8BE651">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659A8F7D">
            <w:pPr>
              <w:spacing w:line="240" w:lineRule="exact"/>
              <w:jc w:val="right"/>
              <w:rPr>
                <w:rFonts w:ascii="Times New Roman" w:hAnsi="Times New Roman" w:cs="Times New Roman" w:eastAsiaTheme="majorEastAsia"/>
                <w:sz w:val="18"/>
                <w:szCs w:val="18"/>
              </w:rPr>
            </w:pPr>
          </w:p>
        </w:tc>
        <w:tc>
          <w:tcPr>
            <w:tcW w:w="618" w:type="pct"/>
            <w:tcBorders>
              <w:top w:val="single" w:color="auto" w:sz="2" w:space="0"/>
              <w:left w:val="single" w:color="auto" w:sz="2" w:space="0"/>
              <w:bottom w:val="single" w:color="auto" w:sz="2" w:space="0"/>
              <w:right w:val="single" w:color="auto" w:sz="2" w:space="0"/>
            </w:tcBorders>
            <w:vAlign w:val="center"/>
          </w:tcPr>
          <w:p w14:paraId="33D34945">
            <w:pPr>
              <w:spacing w:line="240" w:lineRule="exact"/>
              <w:jc w:val="right"/>
              <w:rPr>
                <w:rFonts w:ascii="Times New Roman" w:hAnsi="Times New Roman" w:cs="Times New Roman" w:eastAsiaTheme="majorEastAsia"/>
                <w:sz w:val="18"/>
                <w:szCs w:val="18"/>
              </w:rPr>
            </w:pPr>
          </w:p>
        </w:tc>
        <w:tc>
          <w:tcPr>
            <w:tcW w:w="786" w:type="pct"/>
            <w:tcBorders>
              <w:top w:val="single" w:color="auto" w:sz="2" w:space="0"/>
              <w:left w:val="single" w:color="auto" w:sz="2" w:space="0"/>
              <w:bottom w:val="single" w:color="auto" w:sz="2" w:space="0"/>
              <w:right w:val="single" w:color="auto" w:sz="2" w:space="0"/>
            </w:tcBorders>
            <w:vAlign w:val="center"/>
          </w:tcPr>
          <w:p w14:paraId="72A5FDCF">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619F38B0">
            <w:pPr>
              <w:spacing w:line="240" w:lineRule="exact"/>
              <w:jc w:val="right"/>
              <w:rPr>
                <w:rFonts w:ascii="Times New Roman" w:hAnsi="Times New Roman" w:cs="Times New Roman" w:eastAsiaTheme="majorEastAsia"/>
                <w:sz w:val="18"/>
                <w:szCs w:val="18"/>
              </w:rPr>
            </w:pPr>
          </w:p>
        </w:tc>
      </w:tr>
      <w:tr w14:paraId="49899C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50F8560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1.期末账面价值</w:t>
            </w:r>
          </w:p>
        </w:tc>
        <w:tc>
          <w:tcPr>
            <w:tcW w:w="666" w:type="pct"/>
            <w:tcBorders>
              <w:top w:val="single" w:color="auto" w:sz="2" w:space="0"/>
              <w:left w:val="single" w:color="auto" w:sz="2" w:space="0"/>
              <w:bottom w:val="single" w:color="auto" w:sz="2" w:space="0"/>
              <w:right w:val="single" w:color="auto" w:sz="2" w:space="0"/>
            </w:tcBorders>
            <w:vAlign w:val="center"/>
          </w:tcPr>
          <w:p w14:paraId="189157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78,295,651.32</w:t>
            </w:r>
          </w:p>
        </w:tc>
        <w:tc>
          <w:tcPr>
            <w:tcW w:w="666" w:type="pct"/>
            <w:tcBorders>
              <w:top w:val="single" w:color="auto" w:sz="2" w:space="0"/>
              <w:left w:val="single" w:color="auto" w:sz="2" w:space="0"/>
              <w:bottom w:val="single" w:color="auto" w:sz="2" w:space="0"/>
              <w:right w:val="single" w:color="auto" w:sz="2" w:space="0"/>
            </w:tcBorders>
            <w:vAlign w:val="center"/>
          </w:tcPr>
          <w:p w14:paraId="6544A8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42,069,078.56</w:t>
            </w:r>
          </w:p>
        </w:tc>
        <w:tc>
          <w:tcPr>
            <w:tcW w:w="619" w:type="pct"/>
            <w:tcBorders>
              <w:top w:val="single" w:color="auto" w:sz="2" w:space="0"/>
              <w:left w:val="single" w:color="auto" w:sz="2" w:space="0"/>
              <w:bottom w:val="single" w:color="auto" w:sz="2" w:space="0"/>
              <w:right w:val="single" w:color="auto" w:sz="2" w:space="0"/>
            </w:tcBorders>
            <w:vAlign w:val="center"/>
          </w:tcPr>
          <w:p w14:paraId="064C79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3,477,420.98</w:t>
            </w:r>
          </w:p>
        </w:tc>
        <w:tc>
          <w:tcPr>
            <w:tcW w:w="618" w:type="pct"/>
            <w:tcBorders>
              <w:top w:val="single" w:color="auto" w:sz="2" w:space="0"/>
              <w:left w:val="single" w:color="auto" w:sz="2" w:space="0"/>
              <w:bottom w:val="single" w:color="auto" w:sz="2" w:space="0"/>
              <w:right w:val="single" w:color="auto" w:sz="2" w:space="0"/>
            </w:tcBorders>
            <w:vAlign w:val="center"/>
          </w:tcPr>
          <w:p w14:paraId="083B215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718,376.17</w:t>
            </w:r>
          </w:p>
        </w:tc>
        <w:tc>
          <w:tcPr>
            <w:tcW w:w="786" w:type="pct"/>
            <w:tcBorders>
              <w:top w:val="single" w:color="auto" w:sz="2" w:space="0"/>
              <w:left w:val="single" w:color="auto" w:sz="2" w:space="0"/>
              <w:bottom w:val="single" w:color="auto" w:sz="2" w:space="0"/>
              <w:right w:val="single" w:color="auto" w:sz="2" w:space="0"/>
            </w:tcBorders>
            <w:vAlign w:val="center"/>
          </w:tcPr>
          <w:p w14:paraId="5E6594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465,855.06</w:t>
            </w:r>
          </w:p>
        </w:tc>
        <w:tc>
          <w:tcPr>
            <w:tcW w:w="714" w:type="pct"/>
            <w:tcBorders>
              <w:top w:val="single" w:color="auto" w:sz="2" w:space="0"/>
              <w:left w:val="single" w:color="auto" w:sz="2" w:space="0"/>
              <w:bottom w:val="single" w:color="auto" w:sz="2" w:space="0"/>
              <w:right w:val="single" w:color="auto" w:sz="2" w:space="0"/>
            </w:tcBorders>
            <w:vAlign w:val="center"/>
          </w:tcPr>
          <w:p w14:paraId="539D8B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125,026,382.09</w:t>
            </w:r>
          </w:p>
        </w:tc>
      </w:tr>
      <w:tr w14:paraId="16607B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31" w:type="pct"/>
            <w:tcBorders>
              <w:top w:val="single" w:color="auto" w:sz="2" w:space="0"/>
              <w:left w:val="single" w:color="auto" w:sz="2" w:space="0"/>
              <w:bottom w:val="single" w:color="auto" w:sz="2" w:space="0"/>
              <w:right w:val="single" w:color="auto" w:sz="2" w:space="0"/>
            </w:tcBorders>
            <w:shd w:val="clear" w:color="auto" w:fill="D3D3D3"/>
            <w:vAlign w:val="center"/>
          </w:tcPr>
          <w:p w14:paraId="3C910368">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2.期初账面价值</w:t>
            </w:r>
          </w:p>
        </w:tc>
        <w:tc>
          <w:tcPr>
            <w:tcW w:w="666" w:type="pct"/>
            <w:tcBorders>
              <w:top w:val="single" w:color="auto" w:sz="2" w:space="0"/>
              <w:left w:val="single" w:color="auto" w:sz="2" w:space="0"/>
              <w:bottom w:val="single" w:color="auto" w:sz="2" w:space="0"/>
              <w:right w:val="single" w:color="auto" w:sz="2" w:space="0"/>
            </w:tcBorders>
            <w:vAlign w:val="center"/>
          </w:tcPr>
          <w:p w14:paraId="27BE40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69,602,425.54</w:t>
            </w:r>
          </w:p>
        </w:tc>
        <w:tc>
          <w:tcPr>
            <w:tcW w:w="666" w:type="pct"/>
            <w:tcBorders>
              <w:top w:val="single" w:color="auto" w:sz="2" w:space="0"/>
              <w:left w:val="single" w:color="auto" w:sz="2" w:space="0"/>
              <w:bottom w:val="single" w:color="auto" w:sz="2" w:space="0"/>
              <w:right w:val="single" w:color="auto" w:sz="2" w:space="0"/>
            </w:tcBorders>
            <w:vAlign w:val="center"/>
          </w:tcPr>
          <w:p w14:paraId="3971855C">
            <w:pPr>
              <w:spacing w:line="240" w:lineRule="exact"/>
              <w:jc w:val="right"/>
              <w:rPr>
                <w:rFonts w:ascii="Times New Roman" w:hAnsi="Times New Roman" w:cs="Times New Roman" w:eastAsiaTheme="majorEastAsia"/>
                <w:sz w:val="18"/>
                <w:szCs w:val="18"/>
              </w:rPr>
            </w:pPr>
          </w:p>
        </w:tc>
        <w:tc>
          <w:tcPr>
            <w:tcW w:w="619" w:type="pct"/>
            <w:tcBorders>
              <w:top w:val="single" w:color="auto" w:sz="2" w:space="0"/>
              <w:left w:val="single" w:color="auto" w:sz="2" w:space="0"/>
              <w:bottom w:val="single" w:color="auto" w:sz="2" w:space="0"/>
              <w:right w:val="single" w:color="auto" w:sz="2" w:space="0"/>
            </w:tcBorders>
            <w:vAlign w:val="center"/>
          </w:tcPr>
          <w:p w14:paraId="477D06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1,440,648.51</w:t>
            </w:r>
          </w:p>
        </w:tc>
        <w:tc>
          <w:tcPr>
            <w:tcW w:w="618" w:type="pct"/>
            <w:tcBorders>
              <w:top w:val="single" w:color="auto" w:sz="2" w:space="0"/>
              <w:left w:val="single" w:color="auto" w:sz="2" w:space="0"/>
              <w:bottom w:val="single" w:color="auto" w:sz="2" w:space="0"/>
              <w:right w:val="single" w:color="auto" w:sz="2" w:space="0"/>
            </w:tcBorders>
            <w:vAlign w:val="center"/>
          </w:tcPr>
          <w:p w14:paraId="291C12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355,450.82</w:t>
            </w:r>
          </w:p>
        </w:tc>
        <w:tc>
          <w:tcPr>
            <w:tcW w:w="786" w:type="pct"/>
            <w:tcBorders>
              <w:top w:val="single" w:color="auto" w:sz="2" w:space="0"/>
              <w:left w:val="single" w:color="auto" w:sz="2" w:space="0"/>
              <w:bottom w:val="single" w:color="auto" w:sz="2" w:space="0"/>
              <w:right w:val="single" w:color="auto" w:sz="2" w:space="0"/>
            </w:tcBorders>
            <w:vAlign w:val="center"/>
          </w:tcPr>
          <w:p w14:paraId="20042C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184,302.77</w:t>
            </w:r>
          </w:p>
        </w:tc>
        <w:tc>
          <w:tcPr>
            <w:tcW w:w="714" w:type="pct"/>
            <w:tcBorders>
              <w:top w:val="single" w:color="auto" w:sz="2" w:space="0"/>
              <w:left w:val="single" w:color="auto" w:sz="2" w:space="0"/>
              <w:bottom w:val="single" w:color="auto" w:sz="2" w:space="0"/>
              <w:right w:val="single" w:color="auto" w:sz="2" w:space="0"/>
            </w:tcBorders>
            <w:vAlign w:val="center"/>
          </w:tcPr>
          <w:p w14:paraId="33130A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71,582,827.64</w:t>
            </w:r>
          </w:p>
        </w:tc>
      </w:tr>
    </w:tbl>
    <w:p w14:paraId="2F59803C">
      <w:pPr>
        <w:keepNext/>
        <w:keepLines/>
        <w:spacing w:before="300" w:after="300" w:line="280" w:lineRule="exact"/>
        <w:outlineLvl w:val="3"/>
        <w:rPr>
          <w:rFonts w:ascii="Times New Roman" w:hAnsi="Times New Roman" w:cs="Times New Roman" w:eastAsiaTheme="majorEastAsia"/>
          <w:b/>
          <w:bCs/>
          <w:szCs w:val="21"/>
        </w:rPr>
      </w:pPr>
      <w:bookmarkStart w:id="280" w:name="_Toc989169"/>
      <w:r>
        <w:rPr>
          <w:rFonts w:ascii="Times New Roman" w:hAnsi="Times New Roman" w:cs="Times New Roman" w:eastAsiaTheme="majorEastAsia"/>
          <w:b/>
          <w:bCs/>
          <w:szCs w:val="21"/>
        </w:rPr>
        <w:t>（2） 暂时闲置的固定资产情况</w:t>
      </w:r>
      <w:bookmarkEnd w:id="280"/>
    </w:p>
    <w:p w14:paraId="4316F2F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D19B5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D3DBB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0BB3E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账面原值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13EF0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累计折旧</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F334F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A164BA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C37D1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备注</w:t>
            </w:r>
          </w:p>
        </w:tc>
      </w:tr>
    </w:tbl>
    <w:p w14:paraId="36441139">
      <w:pPr>
        <w:keepNext/>
        <w:keepLines/>
        <w:spacing w:before="300" w:after="300" w:line="280" w:lineRule="exact"/>
        <w:outlineLvl w:val="3"/>
        <w:rPr>
          <w:rFonts w:ascii="Times New Roman" w:hAnsi="Times New Roman" w:cs="Times New Roman" w:eastAsiaTheme="majorEastAsia"/>
          <w:b/>
          <w:bCs/>
          <w:szCs w:val="21"/>
        </w:rPr>
      </w:pPr>
      <w:bookmarkStart w:id="281" w:name="_Toc989170"/>
      <w:r>
        <w:rPr>
          <w:rFonts w:ascii="Times New Roman" w:hAnsi="Times New Roman" w:cs="Times New Roman" w:eastAsiaTheme="majorEastAsia"/>
          <w:b/>
          <w:bCs/>
          <w:szCs w:val="21"/>
        </w:rPr>
        <w:t>（3） 通过经营租赁租出的固定资产</w:t>
      </w:r>
      <w:bookmarkEnd w:id="281"/>
    </w:p>
    <w:p w14:paraId="7312343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18C89F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A6FEC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9CD38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期末账面价值</w:t>
            </w:r>
          </w:p>
        </w:tc>
      </w:tr>
    </w:tbl>
    <w:p w14:paraId="00DB1BB9">
      <w:pPr>
        <w:keepNext/>
        <w:keepLines/>
        <w:spacing w:before="300" w:after="300" w:line="280" w:lineRule="exact"/>
        <w:outlineLvl w:val="3"/>
        <w:rPr>
          <w:rFonts w:ascii="Times New Roman" w:hAnsi="Times New Roman" w:cs="Times New Roman" w:eastAsiaTheme="majorEastAsia"/>
          <w:b/>
          <w:bCs/>
          <w:szCs w:val="21"/>
        </w:rPr>
      </w:pPr>
      <w:bookmarkStart w:id="282" w:name="_Toc989171"/>
      <w:r>
        <w:rPr>
          <w:rFonts w:ascii="Times New Roman" w:hAnsi="Times New Roman" w:cs="Times New Roman" w:eastAsiaTheme="majorEastAsia"/>
          <w:b/>
          <w:bCs/>
          <w:szCs w:val="21"/>
        </w:rPr>
        <w:t>（4） 未办妥产权证书的固定资产情况</w:t>
      </w:r>
      <w:bookmarkEnd w:id="282"/>
    </w:p>
    <w:p w14:paraId="3FA50E2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D774F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BE2A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F65D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BE2A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未办妥产权证书的原因</w:t>
            </w:r>
          </w:p>
        </w:tc>
      </w:tr>
      <w:tr w14:paraId="2423B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53" w:hRule="atLeast"/>
        </w:trPr>
        <w:tc>
          <w:tcPr>
            <w:tcW w:w="3213" w:type="dxa"/>
            <w:tcBorders>
              <w:top w:val="single" w:color="auto" w:sz="2" w:space="0"/>
              <w:left w:val="single" w:color="auto" w:sz="2" w:space="0"/>
              <w:bottom w:val="single" w:color="auto" w:sz="2" w:space="0"/>
              <w:right w:val="single" w:color="auto" w:sz="2" w:space="0"/>
            </w:tcBorders>
            <w:vAlign w:val="center"/>
          </w:tcPr>
          <w:p w14:paraId="4E9B80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太子湾泓玺大厦1604号房</w:t>
            </w:r>
          </w:p>
        </w:tc>
        <w:tc>
          <w:tcPr>
            <w:tcW w:w="3213" w:type="dxa"/>
            <w:tcBorders>
              <w:top w:val="single" w:color="auto" w:sz="2" w:space="0"/>
              <w:left w:val="single" w:color="auto" w:sz="2" w:space="0"/>
              <w:bottom w:val="single" w:color="auto" w:sz="2" w:space="0"/>
              <w:right w:val="single" w:color="auto" w:sz="2" w:space="0"/>
            </w:tcBorders>
            <w:vAlign w:val="center"/>
          </w:tcPr>
          <w:p w14:paraId="5ADA15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10,907,236.70</w:t>
            </w:r>
          </w:p>
        </w:tc>
        <w:tc>
          <w:tcPr>
            <w:tcW w:w="3213" w:type="dxa"/>
            <w:tcBorders>
              <w:top w:val="single" w:color="auto" w:sz="2" w:space="0"/>
              <w:left w:val="single" w:color="auto" w:sz="2" w:space="0"/>
              <w:bottom w:val="single" w:color="auto" w:sz="2" w:space="0"/>
              <w:right w:val="single" w:color="auto" w:sz="2" w:space="0"/>
            </w:tcBorders>
            <w:vAlign w:val="center"/>
          </w:tcPr>
          <w:p w14:paraId="25284E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房产于2024年12月14日交付，截止报告日产权证书正在办理中</w:t>
            </w:r>
          </w:p>
        </w:tc>
      </w:tr>
    </w:tbl>
    <w:p w14:paraId="67888C6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534EBCA7">
      <w:pPr>
        <w:pStyle w:val="10"/>
        <w:spacing w:beforeAutospacing="0" w:afterAutospacing="0"/>
        <w:ind w:firstLine="420" w:firstLineChars="200"/>
        <w:rPr>
          <w:rFonts w:ascii="Times New Roman" w:hAnsi="Times New Roman" w:cs="Times New Roman" w:eastAsiaTheme="majorEastAsia"/>
        </w:rPr>
      </w:pPr>
      <w:r>
        <w:rPr>
          <w:rFonts w:hint="eastAsia"/>
          <w:sz w:val="21"/>
          <w:szCs w:val="21"/>
        </w:rPr>
        <w:t>①</w:t>
      </w:r>
      <w:r>
        <w:rPr>
          <w:rFonts w:ascii="Times New Roman" w:hAnsi="Times New Roman" w:cs="Times New Roman" w:eastAsiaTheme="majorEastAsia"/>
          <w:sz w:val="21"/>
          <w:szCs w:val="21"/>
        </w:rPr>
        <w:t>报告期内无暂时闲置的固定资产情况；</w:t>
      </w:r>
    </w:p>
    <w:p w14:paraId="27AE8592">
      <w:pPr>
        <w:pStyle w:val="10"/>
        <w:spacing w:beforeAutospacing="0" w:afterAutospacing="0"/>
        <w:ind w:firstLine="420" w:firstLineChars="200"/>
        <w:rPr>
          <w:rFonts w:ascii="Times New Roman" w:hAnsi="Times New Roman" w:cs="Times New Roman" w:eastAsiaTheme="majorEastAsia"/>
        </w:rPr>
      </w:pPr>
      <w:r>
        <w:rPr>
          <w:rFonts w:hint="eastAsia"/>
          <w:sz w:val="21"/>
          <w:szCs w:val="21"/>
        </w:rPr>
        <w:t>②</w:t>
      </w:r>
      <w:r>
        <w:rPr>
          <w:rFonts w:ascii="Times New Roman" w:hAnsi="Times New Roman" w:cs="Times New Roman" w:eastAsiaTheme="majorEastAsia"/>
          <w:sz w:val="21"/>
          <w:szCs w:val="21"/>
        </w:rPr>
        <w:t>报告期内无通过经营租赁租出的固定资产情况；</w:t>
      </w:r>
    </w:p>
    <w:p w14:paraId="48308CB1">
      <w:pPr>
        <w:pStyle w:val="10"/>
        <w:spacing w:beforeAutospacing="0" w:afterAutospacing="0"/>
        <w:ind w:firstLine="420" w:firstLineChars="200"/>
        <w:rPr>
          <w:rFonts w:ascii="Times New Roman" w:hAnsi="Times New Roman" w:cs="Times New Roman" w:eastAsiaTheme="majorEastAsia"/>
        </w:rPr>
      </w:pPr>
      <w:r>
        <w:rPr>
          <w:rFonts w:hint="eastAsia"/>
          <w:sz w:val="21"/>
          <w:szCs w:val="21"/>
        </w:rPr>
        <w:t>③</w:t>
      </w:r>
      <w:r>
        <w:rPr>
          <w:rFonts w:ascii="Times New Roman" w:hAnsi="Times New Roman" w:cs="Times New Roman" w:eastAsiaTheme="majorEastAsia"/>
          <w:sz w:val="21"/>
          <w:szCs w:val="21"/>
        </w:rPr>
        <w:t>固定资产未出现减值迹象，故未计提固定资产减值准备。</w:t>
      </w:r>
    </w:p>
    <w:p w14:paraId="7F119DBA">
      <w:pPr>
        <w:keepNext/>
        <w:keepLines/>
        <w:spacing w:before="300" w:after="300" w:line="280" w:lineRule="exact"/>
        <w:outlineLvl w:val="3"/>
        <w:rPr>
          <w:rFonts w:ascii="Times New Roman" w:hAnsi="Times New Roman" w:cs="Times New Roman" w:eastAsiaTheme="majorEastAsia"/>
          <w:b/>
          <w:bCs/>
          <w:szCs w:val="21"/>
        </w:rPr>
      </w:pPr>
      <w:bookmarkStart w:id="283" w:name="_Toc989172"/>
      <w:r>
        <w:rPr>
          <w:rFonts w:ascii="Times New Roman" w:hAnsi="Times New Roman" w:cs="Times New Roman" w:eastAsiaTheme="majorEastAsia"/>
          <w:b/>
          <w:bCs/>
          <w:szCs w:val="21"/>
        </w:rPr>
        <w:t>（5） 固定资产的减值测试情况</w:t>
      </w:r>
      <w:bookmarkEnd w:id="283"/>
    </w:p>
    <w:p w14:paraId="61FD7ADB">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D0D58DC">
      <w:pPr>
        <w:keepNext/>
        <w:keepLines/>
        <w:spacing w:before="300" w:after="300" w:line="280" w:lineRule="exact"/>
        <w:outlineLvl w:val="3"/>
        <w:rPr>
          <w:rFonts w:ascii="Times New Roman" w:hAnsi="Times New Roman" w:cs="Times New Roman" w:eastAsiaTheme="majorEastAsia"/>
          <w:b/>
          <w:bCs/>
          <w:szCs w:val="21"/>
        </w:rPr>
      </w:pPr>
      <w:bookmarkStart w:id="284" w:name="_Toc989173"/>
      <w:r>
        <w:rPr>
          <w:rFonts w:ascii="Times New Roman" w:hAnsi="Times New Roman" w:cs="Times New Roman" w:eastAsiaTheme="majorEastAsia"/>
          <w:b/>
          <w:bCs/>
          <w:szCs w:val="21"/>
        </w:rPr>
        <w:t>（6） 固定资产清理</w:t>
      </w:r>
      <w:bookmarkEnd w:id="284"/>
    </w:p>
    <w:p w14:paraId="3FF697A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D57C76C">
      <w:pPr>
        <w:pStyle w:val="3"/>
        <w:spacing w:line="280" w:lineRule="exact"/>
        <w:jc w:val="left"/>
        <w:rPr>
          <w:rFonts w:ascii="Times New Roman" w:hAnsi="Times New Roman" w:cs="Times New Roman" w:eastAsiaTheme="majorEastAsia"/>
          <w:b/>
          <w:bCs/>
        </w:rPr>
      </w:pPr>
      <w:bookmarkStart w:id="285" w:name="_Toc989174"/>
      <w:r>
        <w:rPr>
          <w:rFonts w:ascii="Times New Roman" w:hAnsi="Times New Roman" w:cs="Times New Roman" w:eastAsiaTheme="majorEastAsia"/>
          <w:b/>
          <w:bCs/>
        </w:rPr>
        <w:t>17、在建工程</w:t>
      </w:r>
      <w:bookmarkEnd w:id="285"/>
    </w:p>
    <w:p w14:paraId="43F9A23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2A3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81192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3DF1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AB19E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7A404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A3EFD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在建工程</w:t>
            </w:r>
          </w:p>
        </w:tc>
        <w:tc>
          <w:tcPr>
            <w:tcW w:w="3213" w:type="dxa"/>
            <w:tcBorders>
              <w:top w:val="single" w:color="auto" w:sz="2" w:space="0"/>
              <w:left w:val="single" w:color="auto" w:sz="2" w:space="0"/>
              <w:bottom w:val="single" w:color="auto" w:sz="2" w:space="0"/>
              <w:right w:val="single" w:color="auto" w:sz="2" w:space="0"/>
            </w:tcBorders>
            <w:vAlign w:val="center"/>
          </w:tcPr>
          <w:p w14:paraId="07C2A7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3213" w:type="dxa"/>
            <w:tcBorders>
              <w:top w:val="single" w:color="auto" w:sz="2" w:space="0"/>
              <w:left w:val="single" w:color="auto" w:sz="2" w:space="0"/>
              <w:bottom w:val="single" w:color="auto" w:sz="2" w:space="0"/>
              <w:right w:val="single" w:color="auto" w:sz="2" w:space="0"/>
            </w:tcBorders>
            <w:vAlign w:val="center"/>
          </w:tcPr>
          <w:p w14:paraId="077AD0E7">
            <w:pPr>
              <w:spacing w:line="240" w:lineRule="exact"/>
              <w:jc w:val="right"/>
              <w:rPr>
                <w:rFonts w:ascii="Times New Roman" w:hAnsi="Times New Roman" w:cs="Times New Roman" w:eastAsiaTheme="majorEastAsia"/>
                <w:sz w:val="18"/>
                <w:szCs w:val="18"/>
              </w:rPr>
            </w:pPr>
          </w:p>
        </w:tc>
      </w:tr>
      <w:tr w14:paraId="20E88F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FD3C5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679A7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3213" w:type="dxa"/>
            <w:tcBorders>
              <w:top w:val="single" w:color="auto" w:sz="2" w:space="0"/>
              <w:left w:val="single" w:color="auto" w:sz="2" w:space="0"/>
              <w:bottom w:val="single" w:color="auto" w:sz="2" w:space="0"/>
              <w:right w:val="single" w:color="auto" w:sz="2" w:space="0"/>
            </w:tcBorders>
            <w:vAlign w:val="center"/>
          </w:tcPr>
          <w:p w14:paraId="6B5F6BA5">
            <w:pPr>
              <w:spacing w:line="240" w:lineRule="exact"/>
              <w:jc w:val="right"/>
              <w:rPr>
                <w:rFonts w:ascii="Times New Roman" w:hAnsi="Times New Roman" w:cs="Times New Roman" w:eastAsiaTheme="majorEastAsia"/>
                <w:sz w:val="18"/>
                <w:szCs w:val="18"/>
              </w:rPr>
            </w:pPr>
          </w:p>
        </w:tc>
      </w:tr>
    </w:tbl>
    <w:p w14:paraId="47A7A446">
      <w:pPr>
        <w:keepNext/>
        <w:keepLines/>
        <w:spacing w:before="300" w:after="300" w:line="280" w:lineRule="exact"/>
        <w:outlineLvl w:val="3"/>
        <w:rPr>
          <w:rFonts w:ascii="Times New Roman" w:hAnsi="Times New Roman" w:cs="Times New Roman" w:eastAsiaTheme="majorEastAsia"/>
          <w:b/>
          <w:bCs/>
          <w:szCs w:val="21"/>
        </w:rPr>
      </w:pPr>
      <w:bookmarkStart w:id="286" w:name="_Toc989175"/>
      <w:r>
        <w:rPr>
          <w:rFonts w:ascii="Times New Roman" w:hAnsi="Times New Roman" w:cs="Times New Roman" w:eastAsiaTheme="majorEastAsia"/>
          <w:b/>
          <w:bCs/>
          <w:szCs w:val="21"/>
        </w:rPr>
        <w:t>（1） 在建工程情况</w:t>
      </w:r>
      <w:bookmarkEnd w:id="286"/>
    </w:p>
    <w:p w14:paraId="6D51DC3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CB0FE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503AE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DC456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DAC71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8350B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D899A58">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4D28F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A11D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5AC02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DC816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1BE6E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1169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13D84F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C628F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海逸7楼办公装修+弱电项目</w:t>
            </w:r>
          </w:p>
        </w:tc>
        <w:tc>
          <w:tcPr>
            <w:tcW w:w="1377" w:type="dxa"/>
            <w:tcBorders>
              <w:top w:val="single" w:color="auto" w:sz="2" w:space="0"/>
              <w:left w:val="single" w:color="auto" w:sz="2" w:space="0"/>
              <w:bottom w:val="single" w:color="auto" w:sz="2" w:space="0"/>
              <w:right w:val="single" w:color="auto" w:sz="2" w:space="0"/>
            </w:tcBorders>
            <w:vAlign w:val="center"/>
          </w:tcPr>
          <w:p w14:paraId="361393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509,080.28</w:t>
            </w:r>
          </w:p>
        </w:tc>
        <w:tc>
          <w:tcPr>
            <w:tcW w:w="1377" w:type="dxa"/>
            <w:tcBorders>
              <w:top w:val="single" w:color="auto" w:sz="2" w:space="0"/>
              <w:left w:val="single" w:color="auto" w:sz="2" w:space="0"/>
              <w:bottom w:val="single" w:color="auto" w:sz="2" w:space="0"/>
              <w:right w:val="single" w:color="auto" w:sz="2" w:space="0"/>
            </w:tcBorders>
            <w:vAlign w:val="center"/>
          </w:tcPr>
          <w:p w14:paraId="760B2D9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1C3BC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509,080.28</w:t>
            </w:r>
          </w:p>
        </w:tc>
        <w:tc>
          <w:tcPr>
            <w:tcW w:w="1377" w:type="dxa"/>
            <w:tcBorders>
              <w:top w:val="single" w:color="auto" w:sz="2" w:space="0"/>
              <w:left w:val="single" w:color="auto" w:sz="2" w:space="0"/>
              <w:bottom w:val="single" w:color="auto" w:sz="2" w:space="0"/>
              <w:right w:val="single" w:color="auto" w:sz="2" w:space="0"/>
            </w:tcBorders>
            <w:vAlign w:val="center"/>
          </w:tcPr>
          <w:p w14:paraId="5B18493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B3D0FD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E47AE11">
            <w:pPr>
              <w:spacing w:line="240" w:lineRule="exact"/>
              <w:jc w:val="right"/>
              <w:rPr>
                <w:rFonts w:ascii="Times New Roman" w:hAnsi="Times New Roman" w:cs="Times New Roman" w:eastAsiaTheme="majorEastAsia"/>
                <w:sz w:val="18"/>
                <w:szCs w:val="18"/>
              </w:rPr>
            </w:pPr>
          </w:p>
        </w:tc>
      </w:tr>
      <w:tr w14:paraId="7E413C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184B0DB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天宝实业分布式光伏项目发电项目</w:t>
            </w:r>
          </w:p>
        </w:tc>
        <w:tc>
          <w:tcPr>
            <w:tcW w:w="1377" w:type="dxa"/>
            <w:tcBorders>
              <w:top w:val="single" w:color="auto" w:sz="2" w:space="0"/>
              <w:left w:val="single" w:color="auto" w:sz="2" w:space="0"/>
              <w:bottom w:val="single" w:color="auto" w:sz="2" w:space="0"/>
              <w:right w:val="single" w:color="auto" w:sz="2" w:space="0"/>
            </w:tcBorders>
            <w:vAlign w:val="center"/>
          </w:tcPr>
          <w:p w14:paraId="643490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53,326,359.55</w:t>
            </w:r>
          </w:p>
        </w:tc>
        <w:tc>
          <w:tcPr>
            <w:tcW w:w="1377" w:type="dxa"/>
            <w:tcBorders>
              <w:top w:val="single" w:color="auto" w:sz="2" w:space="0"/>
              <w:left w:val="single" w:color="auto" w:sz="2" w:space="0"/>
              <w:bottom w:val="single" w:color="auto" w:sz="2" w:space="0"/>
              <w:right w:val="single" w:color="auto" w:sz="2" w:space="0"/>
            </w:tcBorders>
            <w:vAlign w:val="center"/>
          </w:tcPr>
          <w:p w14:paraId="3BF3BE80">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E860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53,326,359.55</w:t>
            </w:r>
          </w:p>
        </w:tc>
        <w:tc>
          <w:tcPr>
            <w:tcW w:w="1377" w:type="dxa"/>
            <w:tcBorders>
              <w:top w:val="single" w:color="auto" w:sz="2" w:space="0"/>
              <w:left w:val="single" w:color="auto" w:sz="2" w:space="0"/>
              <w:bottom w:val="single" w:color="auto" w:sz="2" w:space="0"/>
              <w:right w:val="single" w:color="auto" w:sz="2" w:space="0"/>
            </w:tcBorders>
            <w:vAlign w:val="center"/>
          </w:tcPr>
          <w:p w14:paraId="5E69D74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9A9DE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B9266B2">
            <w:pPr>
              <w:spacing w:line="240" w:lineRule="exact"/>
              <w:jc w:val="right"/>
              <w:rPr>
                <w:rFonts w:ascii="Times New Roman" w:hAnsi="Times New Roman" w:cs="Times New Roman" w:eastAsiaTheme="majorEastAsia"/>
                <w:sz w:val="18"/>
                <w:szCs w:val="18"/>
              </w:rPr>
            </w:pPr>
          </w:p>
        </w:tc>
      </w:tr>
      <w:tr w14:paraId="018D01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0D408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广西锦江火浪3.379MWp屋顶分布式光伏项目</w:t>
            </w:r>
          </w:p>
        </w:tc>
        <w:tc>
          <w:tcPr>
            <w:tcW w:w="1377" w:type="dxa"/>
            <w:tcBorders>
              <w:top w:val="single" w:color="auto" w:sz="2" w:space="0"/>
              <w:left w:val="single" w:color="auto" w:sz="2" w:space="0"/>
              <w:bottom w:val="single" w:color="auto" w:sz="2" w:space="0"/>
              <w:right w:val="single" w:color="auto" w:sz="2" w:space="0"/>
            </w:tcBorders>
            <w:vAlign w:val="center"/>
          </w:tcPr>
          <w:p w14:paraId="032DCB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2,654,672.05</w:t>
            </w:r>
          </w:p>
        </w:tc>
        <w:tc>
          <w:tcPr>
            <w:tcW w:w="1377" w:type="dxa"/>
            <w:tcBorders>
              <w:top w:val="single" w:color="auto" w:sz="2" w:space="0"/>
              <w:left w:val="single" w:color="auto" w:sz="2" w:space="0"/>
              <w:bottom w:val="single" w:color="auto" w:sz="2" w:space="0"/>
              <w:right w:val="single" w:color="auto" w:sz="2" w:space="0"/>
            </w:tcBorders>
            <w:vAlign w:val="center"/>
          </w:tcPr>
          <w:p w14:paraId="15C79B8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4A96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2,654,672.05</w:t>
            </w:r>
          </w:p>
        </w:tc>
        <w:tc>
          <w:tcPr>
            <w:tcW w:w="1377" w:type="dxa"/>
            <w:tcBorders>
              <w:top w:val="single" w:color="auto" w:sz="2" w:space="0"/>
              <w:left w:val="single" w:color="auto" w:sz="2" w:space="0"/>
              <w:bottom w:val="single" w:color="auto" w:sz="2" w:space="0"/>
              <w:right w:val="single" w:color="auto" w:sz="2" w:space="0"/>
            </w:tcBorders>
            <w:vAlign w:val="center"/>
          </w:tcPr>
          <w:p w14:paraId="6EC8213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7CCC80">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7B85F62">
            <w:pPr>
              <w:spacing w:line="240" w:lineRule="exact"/>
              <w:jc w:val="right"/>
              <w:rPr>
                <w:rFonts w:ascii="Times New Roman" w:hAnsi="Times New Roman" w:cs="Times New Roman" w:eastAsiaTheme="majorEastAsia"/>
                <w:sz w:val="18"/>
                <w:szCs w:val="18"/>
              </w:rPr>
            </w:pPr>
          </w:p>
        </w:tc>
      </w:tr>
      <w:tr w14:paraId="12A052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C4596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深圳天亿马公司与某客户算力网络集群服务项目</w:t>
            </w:r>
          </w:p>
        </w:tc>
        <w:tc>
          <w:tcPr>
            <w:tcW w:w="1377" w:type="dxa"/>
            <w:tcBorders>
              <w:top w:val="single" w:color="auto" w:sz="2" w:space="0"/>
              <w:left w:val="single" w:color="auto" w:sz="2" w:space="0"/>
              <w:bottom w:val="single" w:color="auto" w:sz="2" w:space="0"/>
              <w:right w:val="single" w:color="auto" w:sz="2" w:space="0"/>
            </w:tcBorders>
            <w:vAlign w:val="center"/>
          </w:tcPr>
          <w:p w14:paraId="26AC17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294,247,787.62</w:t>
            </w:r>
          </w:p>
        </w:tc>
        <w:tc>
          <w:tcPr>
            <w:tcW w:w="1377" w:type="dxa"/>
            <w:tcBorders>
              <w:top w:val="single" w:color="auto" w:sz="2" w:space="0"/>
              <w:left w:val="single" w:color="auto" w:sz="2" w:space="0"/>
              <w:bottom w:val="single" w:color="auto" w:sz="2" w:space="0"/>
              <w:right w:val="single" w:color="auto" w:sz="2" w:space="0"/>
            </w:tcBorders>
            <w:vAlign w:val="center"/>
          </w:tcPr>
          <w:p w14:paraId="6A5AB9B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43918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294,247,787.62</w:t>
            </w:r>
          </w:p>
        </w:tc>
        <w:tc>
          <w:tcPr>
            <w:tcW w:w="1377" w:type="dxa"/>
            <w:tcBorders>
              <w:top w:val="single" w:color="auto" w:sz="2" w:space="0"/>
              <w:left w:val="single" w:color="auto" w:sz="2" w:space="0"/>
              <w:bottom w:val="single" w:color="auto" w:sz="2" w:space="0"/>
              <w:right w:val="single" w:color="auto" w:sz="2" w:space="0"/>
            </w:tcBorders>
            <w:vAlign w:val="center"/>
          </w:tcPr>
          <w:p w14:paraId="1CC17E23">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EA99C0">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1451FF">
            <w:pPr>
              <w:spacing w:line="240" w:lineRule="exact"/>
              <w:jc w:val="right"/>
              <w:rPr>
                <w:rFonts w:ascii="Times New Roman" w:hAnsi="Times New Roman" w:cs="Times New Roman" w:eastAsiaTheme="majorEastAsia"/>
                <w:sz w:val="18"/>
                <w:szCs w:val="18"/>
              </w:rPr>
            </w:pPr>
          </w:p>
        </w:tc>
      </w:tr>
      <w:tr w14:paraId="43C57A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70B662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CC1AC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1377" w:type="dxa"/>
            <w:tcBorders>
              <w:top w:val="single" w:color="auto" w:sz="2" w:space="0"/>
              <w:left w:val="single" w:color="auto" w:sz="2" w:space="0"/>
              <w:bottom w:val="single" w:color="auto" w:sz="2" w:space="0"/>
              <w:right w:val="single" w:color="auto" w:sz="2" w:space="0"/>
            </w:tcBorders>
            <w:vAlign w:val="center"/>
          </w:tcPr>
          <w:p w14:paraId="1FFF83C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56227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350,737,899.50</w:t>
            </w:r>
          </w:p>
        </w:tc>
        <w:tc>
          <w:tcPr>
            <w:tcW w:w="1377" w:type="dxa"/>
            <w:tcBorders>
              <w:top w:val="single" w:color="auto" w:sz="2" w:space="0"/>
              <w:left w:val="single" w:color="auto" w:sz="2" w:space="0"/>
              <w:bottom w:val="single" w:color="auto" w:sz="2" w:space="0"/>
              <w:right w:val="single" w:color="auto" w:sz="2" w:space="0"/>
            </w:tcBorders>
            <w:vAlign w:val="center"/>
          </w:tcPr>
          <w:p w14:paraId="13EF5FC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E7BA56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1FE87D">
            <w:pPr>
              <w:spacing w:line="240" w:lineRule="exact"/>
              <w:jc w:val="right"/>
              <w:rPr>
                <w:rFonts w:ascii="Times New Roman" w:hAnsi="Times New Roman" w:cs="Times New Roman" w:eastAsiaTheme="majorEastAsia"/>
                <w:sz w:val="18"/>
                <w:szCs w:val="18"/>
              </w:rPr>
            </w:pPr>
          </w:p>
        </w:tc>
      </w:tr>
    </w:tbl>
    <w:p w14:paraId="2E0064EC">
      <w:pPr>
        <w:keepNext/>
        <w:keepLines/>
        <w:spacing w:before="300" w:after="300" w:line="280" w:lineRule="exact"/>
        <w:outlineLvl w:val="3"/>
        <w:rPr>
          <w:rFonts w:ascii="Times New Roman" w:hAnsi="Times New Roman" w:cs="Times New Roman" w:eastAsiaTheme="majorEastAsia"/>
          <w:b/>
          <w:bCs/>
          <w:szCs w:val="21"/>
        </w:rPr>
      </w:pPr>
      <w:bookmarkStart w:id="287" w:name="_Toc989176"/>
      <w:r>
        <w:rPr>
          <w:rFonts w:ascii="Times New Roman" w:hAnsi="Times New Roman" w:cs="Times New Roman" w:eastAsiaTheme="majorEastAsia"/>
          <w:b/>
          <w:bCs/>
          <w:szCs w:val="21"/>
        </w:rPr>
        <w:t>（2） 重要在建工程项目本期变动情况</w:t>
      </w:r>
      <w:bookmarkEnd w:id="287"/>
    </w:p>
    <w:p w14:paraId="0BE0B06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56"/>
        <w:gridCol w:w="1057"/>
        <w:gridCol w:w="377"/>
        <w:gridCol w:w="1057"/>
        <w:gridCol w:w="990"/>
        <w:gridCol w:w="377"/>
        <w:gridCol w:w="1057"/>
        <w:gridCol w:w="631"/>
        <w:gridCol w:w="631"/>
        <w:gridCol w:w="821"/>
        <w:gridCol w:w="822"/>
        <w:gridCol w:w="699"/>
        <w:gridCol w:w="378"/>
      </w:tblGrid>
      <w:tr w14:paraId="237E16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04" w:type="pct"/>
            <w:tcBorders>
              <w:top w:val="single" w:color="auto" w:sz="2" w:space="0"/>
              <w:left w:val="single" w:color="auto" w:sz="2" w:space="0"/>
              <w:bottom w:val="single" w:color="auto" w:sz="2" w:space="0"/>
              <w:right w:val="single" w:color="auto" w:sz="2" w:space="0"/>
            </w:tcBorders>
            <w:shd w:val="clear" w:color="auto" w:fill="D3D3D3"/>
            <w:vAlign w:val="center"/>
          </w:tcPr>
          <w:p w14:paraId="0F03AC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556" w:type="pct"/>
            <w:tcBorders>
              <w:top w:val="single" w:color="auto" w:sz="2" w:space="0"/>
              <w:left w:val="single" w:color="auto" w:sz="2" w:space="0"/>
              <w:bottom w:val="single" w:color="auto" w:sz="2" w:space="0"/>
              <w:right w:val="single" w:color="auto" w:sz="2" w:space="0"/>
            </w:tcBorders>
            <w:shd w:val="clear" w:color="auto" w:fill="D3D3D3"/>
            <w:vAlign w:val="center"/>
          </w:tcPr>
          <w:p w14:paraId="6A76F21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预算数</w:t>
            </w:r>
          </w:p>
        </w:tc>
        <w:tc>
          <w:tcPr>
            <w:tcW w:w="174" w:type="pct"/>
            <w:tcBorders>
              <w:top w:val="single" w:color="auto" w:sz="2" w:space="0"/>
              <w:left w:val="single" w:color="auto" w:sz="2" w:space="0"/>
              <w:bottom w:val="single" w:color="auto" w:sz="2" w:space="0"/>
              <w:right w:val="single" w:color="auto" w:sz="2" w:space="0"/>
            </w:tcBorders>
            <w:shd w:val="clear" w:color="auto" w:fill="D3D3D3"/>
            <w:vAlign w:val="center"/>
          </w:tcPr>
          <w:p w14:paraId="617B06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6" w:type="pct"/>
            <w:tcBorders>
              <w:top w:val="single" w:color="auto" w:sz="2" w:space="0"/>
              <w:left w:val="single" w:color="auto" w:sz="2" w:space="0"/>
              <w:bottom w:val="single" w:color="auto" w:sz="2" w:space="0"/>
              <w:right w:val="single" w:color="auto" w:sz="2" w:space="0"/>
            </w:tcBorders>
            <w:shd w:val="clear" w:color="auto" w:fill="D3D3D3"/>
            <w:vAlign w:val="center"/>
          </w:tcPr>
          <w:p w14:paraId="51294B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本期增加金额</w:t>
            </w:r>
          </w:p>
        </w:tc>
        <w:tc>
          <w:tcPr>
            <w:tcW w:w="520" w:type="pct"/>
            <w:tcBorders>
              <w:top w:val="single" w:color="auto" w:sz="2" w:space="0"/>
              <w:left w:val="single" w:color="auto" w:sz="2" w:space="0"/>
              <w:bottom w:val="single" w:color="auto" w:sz="2" w:space="0"/>
              <w:right w:val="single" w:color="auto" w:sz="2" w:space="0"/>
            </w:tcBorders>
            <w:shd w:val="clear" w:color="auto" w:fill="D3D3D3"/>
            <w:vAlign w:val="center"/>
          </w:tcPr>
          <w:p w14:paraId="6410D0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本期转入固定资产金额</w:t>
            </w:r>
          </w:p>
        </w:tc>
        <w:tc>
          <w:tcPr>
            <w:tcW w:w="174" w:type="pct"/>
            <w:tcBorders>
              <w:top w:val="single" w:color="auto" w:sz="2" w:space="0"/>
              <w:left w:val="single" w:color="auto" w:sz="2" w:space="0"/>
              <w:bottom w:val="single" w:color="auto" w:sz="2" w:space="0"/>
              <w:right w:val="single" w:color="auto" w:sz="2" w:space="0"/>
            </w:tcBorders>
            <w:shd w:val="clear" w:color="auto" w:fill="D3D3D3"/>
            <w:vAlign w:val="center"/>
          </w:tcPr>
          <w:p w14:paraId="507B0B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本期其他减少金额</w:t>
            </w:r>
          </w:p>
        </w:tc>
        <w:tc>
          <w:tcPr>
            <w:tcW w:w="556" w:type="pct"/>
            <w:tcBorders>
              <w:top w:val="single" w:color="auto" w:sz="2" w:space="0"/>
              <w:left w:val="single" w:color="auto" w:sz="2" w:space="0"/>
              <w:bottom w:val="single" w:color="auto" w:sz="2" w:space="0"/>
              <w:right w:val="single" w:color="auto" w:sz="2" w:space="0"/>
            </w:tcBorders>
            <w:shd w:val="clear" w:color="auto" w:fill="D3D3D3"/>
            <w:vAlign w:val="center"/>
          </w:tcPr>
          <w:p w14:paraId="3C9A73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30" w:type="pct"/>
            <w:tcBorders>
              <w:top w:val="single" w:color="auto" w:sz="2" w:space="0"/>
              <w:left w:val="single" w:color="auto" w:sz="2" w:space="0"/>
              <w:bottom w:val="single" w:color="auto" w:sz="2" w:space="0"/>
              <w:right w:val="single" w:color="auto" w:sz="2" w:space="0"/>
            </w:tcBorders>
            <w:shd w:val="clear" w:color="auto" w:fill="D3D3D3"/>
            <w:vAlign w:val="center"/>
          </w:tcPr>
          <w:p w14:paraId="3EF12D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工程累计投入占预算比例</w:t>
            </w:r>
          </w:p>
        </w:tc>
        <w:tc>
          <w:tcPr>
            <w:tcW w:w="330" w:type="pct"/>
            <w:tcBorders>
              <w:top w:val="single" w:color="auto" w:sz="2" w:space="0"/>
              <w:left w:val="single" w:color="auto" w:sz="2" w:space="0"/>
              <w:bottom w:val="single" w:color="auto" w:sz="2" w:space="0"/>
              <w:right w:val="single" w:color="auto" w:sz="2" w:space="0"/>
            </w:tcBorders>
            <w:shd w:val="clear" w:color="auto" w:fill="D3D3D3"/>
            <w:vAlign w:val="center"/>
          </w:tcPr>
          <w:p w14:paraId="6AC3B8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工程进度</w:t>
            </w:r>
          </w:p>
        </w:tc>
        <w:tc>
          <w:tcPr>
            <w:tcW w:w="431" w:type="pct"/>
            <w:tcBorders>
              <w:top w:val="single" w:color="auto" w:sz="2" w:space="0"/>
              <w:left w:val="single" w:color="auto" w:sz="2" w:space="0"/>
              <w:bottom w:val="single" w:color="auto" w:sz="2" w:space="0"/>
              <w:right w:val="single" w:color="auto" w:sz="2" w:space="0"/>
            </w:tcBorders>
            <w:shd w:val="clear" w:color="auto" w:fill="D3D3D3"/>
            <w:vAlign w:val="center"/>
          </w:tcPr>
          <w:p w14:paraId="2C721A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利息资本化累计金额</w:t>
            </w:r>
          </w:p>
        </w:tc>
        <w:tc>
          <w:tcPr>
            <w:tcW w:w="431" w:type="pct"/>
            <w:tcBorders>
              <w:top w:val="single" w:color="auto" w:sz="2" w:space="0"/>
              <w:left w:val="single" w:color="auto" w:sz="2" w:space="0"/>
              <w:bottom w:val="single" w:color="auto" w:sz="2" w:space="0"/>
              <w:right w:val="single" w:color="auto" w:sz="2" w:space="0"/>
            </w:tcBorders>
            <w:shd w:val="clear" w:color="auto" w:fill="D3D3D3"/>
            <w:vAlign w:val="center"/>
          </w:tcPr>
          <w:p w14:paraId="1A0EE15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其中：本期利息资本化金额</w:t>
            </w:r>
          </w:p>
        </w:tc>
        <w:tc>
          <w:tcPr>
            <w:tcW w:w="365" w:type="pct"/>
            <w:tcBorders>
              <w:top w:val="single" w:color="auto" w:sz="2" w:space="0"/>
              <w:left w:val="single" w:color="auto" w:sz="2" w:space="0"/>
              <w:bottom w:val="single" w:color="auto" w:sz="2" w:space="0"/>
              <w:right w:val="single" w:color="auto" w:sz="2" w:space="0"/>
            </w:tcBorders>
            <w:shd w:val="clear" w:color="auto" w:fill="D3D3D3"/>
            <w:vAlign w:val="center"/>
          </w:tcPr>
          <w:p w14:paraId="24B4F0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本期利息资本化率</w:t>
            </w:r>
          </w:p>
        </w:tc>
        <w:tc>
          <w:tcPr>
            <w:tcW w:w="174" w:type="pct"/>
            <w:tcBorders>
              <w:top w:val="single" w:color="auto" w:sz="2" w:space="0"/>
              <w:left w:val="single" w:color="auto" w:sz="2" w:space="0"/>
              <w:bottom w:val="single" w:color="auto" w:sz="2" w:space="0"/>
              <w:right w:val="single" w:color="auto" w:sz="2" w:space="0"/>
            </w:tcBorders>
            <w:shd w:val="clear" w:color="auto" w:fill="D3D3D3"/>
            <w:vAlign w:val="center"/>
          </w:tcPr>
          <w:p w14:paraId="37E3290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资金来源</w:t>
            </w:r>
          </w:p>
        </w:tc>
      </w:tr>
      <w:tr w14:paraId="6C75F9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vAlign w:val="center"/>
          </w:tcPr>
          <w:p w14:paraId="34EBCA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海逸7楼办公装修+弱电项目</w:t>
            </w:r>
          </w:p>
        </w:tc>
        <w:tc>
          <w:tcPr>
            <w:tcW w:w="556" w:type="pct"/>
            <w:tcBorders>
              <w:top w:val="single" w:color="auto" w:sz="2" w:space="0"/>
              <w:left w:val="single" w:color="auto" w:sz="2" w:space="0"/>
              <w:bottom w:val="single" w:color="auto" w:sz="2" w:space="0"/>
              <w:right w:val="single" w:color="auto" w:sz="2" w:space="0"/>
            </w:tcBorders>
            <w:vAlign w:val="center"/>
          </w:tcPr>
          <w:p w14:paraId="497AC82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860,000.00</w:t>
            </w:r>
          </w:p>
        </w:tc>
        <w:tc>
          <w:tcPr>
            <w:tcW w:w="174" w:type="pct"/>
            <w:tcBorders>
              <w:top w:val="single" w:color="auto" w:sz="2" w:space="0"/>
              <w:left w:val="single" w:color="auto" w:sz="2" w:space="0"/>
              <w:bottom w:val="single" w:color="auto" w:sz="2" w:space="0"/>
              <w:right w:val="single" w:color="auto" w:sz="2" w:space="0"/>
            </w:tcBorders>
            <w:vAlign w:val="center"/>
          </w:tcPr>
          <w:p w14:paraId="60613C2B">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5C47631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509,080.28</w:t>
            </w:r>
          </w:p>
        </w:tc>
        <w:tc>
          <w:tcPr>
            <w:tcW w:w="520" w:type="pct"/>
            <w:tcBorders>
              <w:top w:val="single" w:color="auto" w:sz="2" w:space="0"/>
              <w:left w:val="single" w:color="auto" w:sz="2" w:space="0"/>
              <w:bottom w:val="single" w:color="auto" w:sz="2" w:space="0"/>
              <w:right w:val="single" w:color="auto" w:sz="2" w:space="0"/>
            </w:tcBorders>
            <w:vAlign w:val="center"/>
          </w:tcPr>
          <w:p w14:paraId="0F0AF189">
            <w:pPr>
              <w:spacing w:line="240" w:lineRule="exact"/>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4E2909A6">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472DC582">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509,080.28</w:t>
            </w:r>
          </w:p>
        </w:tc>
        <w:tc>
          <w:tcPr>
            <w:tcW w:w="330" w:type="pct"/>
            <w:tcBorders>
              <w:top w:val="single" w:color="auto" w:sz="2" w:space="0"/>
              <w:left w:val="single" w:color="auto" w:sz="2" w:space="0"/>
              <w:bottom w:val="single" w:color="auto" w:sz="2" w:space="0"/>
              <w:right w:val="single" w:color="auto" w:sz="2" w:space="0"/>
            </w:tcBorders>
            <w:vAlign w:val="center"/>
          </w:tcPr>
          <w:p w14:paraId="6763829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59.20%</w:t>
            </w:r>
          </w:p>
        </w:tc>
        <w:tc>
          <w:tcPr>
            <w:tcW w:w="330" w:type="pct"/>
            <w:tcBorders>
              <w:top w:val="single" w:color="auto" w:sz="2" w:space="0"/>
              <w:left w:val="single" w:color="auto" w:sz="2" w:space="0"/>
              <w:bottom w:val="single" w:color="auto" w:sz="2" w:space="0"/>
              <w:right w:val="single" w:color="auto" w:sz="2" w:space="0"/>
            </w:tcBorders>
            <w:vAlign w:val="center"/>
          </w:tcPr>
          <w:p w14:paraId="00113E21">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59.20%</w:t>
            </w:r>
          </w:p>
        </w:tc>
        <w:tc>
          <w:tcPr>
            <w:tcW w:w="431" w:type="pct"/>
            <w:tcBorders>
              <w:top w:val="single" w:color="auto" w:sz="2" w:space="0"/>
              <w:left w:val="single" w:color="auto" w:sz="2" w:space="0"/>
              <w:bottom w:val="single" w:color="auto" w:sz="2" w:space="0"/>
              <w:right w:val="single" w:color="auto" w:sz="2" w:space="0"/>
            </w:tcBorders>
            <w:vAlign w:val="center"/>
          </w:tcPr>
          <w:p w14:paraId="37CB839D">
            <w:pPr>
              <w:jc w:val="right"/>
              <w:rPr>
                <w:rFonts w:ascii="Times New Roman" w:hAnsi="Times New Roman" w:cs="Times New Roman" w:eastAsiaTheme="majorEastAsia"/>
                <w:sz w:val="15"/>
                <w:szCs w:val="15"/>
              </w:rPr>
            </w:pPr>
          </w:p>
        </w:tc>
        <w:tc>
          <w:tcPr>
            <w:tcW w:w="431" w:type="pct"/>
            <w:tcBorders>
              <w:top w:val="single" w:color="auto" w:sz="2" w:space="0"/>
              <w:left w:val="single" w:color="auto" w:sz="2" w:space="0"/>
              <w:bottom w:val="single" w:color="auto" w:sz="2" w:space="0"/>
              <w:right w:val="single" w:color="auto" w:sz="2" w:space="0"/>
            </w:tcBorders>
            <w:vAlign w:val="center"/>
          </w:tcPr>
          <w:p w14:paraId="39E50A14">
            <w:pPr>
              <w:jc w:val="right"/>
              <w:rPr>
                <w:rFonts w:ascii="Times New Roman" w:hAnsi="Times New Roman" w:cs="Times New Roman" w:eastAsiaTheme="majorEastAsia"/>
                <w:sz w:val="15"/>
                <w:szCs w:val="15"/>
              </w:rPr>
            </w:pPr>
          </w:p>
        </w:tc>
        <w:tc>
          <w:tcPr>
            <w:tcW w:w="365" w:type="pct"/>
            <w:tcBorders>
              <w:top w:val="single" w:color="auto" w:sz="2" w:space="0"/>
              <w:left w:val="single" w:color="auto" w:sz="2" w:space="0"/>
              <w:bottom w:val="single" w:color="auto" w:sz="2" w:space="0"/>
              <w:right w:val="single" w:color="auto" w:sz="2" w:space="0"/>
            </w:tcBorders>
            <w:vAlign w:val="center"/>
          </w:tcPr>
          <w:p w14:paraId="7A4FF8E1">
            <w:pPr>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63B45938">
            <w:pPr>
              <w:widowControl/>
              <w:textAlignment w:val="center"/>
              <w:rPr>
                <w:rFonts w:ascii="Times New Roman" w:hAnsi="Times New Roman" w:cs="Times New Roman" w:eastAsiaTheme="majorEastAsia"/>
                <w:sz w:val="18"/>
                <w:szCs w:val="18"/>
              </w:rPr>
            </w:pPr>
            <w:r>
              <w:rPr>
                <w:rFonts w:ascii="Times New Roman" w:hAnsi="Times New Roman" w:eastAsia="宋体" w:cs="Times New Roman"/>
                <w:color w:val="000000"/>
                <w:kern w:val="0"/>
                <w:sz w:val="18"/>
                <w:szCs w:val="18"/>
                <w:lang w:bidi="ar"/>
              </w:rPr>
              <w:t>其他</w:t>
            </w:r>
          </w:p>
        </w:tc>
      </w:tr>
      <w:tr w14:paraId="1A04F4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vAlign w:val="center"/>
          </w:tcPr>
          <w:p w14:paraId="6F42E6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天宝实业分布式光伏项目发电项目</w:t>
            </w:r>
          </w:p>
        </w:tc>
        <w:tc>
          <w:tcPr>
            <w:tcW w:w="556" w:type="pct"/>
            <w:tcBorders>
              <w:top w:val="single" w:color="auto" w:sz="2" w:space="0"/>
              <w:left w:val="single" w:color="auto" w:sz="2" w:space="0"/>
              <w:bottom w:val="single" w:color="auto" w:sz="2" w:space="0"/>
              <w:right w:val="single" w:color="auto" w:sz="2" w:space="0"/>
            </w:tcBorders>
            <w:vAlign w:val="center"/>
          </w:tcPr>
          <w:p w14:paraId="06C847E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71,253,434.90</w:t>
            </w:r>
          </w:p>
        </w:tc>
        <w:tc>
          <w:tcPr>
            <w:tcW w:w="174" w:type="pct"/>
            <w:tcBorders>
              <w:top w:val="single" w:color="auto" w:sz="2" w:space="0"/>
              <w:left w:val="single" w:color="auto" w:sz="2" w:space="0"/>
              <w:bottom w:val="single" w:color="auto" w:sz="2" w:space="0"/>
              <w:right w:val="single" w:color="auto" w:sz="2" w:space="0"/>
            </w:tcBorders>
            <w:vAlign w:val="center"/>
          </w:tcPr>
          <w:p w14:paraId="0DAEF485">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0F0CD35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53,326,359.55</w:t>
            </w:r>
          </w:p>
        </w:tc>
        <w:tc>
          <w:tcPr>
            <w:tcW w:w="520" w:type="pct"/>
            <w:tcBorders>
              <w:top w:val="single" w:color="auto" w:sz="2" w:space="0"/>
              <w:left w:val="single" w:color="auto" w:sz="2" w:space="0"/>
              <w:bottom w:val="single" w:color="auto" w:sz="2" w:space="0"/>
              <w:right w:val="single" w:color="auto" w:sz="2" w:space="0"/>
            </w:tcBorders>
            <w:vAlign w:val="center"/>
          </w:tcPr>
          <w:p w14:paraId="0A926E7B">
            <w:pPr>
              <w:spacing w:line="240" w:lineRule="exact"/>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7CBD9681">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5DAF6DA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53,326,359.55</w:t>
            </w:r>
          </w:p>
        </w:tc>
        <w:tc>
          <w:tcPr>
            <w:tcW w:w="330" w:type="pct"/>
            <w:tcBorders>
              <w:top w:val="single" w:color="auto" w:sz="2" w:space="0"/>
              <w:left w:val="single" w:color="auto" w:sz="2" w:space="0"/>
              <w:bottom w:val="single" w:color="auto" w:sz="2" w:space="0"/>
              <w:right w:val="single" w:color="auto" w:sz="2" w:space="0"/>
            </w:tcBorders>
            <w:vAlign w:val="center"/>
          </w:tcPr>
          <w:p w14:paraId="1F6485D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74.84%</w:t>
            </w:r>
          </w:p>
        </w:tc>
        <w:tc>
          <w:tcPr>
            <w:tcW w:w="330" w:type="pct"/>
            <w:tcBorders>
              <w:top w:val="single" w:color="auto" w:sz="2" w:space="0"/>
              <w:left w:val="single" w:color="auto" w:sz="2" w:space="0"/>
              <w:bottom w:val="single" w:color="auto" w:sz="2" w:space="0"/>
              <w:right w:val="single" w:color="auto" w:sz="2" w:space="0"/>
            </w:tcBorders>
            <w:vAlign w:val="center"/>
          </w:tcPr>
          <w:p w14:paraId="10CA57E4">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97.00%</w:t>
            </w:r>
          </w:p>
        </w:tc>
        <w:tc>
          <w:tcPr>
            <w:tcW w:w="431" w:type="pct"/>
            <w:tcBorders>
              <w:top w:val="single" w:color="auto" w:sz="2" w:space="0"/>
              <w:left w:val="single" w:color="auto" w:sz="2" w:space="0"/>
              <w:bottom w:val="single" w:color="auto" w:sz="2" w:space="0"/>
              <w:right w:val="single" w:color="auto" w:sz="2" w:space="0"/>
            </w:tcBorders>
            <w:vAlign w:val="center"/>
          </w:tcPr>
          <w:p w14:paraId="16EF021F">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390,010.17</w:t>
            </w:r>
          </w:p>
        </w:tc>
        <w:tc>
          <w:tcPr>
            <w:tcW w:w="431" w:type="pct"/>
            <w:tcBorders>
              <w:top w:val="single" w:color="auto" w:sz="2" w:space="0"/>
              <w:left w:val="single" w:color="auto" w:sz="2" w:space="0"/>
              <w:bottom w:val="single" w:color="auto" w:sz="2" w:space="0"/>
              <w:right w:val="single" w:color="auto" w:sz="2" w:space="0"/>
            </w:tcBorders>
            <w:vAlign w:val="center"/>
          </w:tcPr>
          <w:p w14:paraId="216482AD">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390,010.17</w:t>
            </w:r>
          </w:p>
        </w:tc>
        <w:tc>
          <w:tcPr>
            <w:tcW w:w="365" w:type="pct"/>
            <w:tcBorders>
              <w:top w:val="single" w:color="auto" w:sz="2" w:space="0"/>
              <w:left w:val="single" w:color="auto" w:sz="2" w:space="0"/>
              <w:bottom w:val="single" w:color="auto" w:sz="2" w:space="0"/>
              <w:right w:val="single" w:color="auto" w:sz="2" w:space="0"/>
            </w:tcBorders>
            <w:vAlign w:val="center"/>
          </w:tcPr>
          <w:p w14:paraId="57F1C68A">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100.00%</w:t>
            </w:r>
          </w:p>
        </w:tc>
        <w:tc>
          <w:tcPr>
            <w:tcW w:w="174" w:type="pct"/>
            <w:tcBorders>
              <w:top w:val="single" w:color="auto" w:sz="2" w:space="0"/>
              <w:left w:val="single" w:color="auto" w:sz="2" w:space="0"/>
              <w:bottom w:val="single" w:color="auto" w:sz="2" w:space="0"/>
              <w:right w:val="single" w:color="auto" w:sz="2" w:space="0"/>
            </w:tcBorders>
            <w:vAlign w:val="center"/>
          </w:tcPr>
          <w:p w14:paraId="3FF18E23">
            <w:pPr>
              <w:widowControl/>
              <w:textAlignment w:val="center"/>
              <w:rPr>
                <w:rFonts w:ascii="Times New Roman" w:hAnsi="Times New Roman" w:cs="Times New Roman" w:eastAsiaTheme="majorEastAsia"/>
                <w:sz w:val="18"/>
                <w:szCs w:val="18"/>
              </w:rPr>
            </w:pPr>
            <w:r>
              <w:rPr>
                <w:rFonts w:ascii="Times New Roman" w:hAnsi="Times New Roman" w:eastAsia="宋体" w:cs="Times New Roman"/>
                <w:color w:val="000000"/>
                <w:kern w:val="0"/>
                <w:sz w:val="18"/>
                <w:szCs w:val="18"/>
                <w:lang w:bidi="ar"/>
              </w:rPr>
              <w:t>其他</w:t>
            </w:r>
          </w:p>
        </w:tc>
      </w:tr>
      <w:tr w14:paraId="2F146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vAlign w:val="center"/>
          </w:tcPr>
          <w:p w14:paraId="0D00019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广西锦江火浪3.379MWp屋顶分布式光伏项目</w:t>
            </w:r>
          </w:p>
        </w:tc>
        <w:tc>
          <w:tcPr>
            <w:tcW w:w="556" w:type="pct"/>
            <w:tcBorders>
              <w:top w:val="single" w:color="auto" w:sz="2" w:space="0"/>
              <w:left w:val="single" w:color="auto" w:sz="2" w:space="0"/>
              <w:bottom w:val="single" w:color="auto" w:sz="2" w:space="0"/>
              <w:right w:val="single" w:color="auto" w:sz="2" w:space="0"/>
            </w:tcBorders>
            <w:vAlign w:val="center"/>
          </w:tcPr>
          <w:p w14:paraId="35A03D7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10,474,900.00</w:t>
            </w:r>
          </w:p>
        </w:tc>
        <w:tc>
          <w:tcPr>
            <w:tcW w:w="174" w:type="pct"/>
            <w:tcBorders>
              <w:top w:val="single" w:color="auto" w:sz="2" w:space="0"/>
              <w:left w:val="single" w:color="auto" w:sz="2" w:space="0"/>
              <w:bottom w:val="single" w:color="auto" w:sz="2" w:space="0"/>
              <w:right w:val="single" w:color="auto" w:sz="2" w:space="0"/>
            </w:tcBorders>
            <w:vAlign w:val="center"/>
          </w:tcPr>
          <w:p w14:paraId="11FBBBDE">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77548D0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2,654,672.05</w:t>
            </w:r>
          </w:p>
        </w:tc>
        <w:tc>
          <w:tcPr>
            <w:tcW w:w="520" w:type="pct"/>
            <w:tcBorders>
              <w:top w:val="single" w:color="auto" w:sz="2" w:space="0"/>
              <w:left w:val="single" w:color="auto" w:sz="2" w:space="0"/>
              <w:bottom w:val="single" w:color="auto" w:sz="2" w:space="0"/>
              <w:right w:val="single" w:color="auto" w:sz="2" w:space="0"/>
            </w:tcBorders>
            <w:vAlign w:val="center"/>
          </w:tcPr>
          <w:p w14:paraId="3B3C3017">
            <w:pPr>
              <w:spacing w:line="240" w:lineRule="exact"/>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17AD249B">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27408A9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2,654,672.05</w:t>
            </w:r>
          </w:p>
        </w:tc>
        <w:tc>
          <w:tcPr>
            <w:tcW w:w="330" w:type="pct"/>
            <w:tcBorders>
              <w:top w:val="single" w:color="auto" w:sz="2" w:space="0"/>
              <w:left w:val="single" w:color="auto" w:sz="2" w:space="0"/>
              <w:bottom w:val="single" w:color="auto" w:sz="2" w:space="0"/>
              <w:right w:val="single" w:color="auto" w:sz="2" w:space="0"/>
            </w:tcBorders>
            <w:vAlign w:val="center"/>
          </w:tcPr>
          <w:p w14:paraId="194ED21B">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25.34%</w:t>
            </w:r>
          </w:p>
        </w:tc>
        <w:tc>
          <w:tcPr>
            <w:tcW w:w="330" w:type="pct"/>
            <w:tcBorders>
              <w:top w:val="single" w:color="auto" w:sz="2" w:space="0"/>
              <w:left w:val="single" w:color="auto" w:sz="2" w:space="0"/>
              <w:bottom w:val="single" w:color="auto" w:sz="2" w:space="0"/>
              <w:right w:val="single" w:color="auto" w:sz="2" w:space="0"/>
            </w:tcBorders>
            <w:vAlign w:val="center"/>
          </w:tcPr>
          <w:p w14:paraId="39C767A3">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25.34%</w:t>
            </w:r>
          </w:p>
        </w:tc>
        <w:tc>
          <w:tcPr>
            <w:tcW w:w="431" w:type="pct"/>
            <w:tcBorders>
              <w:top w:val="single" w:color="auto" w:sz="2" w:space="0"/>
              <w:left w:val="single" w:color="auto" w:sz="2" w:space="0"/>
              <w:bottom w:val="single" w:color="auto" w:sz="2" w:space="0"/>
              <w:right w:val="single" w:color="auto" w:sz="2" w:space="0"/>
            </w:tcBorders>
            <w:vAlign w:val="center"/>
          </w:tcPr>
          <w:p w14:paraId="3448145E">
            <w:pPr>
              <w:jc w:val="right"/>
              <w:rPr>
                <w:rFonts w:ascii="Times New Roman" w:hAnsi="Times New Roman" w:cs="Times New Roman" w:eastAsiaTheme="majorEastAsia"/>
                <w:sz w:val="15"/>
                <w:szCs w:val="15"/>
              </w:rPr>
            </w:pPr>
          </w:p>
        </w:tc>
        <w:tc>
          <w:tcPr>
            <w:tcW w:w="431" w:type="pct"/>
            <w:tcBorders>
              <w:top w:val="single" w:color="auto" w:sz="2" w:space="0"/>
              <w:left w:val="single" w:color="auto" w:sz="2" w:space="0"/>
              <w:bottom w:val="single" w:color="auto" w:sz="2" w:space="0"/>
              <w:right w:val="single" w:color="auto" w:sz="2" w:space="0"/>
            </w:tcBorders>
            <w:vAlign w:val="center"/>
          </w:tcPr>
          <w:p w14:paraId="060F7567">
            <w:pPr>
              <w:jc w:val="right"/>
              <w:rPr>
                <w:rFonts w:ascii="Times New Roman" w:hAnsi="Times New Roman" w:cs="Times New Roman" w:eastAsiaTheme="majorEastAsia"/>
                <w:sz w:val="15"/>
                <w:szCs w:val="15"/>
              </w:rPr>
            </w:pPr>
          </w:p>
        </w:tc>
        <w:tc>
          <w:tcPr>
            <w:tcW w:w="365" w:type="pct"/>
            <w:tcBorders>
              <w:top w:val="single" w:color="auto" w:sz="2" w:space="0"/>
              <w:left w:val="single" w:color="auto" w:sz="2" w:space="0"/>
              <w:bottom w:val="single" w:color="auto" w:sz="2" w:space="0"/>
              <w:right w:val="single" w:color="auto" w:sz="2" w:space="0"/>
            </w:tcBorders>
            <w:vAlign w:val="center"/>
          </w:tcPr>
          <w:p w14:paraId="6075F24B">
            <w:pPr>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3B5E70A3">
            <w:pPr>
              <w:widowControl/>
              <w:textAlignment w:val="center"/>
              <w:rPr>
                <w:rFonts w:ascii="Times New Roman" w:hAnsi="Times New Roman" w:cs="Times New Roman" w:eastAsiaTheme="majorEastAsia"/>
                <w:sz w:val="18"/>
                <w:szCs w:val="18"/>
              </w:rPr>
            </w:pPr>
            <w:r>
              <w:rPr>
                <w:rFonts w:ascii="Times New Roman" w:hAnsi="Times New Roman" w:eastAsia="宋体" w:cs="Times New Roman"/>
                <w:color w:val="000000"/>
                <w:kern w:val="0"/>
                <w:sz w:val="18"/>
                <w:szCs w:val="18"/>
                <w:lang w:bidi="ar"/>
              </w:rPr>
              <w:t>其他</w:t>
            </w:r>
          </w:p>
        </w:tc>
      </w:tr>
      <w:tr w14:paraId="0D12D7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vAlign w:val="center"/>
          </w:tcPr>
          <w:p w14:paraId="6DDAC6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深圳天亿马公司与某客户算力网络集群服务项目</w:t>
            </w:r>
          </w:p>
        </w:tc>
        <w:tc>
          <w:tcPr>
            <w:tcW w:w="556" w:type="pct"/>
            <w:tcBorders>
              <w:top w:val="single" w:color="auto" w:sz="2" w:space="0"/>
              <w:left w:val="single" w:color="auto" w:sz="2" w:space="0"/>
              <w:bottom w:val="single" w:color="auto" w:sz="2" w:space="0"/>
              <w:right w:val="single" w:color="auto" w:sz="2" w:space="0"/>
            </w:tcBorders>
            <w:vAlign w:val="center"/>
          </w:tcPr>
          <w:p w14:paraId="205A6DE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332,500,000.00</w:t>
            </w:r>
          </w:p>
        </w:tc>
        <w:tc>
          <w:tcPr>
            <w:tcW w:w="174" w:type="pct"/>
            <w:tcBorders>
              <w:top w:val="single" w:color="auto" w:sz="2" w:space="0"/>
              <w:left w:val="single" w:color="auto" w:sz="2" w:space="0"/>
              <w:bottom w:val="single" w:color="auto" w:sz="2" w:space="0"/>
              <w:right w:val="single" w:color="auto" w:sz="2" w:space="0"/>
            </w:tcBorders>
            <w:vAlign w:val="center"/>
          </w:tcPr>
          <w:p w14:paraId="5843762B">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6E161A11">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294,247,787.62</w:t>
            </w:r>
          </w:p>
        </w:tc>
        <w:tc>
          <w:tcPr>
            <w:tcW w:w="520" w:type="pct"/>
            <w:tcBorders>
              <w:top w:val="single" w:color="auto" w:sz="2" w:space="0"/>
              <w:left w:val="single" w:color="auto" w:sz="2" w:space="0"/>
              <w:bottom w:val="single" w:color="auto" w:sz="2" w:space="0"/>
              <w:right w:val="single" w:color="auto" w:sz="2" w:space="0"/>
            </w:tcBorders>
            <w:vAlign w:val="center"/>
          </w:tcPr>
          <w:p w14:paraId="7BA7012E">
            <w:pPr>
              <w:spacing w:line="240" w:lineRule="exact"/>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728AB91C">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7C4C62C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294,247,787.62</w:t>
            </w:r>
          </w:p>
        </w:tc>
        <w:tc>
          <w:tcPr>
            <w:tcW w:w="330" w:type="pct"/>
            <w:tcBorders>
              <w:top w:val="single" w:color="auto" w:sz="2" w:space="0"/>
              <w:left w:val="single" w:color="auto" w:sz="2" w:space="0"/>
              <w:bottom w:val="single" w:color="auto" w:sz="2" w:space="0"/>
              <w:right w:val="single" w:color="auto" w:sz="2" w:space="0"/>
            </w:tcBorders>
            <w:vAlign w:val="center"/>
          </w:tcPr>
          <w:p w14:paraId="07B8A92E">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88.50%</w:t>
            </w:r>
          </w:p>
        </w:tc>
        <w:tc>
          <w:tcPr>
            <w:tcW w:w="330" w:type="pct"/>
            <w:tcBorders>
              <w:top w:val="single" w:color="auto" w:sz="2" w:space="0"/>
              <w:left w:val="single" w:color="auto" w:sz="2" w:space="0"/>
              <w:bottom w:val="single" w:color="auto" w:sz="2" w:space="0"/>
              <w:right w:val="single" w:color="auto" w:sz="2" w:space="0"/>
            </w:tcBorders>
            <w:vAlign w:val="center"/>
          </w:tcPr>
          <w:p w14:paraId="7D2F526B">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88.50%</w:t>
            </w:r>
          </w:p>
        </w:tc>
        <w:tc>
          <w:tcPr>
            <w:tcW w:w="431" w:type="pct"/>
            <w:tcBorders>
              <w:top w:val="single" w:color="auto" w:sz="2" w:space="0"/>
              <w:left w:val="single" w:color="auto" w:sz="2" w:space="0"/>
              <w:bottom w:val="single" w:color="auto" w:sz="2" w:space="0"/>
              <w:right w:val="single" w:color="auto" w:sz="2" w:space="0"/>
            </w:tcBorders>
            <w:vAlign w:val="center"/>
          </w:tcPr>
          <w:p w14:paraId="1C4052F6">
            <w:pPr>
              <w:jc w:val="right"/>
              <w:rPr>
                <w:rFonts w:ascii="Times New Roman" w:hAnsi="Times New Roman" w:cs="Times New Roman" w:eastAsiaTheme="majorEastAsia"/>
                <w:sz w:val="15"/>
                <w:szCs w:val="15"/>
              </w:rPr>
            </w:pPr>
          </w:p>
        </w:tc>
        <w:tc>
          <w:tcPr>
            <w:tcW w:w="431" w:type="pct"/>
            <w:tcBorders>
              <w:top w:val="single" w:color="auto" w:sz="2" w:space="0"/>
              <w:left w:val="single" w:color="auto" w:sz="2" w:space="0"/>
              <w:bottom w:val="single" w:color="auto" w:sz="2" w:space="0"/>
              <w:right w:val="single" w:color="auto" w:sz="2" w:space="0"/>
            </w:tcBorders>
            <w:vAlign w:val="center"/>
          </w:tcPr>
          <w:p w14:paraId="460974AE">
            <w:pPr>
              <w:jc w:val="right"/>
              <w:rPr>
                <w:rFonts w:ascii="Times New Roman" w:hAnsi="Times New Roman" w:cs="Times New Roman" w:eastAsiaTheme="majorEastAsia"/>
                <w:sz w:val="15"/>
                <w:szCs w:val="15"/>
              </w:rPr>
            </w:pPr>
          </w:p>
        </w:tc>
        <w:tc>
          <w:tcPr>
            <w:tcW w:w="365" w:type="pct"/>
            <w:tcBorders>
              <w:top w:val="single" w:color="auto" w:sz="2" w:space="0"/>
              <w:left w:val="single" w:color="auto" w:sz="2" w:space="0"/>
              <w:bottom w:val="single" w:color="auto" w:sz="2" w:space="0"/>
              <w:right w:val="single" w:color="auto" w:sz="2" w:space="0"/>
            </w:tcBorders>
            <w:vAlign w:val="center"/>
          </w:tcPr>
          <w:p w14:paraId="18B7FF1E">
            <w:pPr>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vAlign w:val="center"/>
          </w:tcPr>
          <w:p w14:paraId="6E7FDA4B">
            <w:pPr>
              <w:widowControl/>
              <w:textAlignment w:val="center"/>
              <w:rPr>
                <w:rFonts w:ascii="Times New Roman" w:hAnsi="Times New Roman" w:cs="Times New Roman" w:eastAsiaTheme="majorEastAsia"/>
                <w:sz w:val="18"/>
                <w:szCs w:val="18"/>
              </w:rPr>
            </w:pPr>
            <w:r>
              <w:rPr>
                <w:rFonts w:ascii="Times New Roman" w:hAnsi="Times New Roman" w:eastAsia="宋体" w:cs="Times New Roman"/>
                <w:color w:val="000000"/>
                <w:kern w:val="0"/>
                <w:sz w:val="18"/>
                <w:szCs w:val="18"/>
                <w:lang w:bidi="ar"/>
              </w:rPr>
              <w:t>其他</w:t>
            </w:r>
          </w:p>
        </w:tc>
      </w:tr>
      <w:tr w14:paraId="6E8D4A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vAlign w:val="center"/>
          </w:tcPr>
          <w:p w14:paraId="08E116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山东有道轮胎有限公司11.9MW分布式光伏发电项目</w:t>
            </w:r>
          </w:p>
        </w:tc>
        <w:tc>
          <w:tcPr>
            <w:tcW w:w="556" w:type="pct"/>
            <w:tcBorders>
              <w:top w:val="single" w:color="auto" w:sz="2" w:space="0"/>
              <w:left w:val="single" w:color="auto" w:sz="2" w:space="0"/>
              <w:bottom w:val="single" w:color="auto" w:sz="2" w:space="0"/>
              <w:right w:val="single" w:color="auto" w:sz="2" w:space="0"/>
            </w:tcBorders>
            <w:vAlign w:val="center"/>
          </w:tcPr>
          <w:p w14:paraId="36DF6A9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49,074,900.00</w:t>
            </w:r>
          </w:p>
        </w:tc>
        <w:tc>
          <w:tcPr>
            <w:tcW w:w="174" w:type="pct"/>
            <w:tcBorders>
              <w:top w:val="single" w:color="auto" w:sz="2" w:space="0"/>
              <w:left w:val="single" w:color="auto" w:sz="2" w:space="0"/>
              <w:bottom w:val="single" w:color="auto" w:sz="2" w:space="0"/>
              <w:right w:val="single" w:color="auto" w:sz="2" w:space="0"/>
            </w:tcBorders>
            <w:vAlign w:val="center"/>
          </w:tcPr>
          <w:p w14:paraId="13FE9CED">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75F6BC37">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42,406,157.44</w:t>
            </w:r>
          </w:p>
        </w:tc>
        <w:tc>
          <w:tcPr>
            <w:tcW w:w="520" w:type="pct"/>
            <w:tcBorders>
              <w:top w:val="single" w:color="auto" w:sz="2" w:space="0"/>
              <w:left w:val="single" w:color="auto" w:sz="2" w:space="0"/>
              <w:bottom w:val="single" w:color="auto" w:sz="2" w:space="0"/>
              <w:right w:val="single" w:color="auto" w:sz="2" w:space="0"/>
            </w:tcBorders>
            <w:vAlign w:val="center"/>
          </w:tcPr>
          <w:p w14:paraId="7E872843">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42,406,157.44</w:t>
            </w:r>
          </w:p>
        </w:tc>
        <w:tc>
          <w:tcPr>
            <w:tcW w:w="174" w:type="pct"/>
            <w:tcBorders>
              <w:top w:val="single" w:color="auto" w:sz="2" w:space="0"/>
              <w:left w:val="single" w:color="auto" w:sz="2" w:space="0"/>
              <w:bottom w:val="single" w:color="auto" w:sz="2" w:space="0"/>
              <w:right w:val="single" w:color="auto" w:sz="2" w:space="0"/>
            </w:tcBorders>
            <w:vAlign w:val="center"/>
          </w:tcPr>
          <w:p w14:paraId="08B1CAE8">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7C08FB6A">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0.00</w:t>
            </w:r>
          </w:p>
        </w:tc>
        <w:tc>
          <w:tcPr>
            <w:tcW w:w="330" w:type="pct"/>
            <w:tcBorders>
              <w:top w:val="single" w:color="auto" w:sz="2" w:space="0"/>
              <w:left w:val="single" w:color="auto" w:sz="2" w:space="0"/>
              <w:bottom w:val="single" w:color="auto" w:sz="2" w:space="0"/>
              <w:right w:val="single" w:color="auto" w:sz="2" w:space="0"/>
            </w:tcBorders>
            <w:vAlign w:val="center"/>
          </w:tcPr>
          <w:p w14:paraId="308EA034">
            <w:pPr>
              <w:spacing w:line="240" w:lineRule="exact"/>
              <w:jc w:val="right"/>
              <w:rPr>
                <w:rFonts w:ascii="Times New Roman" w:hAnsi="Times New Roman" w:cs="Times New Roman" w:eastAsiaTheme="majorEastAsia"/>
                <w:sz w:val="15"/>
                <w:szCs w:val="15"/>
              </w:rPr>
            </w:pPr>
          </w:p>
        </w:tc>
        <w:tc>
          <w:tcPr>
            <w:tcW w:w="330" w:type="pct"/>
            <w:tcBorders>
              <w:top w:val="single" w:color="auto" w:sz="2" w:space="0"/>
              <w:left w:val="single" w:color="auto" w:sz="2" w:space="0"/>
              <w:bottom w:val="single" w:color="auto" w:sz="2" w:space="0"/>
              <w:right w:val="single" w:color="auto" w:sz="2" w:space="0"/>
            </w:tcBorders>
            <w:vAlign w:val="center"/>
          </w:tcPr>
          <w:p w14:paraId="5EC1EA83">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100%</w:t>
            </w:r>
          </w:p>
        </w:tc>
        <w:tc>
          <w:tcPr>
            <w:tcW w:w="431" w:type="pct"/>
            <w:tcBorders>
              <w:top w:val="single" w:color="auto" w:sz="2" w:space="0"/>
              <w:left w:val="single" w:color="auto" w:sz="2" w:space="0"/>
              <w:bottom w:val="single" w:color="auto" w:sz="2" w:space="0"/>
              <w:right w:val="single" w:color="auto" w:sz="2" w:space="0"/>
            </w:tcBorders>
            <w:vAlign w:val="center"/>
          </w:tcPr>
          <w:p w14:paraId="25B1476D">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602,933.33</w:t>
            </w:r>
          </w:p>
        </w:tc>
        <w:tc>
          <w:tcPr>
            <w:tcW w:w="431" w:type="pct"/>
            <w:tcBorders>
              <w:top w:val="single" w:color="auto" w:sz="2" w:space="0"/>
              <w:left w:val="single" w:color="auto" w:sz="2" w:space="0"/>
              <w:bottom w:val="single" w:color="auto" w:sz="2" w:space="0"/>
              <w:right w:val="single" w:color="auto" w:sz="2" w:space="0"/>
            </w:tcBorders>
            <w:vAlign w:val="center"/>
          </w:tcPr>
          <w:p w14:paraId="431D3665">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602,933.33</w:t>
            </w:r>
          </w:p>
        </w:tc>
        <w:tc>
          <w:tcPr>
            <w:tcW w:w="365" w:type="pct"/>
            <w:tcBorders>
              <w:top w:val="single" w:color="auto" w:sz="2" w:space="0"/>
              <w:left w:val="single" w:color="auto" w:sz="2" w:space="0"/>
              <w:bottom w:val="single" w:color="auto" w:sz="2" w:space="0"/>
              <w:right w:val="single" w:color="auto" w:sz="2" w:space="0"/>
            </w:tcBorders>
            <w:vAlign w:val="center"/>
          </w:tcPr>
          <w:p w14:paraId="419ACDEA">
            <w:pPr>
              <w:widowControl/>
              <w:jc w:val="right"/>
              <w:textAlignment w:val="center"/>
              <w:rPr>
                <w:rFonts w:ascii="Times New Roman" w:hAnsi="Times New Roman" w:cs="Times New Roman" w:eastAsiaTheme="majorEastAsia"/>
                <w:sz w:val="15"/>
                <w:szCs w:val="15"/>
              </w:rPr>
            </w:pPr>
            <w:r>
              <w:rPr>
                <w:rFonts w:ascii="Times New Roman" w:hAnsi="Times New Roman" w:eastAsia="宋体" w:cs="Times New Roman"/>
                <w:color w:val="000000"/>
                <w:kern w:val="0"/>
                <w:sz w:val="15"/>
                <w:szCs w:val="15"/>
                <w:lang w:bidi="ar"/>
              </w:rPr>
              <w:t>94.95%</w:t>
            </w:r>
          </w:p>
        </w:tc>
        <w:tc>
          <w:tcPr>
            <w:tcW w:w="174" w:type="pct"/>
            <w:tcBorders>
              <w:top w:val="single" w:color="auto" w:sz="2" w:space="0"/>
              <w:left w:val="single" w:color="auto" w:sz="2" w:space="0"/>
              <w:bottom w:val="single" w:color="auto" w:sz="2" w:space="0"/>
              <w:right w:val="single" w:color="auto" w:sz="2" w:space="0"/>
            </w:tcBorders>
            <w:vAlign w:val="center"/>
          </w:tcPr>
          <w:p w14:paraId="4AD886EB">
            <w:pPr>
              <w:widowControl/>
              <w:textAlignment w:val="center"/>
              <w:rPr>
                <w:rFonts w:ascii="Times New Roman" w:hAnsi="Times New Roman" w:cs="Times New Roman" w:eastAsiaTheme="majorEastAsia"/>
                <w:sz w:val="18"/>
                <w:szCs w:val="18"/>
              </w:rPr>
            </w:pPr>
            <w:r>
              <w:rPr>
                <w:rFonts w:ascii="Times New Roman" w:hAnsi="Times New Roman" w:eastAsia="宋体" w:cs="Times New Roman"/>
                <w:color w:val="000000"/>
                <w:kern w:val="0"/>
                <w:sz w:val="18"/>
                <w:szCs w:val="18"/>
                <w:lang w:bidi="ar"/>
              </w:rPr>
              <w:t>其他</w:t>
            </w:r>
          </w:p>
        </w:tc>
      </w:tr>
      <w:tr w14:paraId="3588C1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4" w:type="pct"/>
            <w:tcBorders>
              <w:top w:val="single" w:color="auto" w:sz="2" w:space="0"/>
              <w:left w:val="single" w:color="auto" w:sz="2" w:space="0"/>
              <w:bottom w:val="single" w:color="auto" w:sz="2" w:space="0"/>
              <w:right w:val="single" w:color="auto" w:sz="2" w:space="0"/>
            </w:tcBorders>
            <w:shd w:val="clear" w:color="auto" w:fill="D3D3D3"/>
            <w:vAlign w:val="center"/>
          </w:tcPr>
          <w:p w14:paraId="233AB5A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556" w:type="pct"/>
            <w:tcBorders>
              <w:top w:val="single" w:color="auto" w:sz="2" w:space="0"/>
              <w:left w:val="single" w:color="auto" w:sz="2" w:space="0"/>
              <w:bottom w:val="single" w:color="auto" w:sz="2" w:space="0"/>
              <w:right w:val="single" w:color="auto" w:sz="2" w:space="0"/>
            </w:tcBorders>
            <w:vAlign w:val="center"/>
          </w:tcPr>
          <w:p w14:paraId="2A92B8ED">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464,163,234.90</w:t>
            </w:r>
          </w:p>
        </w:tc>
        <w:tc>
          <w:tcPr>
            <w:tcW w:w="174" w:type="pct"/>
            <w:tcBorders>
              <w:top w:val="single" w:color="auto" w:sz="2" w:space="0"/>
              <w:left w:val="single" w:color="auto" w:sz="2" w:space="0"/>
              <w:bottom w:val="single" w:color="auto" w:sz="2" w:space="0"/>
              <w:right w:val="single" w:color="auto" w:sz="2" w:space="0"/>
            </w:tcBorders>
            <w:vAlign w:val="center"/>
          </w:tcPr>
          <w:p w14:paraId="2B7C2A1C">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1B542A49">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393,144,056.94</w:t>
            </w:r>
          </w:p>
        </w:tc>
        <w:tc>
          <w:tcPr>
            <w:tcW w:w="520" w:type="pct"/>
            <w:tcBorders>
              <w:top w:val="single" w:color="auto" w:sz="2" w:space="0"/>
              <w:left w:val="single" w:color="auto" w:sz="2" w:space="0"/>
              <w:bottom w:val="single" w:color="auto" w:sz="2" w:space="0"/>
              <w:right w:val="single" w:color="auto" w:sz="2" w:space="0"/>
            </w:tcBorders>
            <w:vAlign w:val="center"/>
          </w:tcPr>
          <w:p w14:paraId="0380ABAF">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42,406,157.44</w:t>
            </w:r>
          </w:p>
        </w:tc>
        <w:tc>
          <w:tcPr>
            <w:tcW w:w="174" w:type="pct"/>
            <w:tcBorders>
              <w:top w:val="single" w:color="auto" w:sz="2" w:space="0"/>
              <w:left w:val="single" w:color="auto" w:sz="2" w:space="0"/>
              <w:bottom w:val="single" w:color="auto" w:sz="2" w:space="0"/>
              <w:right w:val="single" w:color="auto" w:sz="2" w:space="0"/>
            </w:tcBorders>
            <w:vAlign w:val="center"/>
          </w:tcPr>
          <w:p w14:paraId="754C818F">
            <w:pPr>
              <w:spacing w:line="240" w:lineRule="exact"/>
              <w:jc w:val="right"/>
              <w:rPr>
                <w:rFonts w:ascii="Times New Roman" w:hAnsi="Times New Roman" w:cs="Times New Roman" w:eastAsiaTheme="majorEastAsia"/>
                <w:sz w:val="15"/>
                <w:szCs w:val="15"/>
              </w:rPr>
            </w:pPr>
          </w:p>
        </w:tc>
        <w:tc>
          <w:tcPr>
            <w:tcW w:w="556" w:type="pct"/>
            <w:tcBorders>
              <w:top w:val="single" w:color="auto" w:sz="2" w:space="0"/>
              <w:left w:val="single" w:color="auto" w:sz="2" w:space="0"/>
              <w:bottom w:val="single" w:color="auto" w:sz="2" w:space="0"/>
              <w:right w:val="single" w:color="auto" w:sz="2" w:space="0"/>
            </w:tcBorders>
            <w:vAlign w:val="center"/>
          </w:tcPr>
          <w:p w14:paraId="1A3F5826">
            <w:pPr>
              <w:spacing w:line="240" w:lineRule="exact"/>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350,737,899.50</w:t>
            </w:r>
          </w:p>
        </w:tc>
        <w:tc>
          <w:tcPr>
            <w:tcW w:w="330" w:type="pct"/>
            <w:tcBorders>
              <w:top w:val="single" w:color="auto" w:sz="2" w:space="0"/>
              <w:left w:val="single" w:color="auto" w:sz="2" w:space="0"/>
              <w:bottom w:val="single" w:color="auto" w:sz="2" w:space="0"/>
              <w:right w:val="single" w:color="auto" w:sz="2" w:space="0"/>
            </w:tcBorders>
            <w:shd w:val="clear" w:color="auto" w:fill="D3D3D3"/>
            <w:vAlign w:val="center"/>
          </w:tcPr>
          <w:p w14:paraId="37FE34CC">
            <w:pPr>
              <w:jc w:val="right"/>
              <w:rPr>
                <w:rFonts w:ascii="Times New Roman" w:hAnsi="Times New Roman" w:cs="Times New Roman" w:eastAsiaTheme="majorEastAsia"/>
                <w:sz w:val="15"/>
                <w:szCs w:val="15"/>
              </w:rPr>
            </w:pPr>
          </w:p>
        </w:tc>
        <w:tc>
          <w:tcPr>
            <w:tcW w:w="330" w:type="pct"/>
            <w:tcBorders>
              <w:top w:val="single" w:color="auto" w:sz="2" w:space="0"/>
              <w:left w:val="single" w:color="auto" w:sz="2" w:space="0"/>
              <w:bottom w:val="single" w:color="auto" w:sz="2" w:space="0"/>
              <w:right w:val="single" w:color="auto" w:sz="2" w:space="0"/>
            </w:tcBorders>
            <w:shd w:val="clear" w:color="auto" w:fill="D3D3D3"/>
            <w:vAlign w:val="center"/>
          </w:tcPr>
          <w:p w14:paraId="06414BB0">
            <w:pPr>
              <w:jc w:val="right"/>
              <w:rPr>
                <w:rFonts w:ascii="Times New Roman" w:hAnsi="Times New Roman" w:cs="Times New Roman" w:eastAsiaTheme="majorEastAsia"/>
                <w:sz w:val="15"/>
                <w:szCs w:val="15"/>
              </w:rPr>
            </w:pPr>
          </w:p>
        </w:tc>
        <w:tc>
          <w:tcPr>
            <w:tcW w:w="431" w:type="pct"/>
            <w:tcBorders>
              <w:top w:val="single" w:color="auto" w:sz="2" w:space="0"/>
              <w:left w:val="single" w:color="auto" w:sz="2" w:space="0"/>
              <w:bottom w:val="single" w:color="auto" w:sz="2" w:space="0"/>
              <w:right w:val="single" w:color="auto" w:sz="2" w:space="0"/>
            </w:tcBorders>
            <w:shd w:val="clear" w:color="auto" w:fill="auto"/>
            <w:vAlign w:val="center"/>
          </w:tcPr>
          <w:p w14:paraId="761924A2">
            <w:pPr>
              <w:widowControl/>
              <w:jc w:val="righ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992,943.50</w:t>
            </w:r>
          </w:p>
        </w:tc>
        <w:tc>
          <w:tcPr>
            <w:tcW w:w="431" w:type="pct"/>
            <w:tcBorders>
              <w:top w:val="single" w:color="auto" w:sz="2" w:space="0"/>
              <w:left w:val="single" w:color="auto" w:sz="2" w:space="0"/>
              <w:bottom w:val="single" w:color="auto" w:sz="2" w:space="0"/>
              <w:right w:val="single" w:color="auto" w:sz="2" w:space="0"/>
            </w:tcBorders>
            <w:shd w:val="clear" w:color="auto" w:fill="auto"/>
            <w:vAlign w:val="center"/>
          </w:tcPr>
          <w:p w14:paraId="4DF7D511">
            <w:pPr>
              <w:widowControl/>
              <w:jc w:val="right"/>
              <w:textAlignment w:val="center"/>
              <w:rPr>
                <w:rFonts w:ascii="Times New Roman" w:hAnsi="Times New Roman" w:eastAsia="宋体" w:cs="Times New Roman"/>
                <w:color w:val="000000"/>
                <w:sz w:val="15"/>
                <w:szCs w:val="15"/>
              </w:rPr>
            </w:pPr>
            <w:r>
              <w:rPr>
                <w:rFonts w:ascii="Times New Roman" w:hAnsi="Times New Roman" w:eastAsia="宋体" w:cs="Times New Roman"/>
                <w:color w:val="000000"/>
                <w:kern w:val="0"/>
                <w:sz w:val="15"/>
                <w:szCs w:val="15"/>
                <w:lang w:bidi="ar"/>
              </w:rPr>
              <w:t>992,943.50</w:t>
            </w:r>
          </w:p>
        </w:tc>
        <w:tc>
          <w:tcPr>
            <w:tcW w:w="365" w:type="pct"/>
            <w:tcBorders>
              <w:top w:val="single" w:color="auto" w:sz="2" w:space="0"/>
              <w:left w:val="single" w:color="auto" w:sz="2" w:space="0"/>
              <w:bottom w:val="single" w:color="auto" w:sz="2" w:space="0"/>
              <w:right w:val="single" w:color="auto" w:sz="2" w:space="0"/>
            </w:tcBorders>
            <w:vAlign w:val="center"/>
          </w:tcPr>
          <w:p w14:paraId="4D31E3A6">
            <w:pPr>
              <w:spacing w:line="240" w:lineRule="exact"/>
              <w:jc w:val="right"/>
              <w:rPr>
                <w:rFonts w:ascii="Times New Roman" w:hAnsi="Times New Roman" w:cs="Times New Roman" w:eastAsiaTheme="majorEastAsia"/>
                <w:sz w:val="15"/>
                <w:szCs w:val="15"/>
              </w:rPr>
            </w:pPr>
          </w:p>
        </w:tc>
        <w:tc>
          <w:tcPr>
            <w:tcW w:w="174" w:type="pct"/>
            <w:tcBorders>
              <w:top w:val="single" w:color="auto" w:sz="2" w:space="0"/>
              <w:left w:val="single" w:color="auto" w:sz="2" w:space="0"/>
              <w:bottom w:val="single" w:color="auto" w:sz="2" w:space="0"/>
              <w:right w:val="single" w:color="auto" w:sz="2" w:space="0"/>
            </w:tcBorders>
            <w:shd w:val="clear" w:color="auto" w:fill="D3D3D3"/>
            <w:vAlign w:val="center"/>
          </w:tcPr>
          <w:p w14:paraId="74C7202F">
            <w:pPr>
              <w:rPr>
                <w:rFonts w:ascii="Times New Roman" w:hAnsi="Times New Roman" w:cs="Times New Roman" w:eastAsiaTheme="majorEastAsia"/>
              </w:rPr>
            </w:pPr>
          </w:p>
        </w:tc>
      </w:tr>
    </w:tbl>
    <w:p w14:paraId="733CCD1B">
      <w:pPr>
        <w:keepNext/>
        <w:keepLines/>
        <w:spacing w:before="300" w:after="300" w:line="280" w:lineRule="exact"/>
        <w:outlineLvl w:val="3"/>
        <w:rPr>
          <w:rFonts w:ascii="Times New Roman" w:hAnsi="Times New Roman" w:cs="Times New Roman" w:eastAsiaTheme="majorEastAsia"/>
          <w:b/>
          <w:bCs/>
          <w:szCs w:val="21"/>
        </w:rPr>
      </w:pPr>
      <w:bookmarkStart w:id="288" w:name="_Toc989177"/>
      <w:r>
        <w:rPr>
          <w:rFonts w:ascii="Times New Roman" w:hAnsi="Times New Roman" w:cs="Times New Roman" w:eastAsiaTheme="majorEastAsia"/>
          <w:b/>
          <w:bCs/>
          <w:szCs w:val="21"/>
        </w:rPr>
        <w:t>（3） 在建工程的减值测试情况</w:t>
      </w:r>
      <w:bookmarkEnd w:id="288"/>
    </w:p>
    <w:p w14:paraId="292B3078">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17B7B33">
      <w:pPr>
        <w:pStyle w:val="3"/>
        <w:spacing w:line="280" w:lineRule="exact"/>
        <w:jc w:val="left"/>
        <w:rPr>
          <w:rFonts w:ascii="Times New Roman" w:hAnsi="Times New Roman" w:cs="Times New Roman" w:eastAsiaTheme="majorEastAsia"/>
          <w:b/>
          <w:bCs/>
        </w:rPr>
      </w:pPr>
      <w:bookmarkStart w:id="289" w:name="_Toc989178"/>
      <w:r>
        <w:rPr>
          <w:rFonts w:ascii="Times New Roman" w:hAnsi="Times New Roman" w:cs="Times New Roman" w:eastAsiaTheme="majorEastAsia"/>
          <w:b/>
          <w:bCs/>
        </w:rPr>
        <w:t>18、生产性生物资产</w:t>
      </w:r>
      <w:bookmarkEnd w:id="289"/>
    </w:p>
    <w:p w14:paraId="2E8669DC">
      <w:pPr>
        <w:keepNext/>
        <w:keepLines/>
        <w:spacing w:before="300" w:after="300" w:line="280" w:lineRule="exact"/>
        <w:outlineLvl w:val="3"/>
        <w:rPr>
          <w:rFonts w:ascii="Times New Roman" w:hAnsi="Times New Roman" w:cs="Times New Roman" w:eastAsiaTheme="majorEastAsia"/>
          <w:b/>
          <w:bCs/>
          <w:szCs w:val="21"/>
        </w:rPr>
      </w:pPr>
      <w:bookmarkStart w:id="290" w:name="_Toc989179"/>
      <w:r>
        <w:rPr>
          <w:rFonts w:ascii="Times New Roman" w:hAnsi="Times New Roman" w:cs="Times New Roman" w:eastAsiaTheme="majorEastAsia"/>
          <w:b/>
          <w:bCs/>
          <w:szCs w:val="21"/>
        </w:rPr>
        <w:t>（1） 采用成本计量模式的生产性生物资产</w:t>
      </w:r>
      <w:bookmarkEnd w:id="290"/>
    </w:p>
    <w:p w14:paraId="1A058FDA">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253E4FE">
      <w:pPr>
        <w:keepNext/>
        <w:keepLines/>
        <w:spacing w:before="300" w:after="300" w:line="280" w:lineRule="exact"/>
        <w:outlineLvl w:val="3"/>
        <w:rPr>
          <w:rFonts w:ascii="Times New Roman" w:hAnsi="Times New Roman" w:cs="Times New Roman" w:eastAsiaTheme="majorEastAsia"/>
          <w:b/>
          <w:bCs/>
          <w:szCs w:val="21"/>
        </w:rPr>
      </w:pPr>
      <w:bookmarkStart w:id="291" w:name="_Toc989180"/>
      <w:r>
        <w:rPr>
          <w:rFonts w:ascii="Times New Roman" w:hAnsi="Times New Roman" w:cs="Times New Roman" w:eastAsiaTheme="majorEastAsia"/>
          <w:b/>
          <w:bCs/>
          <w:szCs w:val="21"/>
        </w:rPr>
        <w:t>（2） 采用成本计量模式的生产性生物资产的减值测试情况</w:t>
      </w:r>
      <w:bookmarkEnd w:id="291"/>
    </w:p>
    <w:p w14:paraId="3FA96996">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D7CE68E">
      <w:pPr>
        <w:keepNext/>
        <w:keepLines/>
        <w:spacing w:before="300" w:after="300" w:line="280" w:lineRule="exact"/>
        <w:outlineLvl w:val="3"/>
        <w:rPr>
          <w:rFonts w:ascii="Times New Roman" w:hAnsi="Times New Roman" w:cs="Times New Roman" w:eastAsiaTheme="majorEastAsia"/>
          <w:b/>
          <w:bCs/>
          <w:szCs w:val="21"/>
        </w:rPr>
      </w:pPr>
      <w:bookmarkStart w:id="292" w:name="_Toc989181"/>
      <w:r>
        <w:rPr>
          <w:rFonts w:ascii="Times New Roman" w:hAnsi="Times New Roman" w:cs="Times New Roman" w:eastAsiaTheme="majorEastAsia"/>
          <w:b/>
          <w:bCs/>
          <w:szCs w:val="21"/>
        </w:rPr>
        <w:t>（3） 采用公允价值计量模式的生产性生物资产</w:t>
      </w:r>
      <w:bookmarkEnd w:id="292"/>
    </w:p>
    <w:p w14:paraId="1F1E6A14">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588C02A">
      <w:pPr>
        <w:pStyle w:val="3"/>
        <w:spacing w:line="280" w:lineRule="exact"/>
        <w:jc w:val="left"/>
        <w:rPr>
          <w:rFonts w:ascii="Times New Roman" w:hAnsi="Times New Roman" w:cs="Times New Roman" w:eastAsiaTheme="majorEastAsia"/>
          <w:b/>
          <w:bCs/>
        </w:rPr>
      </w:pPr>
      <w:bookmarkStart w:id="293" w:name="_Toc989182"/>
      <w:r>
        <w:rPr>
          <w:rFonts w:ascii="Times New Roman" w:hAnsi="Times New Roman" w:cs="Times New Roman" w:eastAsiaTheme="majorEastAsia"/>
          <w:b/>
          <w:bCs/>
        </w:rPr>
        <w:t>19、油气资产</w:t>
      </w:r>
      <w:bookmarkEnd w:id="293"/>
    </w:p>
    <w:p w14:paraId="375EF2A1">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416C603">
      <w:pPr>
        <w:pStyle w:val="3"/>
        <w:spacing w:line="280" w:lineRule="exact"/>
        <w:jc w:val="left"/>
        <w:rPr>
          <w:rFonts w:ascii="Times New Roman" w:hAnsi="Times New Roman" w:cs="Times New Roman" w:eastAsiaTheme="majorEastAsia"/>
          <w:b/>
          <w:bCs/>
        </w:rPr>
      </w:pPr>
      <w:bookmarkStart w:id="294" w:name="_Toc989183"/>
      <w:r>
        <w:rPr>
          <w:rFonts w:ascii="Times New Roman" w:hAnsi="Times New Roman" w:cs="Times New Roman" w:eastAsiaTheme="majorEastAsia"/>
          <w:b/>
          <w:bCs/>
        </w:rPr>
        <w:t>20、使用权资产</w:t>
      </w:r>
      <w:bookmarkEnd w:id="294"/>
    </w:p>
    <w:p w14:paraId="430192DA">
      <w:pPr>
        <w:keepNext/>
        <w:keepLines/>
        <w:spacing w:before="300" w:after="300" w:line="280" w:lineRule="exact"/>
        <w:outlineLvl w:val="3"/>
        <w:rPr>
          <w:rFonts w:ascii="Times New Roman" w:hAnsi="Times New Roman" w:cs="Times New Roman" w:eastAsiaTheme="majorEastAsia"/>
          <w:b/>
          <w:bCs/>
          <w:szCs w:val="21"/>
        </w:rPr>
      </w:pPr>
      <w:bookmarkStart w:id="295" w:name="_Toc989184"/>
      <w:r>
        <w:rPr>
          <w:rFonts w:ascii="Times New Roman" w:hAnsi="Times New Roman" w:cs="Times New Roman" w:eastAsiaTheme="majorEastAsia"/>
          <w:b/>
          <w:bCs/>
          <w:szCs w:val="21"/>
        </w:rPr>
        <w:t>（1） 使用权资产情况</w:t>
      </w:r>
      <w:bookmarkEnd w:id="295"/>
    </w:p>
    <w:p w14:paraId="77704E2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A9841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DF25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30E0A0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房屋及建筑物</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5D23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77D6DC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E23F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一、账面原值</w:t>
            </w:r>
          </w:p>
        </w:tc>
        <w:tc>
          <w:tcPr>
            <w:tcW w:w="3213" w:type="dxa"/>
            <w:tcBorders>
              <w:top w:val="single" w:color="auto" w:sz="2" w:space="0"/>
              <w:left w:val="single" w:color="auto" w:sz="2" w:space="0"/>
              <w:bottom w:val="single" w:color="auto" w:sz="2" w:space="0"/>
              <w:right w:val="single" w:color="auto" w:sz="2" w:space="0"/>
            </w:tcBorders>
            <w:vAlign w:val="center"/>
          </w:tcPr>
          <w:p w14:paraId="48441F8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1E1DAE">
            <w:pPr>
              <w:spacing w:line="240" w:lineRule="exact"/>
              <w:jc w:val="right"/>
              <w:rPr>
                <w:rFonts w:ascii="Times New Roman" w:hAnsi="Times New Roman" w:cs="Times New Roman" w:eastAsiaTheme="majorEastAsia"/>
                <w:sz w:val="18"/>
                <w:szCs w:val="18"/>
              </w:rPr>
            </w:pPr>
          </w:p>
        </w:tc>
      </w:tr>
      <w:tr w14:paraId="2C0890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321797">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5ACE0D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11,434,321.46</w:t>
            </w:r>
          </w:p>
        </w:tc>
        <w:tc>
          <w:tcPr>
            <w:tcW w:w="3213" w:type="dxa"/>
            <w:tcBorders>
              <w:top w:val="single" w:color="auto" w:sz="2" w:space="0"/>
              <w:left w:val="single" w:color="auto" w:sz="2" w:space="0"/>
              <w:bottom w:val="single" w:color="auto" w:sz="2" w:space="0"/>
              <w:right w:val="single" w:color="auto" w:sz="2" w:space="0"/>
            </w:tcBorders>
            <w:vAlign w:val="center"/>
          </w:tcPr>
          <w:p w14:paraId="4D662B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11,434,321.46</w:t>
            </w:r>
          </w:p>
        </w:tc>
      </w:tr>
      <w:tr w14:paraId="4B7555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27A113A">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3E5CA0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8,144,332.59</w:t>
            </w:r>
          </w:p>
        </w:tc>
        <w:tc>
          <w:tcPr>
            <w:tcW w:w="3213" w:type="dxa"/>
            <w:tcBorders>
              <w:top w:val="single" w:color="auto" w:sz="2" w:space="0"/>
              <w:left w:val="single" w:color="auto" w:sz="2" w:space="0"/>
              <w:bottom w:val="single" w:color="auto" w:sz="2" w:space="0"/>
              <w:right w:val="single" w:color="auto" w:sz="2" w:space="0"/>
            </w:tcBorders>
            <w:vAlign w:val="center"/>
          </w:tcPr>
          <w:p w14:paraId="77A1550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8,144,332.59</w:t>
            </w:r>
          </w:p>
        </w:tc>
      </w:tr>
      <w:tr w14:paraId="0AE442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0CE84FA">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(1)租入</w:t>
            </w:r>
          </w:p>
        </w:tc>
        <w:tc>
          <w:tcPr>
            <w:tcW w:w="3213" w:type="dxa"/>
            <w:tcBorders>
              <w:top w:val="single" w:color="auto" w:sz="2" w:space="0"/>
              <w:left w:val="single" w:color="auto" w:sz="2" w:space="0"/>
              <w:bottom w:val="single" w:color="auto" w:sz="2" w:space="0"/>
              <w:right w:val="single" w:color="auto" w:sz="2" w:space="0"/>
            </w:tcBorders>
            <w:vAlign w:val="center"/>
          </w:tcPr>
          <w:p w14:paraId="2B3D87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8,144,332.59</w:t>
            </w:r>
          </w:p>
        </w:tc>
        <w:tc>
          <w:tcPr>
            <w:tcW w:w="3213" w:type="dxa"/>
            <w:tcBorders>
              <w:top w:val="single" w:color="auto" w:sz="2" w:space="0"/>
              <w:left w:val="single" w:color="auto" w:sz="2" w:space="0"/>
              <w:bottom w:val="single" w:color="auto" w:sz="2" w:space="0"/>
              <w:right w:val="single" w:color="auto" w:sz="2" w:space="0"/>
            </w:tcBorders>
            <w:vAlign w:val="center"/>
          </w:tcPr>
          <w:p w14:paraId="52537F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8,144,332.59</w:t>
            </w:r>
          </w:p>
        </w:tc>
      </w:tr>
      <w:tr w14:paraId="2FBE41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FB7B860">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2DA73A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8,293,207.58</w:t>
            </w:r>
          </w:p>
        </w:tc>
        <w:tc>
          <w:tcPr>
            <w:tcW w:w="3213" w:type="dxa"/>
            <w:tcBorders>
              <w:top w:val="single" w:color="auto" w:sz="2" w:space="0"/>
              <w:left w:val="single" w:color="auto" w:sz="2" w:space="0"/>
              <w:bottom w:val="single" w:color="auto" w:sz="2" w:space="0"/>
              <w:right w:val="single" w:color="auto" w:sz="2" w:space="0"/>
            </w:tcBorders>
            <w:vAlign w:val="center"/>
          </w:tcPr>
          <w:p w14:paraId="100F2E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8,293,207.58</w:t>
            </w:r>
          </w:p>
        </w:tc>
      </w:tr>
      <w:tr w14:paraId="657E17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73D972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(1)退租</w:t>
            </w:r>
          </w:p>
        </w:tc>
        <w:tc>
          <w:tcPr>
            <w:tcW w:w="3213" w:type="dxa"/>
            <w:tcBorders>
              <w:top w:val="single" w:color="auto" w:sz="2" w:space="0"/>
              <w:left w:val="single" w:color="auto" w:sz="2" w:space="0"/>
              <w:bottom w:val="single" w:color="auto" w:sz="2" w:space="0"/>
              <w:right w:val="single" w:color="auto" w:sz="2" w:space="0"/>
            </w:tcBorders>
            <w:vAlign w:val="center"/>
          </w:tcPr>
          <w:p w14:paraId="445107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8,293,207.58</w:t>
            </w:r>
          </w:p>
        </w:tc>
        <w:tc>
          <w:tcPr>
            <w:tcW w:w="3213" w:type="dxa"/>
            <w:tcBorders>
              <w:top w:val="single" w:color="auto" w:sz="2" w:space="0"/>
              <w:left w:val="single" w:color="auto" w:sz="2" w:space="0"/>
              <w:bottom w:val="single" w:color="auto" w:sz="2" w:space="0"/>
              <w:right w:val="single" w:color="auto" w:sz="2" w:space="0"/>
            </w:tcBorders>
            <w:vAlign w:val="center"/>
          </w:tcPr>
          <w:p w14:paraId="3FC877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8,293,207.58</w:t>
            </w:r>
          </w:p>
        </w:tc>
      </w:tr>
      <w:tr w14:paraId="7721F3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9D1FD4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414DEF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11,285,446.47</w:t>
            </w:r>
          </w:p>
        </w:tc>
        <w:tc>
          <w:tcPr>
            <w:tcW w:w="3213" w:type="dxa"/>
            <w:tcBorders>
              <w:top w:val="single" w:color="auto" w:sz="2" w:space="0"/>
              <w:left w:val="single" w:color="auto" w:sz="2" w:space="0"/>
              <w:bottom w:val="single" w:color="auto" w:sz="2" w:space="0"/>
              <w:right w:val="single" w:color="auto" w:sz="2" w:space="0"/>
            </w:tcBorders>
            <w:vAlign w:val="center"/>
          </w:tcPr>
          <w:p w14:paraId="6E6EE3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11,285,446.47</w:t>
            </w:r>
          </w:p>
        </w:tc>
      </w:tr>
      <w:tr w14:paraId="1ECD15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58BA1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二、累计折旧</w:t>
            </w:r>
          </w:p>
        </w:tc>
        <w:tc>
          <w:tcPr>
            <w:tcW w:w="3213" w:type="dxa"/>
            <w:tcBorders>
              <w:top w:val="single" w:color="auto" w:sz="2" w:space="0"/>
              <w:left w:val="single" w:color="auto" w:sz="2" w:space="0"/>
              <w:bottom w:val="single" w:color="auto" w:sz="2" w:space="0"/>
              <w:right w:val="single" w:color="auto" w:sz="2" w:space="0"/>
            </w:tcBorders>
            <w:vAlign w:val="center"/>
          </w:tcPr>
          <w:p w14:paraId="1485F92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C7C284D">
            <w:pPr>
              <w:spacing w:line="240" w:lineRule="exact"/>
              <w:jc w:val="right"/>
              <w:rPr>
                <w:rFonts w:ascii="Times New Roman" w:hAnsi="Times New Roman" w:cs="Times New Roman" w:eastAsiaTheme="majorEastAsia"/>
                <w:sz w:val="18"/>
                <w:szCs w:val="18"/>
              </w:rPr>
            </w:pPr>
          </w:p>
        </w:tc>
      </w:tr>
      <w:tr w14:paraId="2DEAE7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21D098">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1927D0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5,256,413.95</w:t>
            </w:r>
          </w:p>
        </w:tc>
        <w:tc>
          <w:tcPr>
            <w:tcW w:w="3213" w:type="dxa"/>
            <w:tcBorders>
              <w:top w:val="single" w:color="auto" w:sz="2" w:space="0"/>
              <w:left w:val="single" w:color="auto" w:sz="2" w:space="0"/>
              <w:bottom w:val="single" w:color="auto" w:sz="2" w:space="0"/>
              <w:right w:val="single" w:color="auto" w:sz="2" w:space="0"/>
            </w:tcBorders>
            <w:vAlign w:val="center"/>
          </w:tcPr>
          <w:p w14:paraId="1000DE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5,256,413.95</w:t>
            </w:r>
          </w:p>
        </w:tc>
      </w:tr>
      <w:tr w14:paraId="7B2B81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0472C8">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6E08F6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3,472,840.50</w:t>
            </w:r>
          </w:p>
        </w:tc>
        <w:tc>
          <w:tcPr>
            <w:tcW w:w="3213" w:type="dxa"/>
            <w:tcBorders>
              <w:top w:val="single" w:color="auto" w:sz="2" w:space="0"/>
              <w:left w:val="single" w:color="auto" w:sz="2" w:space="0"/>
              <w:bottom w:val="single" w:color="auto" w:sz="2" w:space="0"/>
              <w:right w:val="single" w:color="auto" w:sz="2" w:space="0"/>
            </w:tcBorders>
            <w:vAlign w:val="center"/>
          </w:tcPr>
          <w:p w14:paraId="0FC616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3,472,840.50</w:t>
            </w:r>
          </w:p>
        </w:tc>
      </w:tr>
      <w:tr w14:paraId="38F56E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6D9271">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3213" w:type="dxa"/>
            <w:tcBorders>
              <w:top w:val="single" w:color="auto" w:sz="2" w:space="0"/>
              <w:left w:val="single" w:color="auto" w:sz="2" w:space="0"/>
              <w:bottom w:val="single" w:color="auto" w:sz="2" w:space="0"/>
              <w:right w:val="single" w:color="auto" w:sz="2" w:space="0"/>
            </w:tcBorders>
            <w:vAlign w:val="center"/>
          </w:tcPr>
          <w:p w14:paraId="58F76C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3,472,840.50</w:t>
            </w:r>
          </w:p>
        </w:tc>
        <w:tc>
          <w:tcPr>
            <w:tcW w:w="3213" w:type="dxa"/>
            <w:tcBorders>
              <w:top w:val="single" w:color="auto" w:sz="2" w:space="0"/>
              <w:left w:val="single" w:color="auto" w:sz="2" w:space="0"/>
              <w:bottom w:val="single" w:color="auto" w:sz="2" w:space="0"/>
              <w:right w:val="single" w:color="auto" w:sz="2" w:space="0"/>
            </w:tcBorders>
            <w:vAlign w:val="center"/>
          </w:tcPr>
          <w:p w14:paraId="3D004E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3,472,840.50</w:t>
            </w:r>
          </w:p>
        </w:tc>
      </w:tr>
      <w:tr w14:paraId="688D04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CCAE83">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4A0FF0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6,038,516.84</w:t>
            </w:r>
          </w:p>
        </w:tc>
        <w:tc>
          <w:tcPr>
            <w:tcW w:w="3213" w:type="dxa"/>
            <w:tcBorders>
              <w:top w:val="single" w:color="auto" w:sz="2" w:space="0"/>
              <w:left w:val="single" w:color="auto" w:sz="2" w:space="0"/>
              <w:bottom w:val="single" w:color="auto" w:sz="2" w:space="0"/>
              <w:right w:val="single" w:color="auto" w:sz="2" w:space="0"/>
            </w:tcBorders>
            <w:vAlign w:val="center"/>
          </w:tcPr>
          <w:p w14:paraId="6620FE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6,038,516.84</w:t>
            </w:r>
          </w:p>
        </w:tc>
      </w:tr>
      <w:tr w14:paraId="510FD0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6D5F9A">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w:t>
            </w:r>
          </w:p>
        </w:tc>
        <w:tc>
          <w:tcPr>
            <w:tcW w:w="3213" w:type="dxa"/>
            <w:tcBorders>
              <w:top w:val="single" w:color="auto" w:sz="2" w:space="0"/>
              <w:left w:val="single" w:color="auto" w:sz="2" w:space="0"/>
              <w:bottom w:val="single" w:color="auto" w:sz="2" w:space="0"/>
              <w:right w:val="single" w:color="auto" w:sz="2" w:space="0"/>
            </w:tcBorders>
            <w:vAlign w:val="center"/>
          </w:tcPr>
          <w:p w14:paraId="3BF007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6,038,516.84</w:t>
            </w:r>
          </w:p>
        </w:tc>
        <w:tc>
          <w:tcPr>
            <w:tcW w:w="3213" w:type="dxa"/>
            <w:tcBorders>
              <w:top w:val="single" w:color="auto" w:sz="2" w:space="0"/>
              <w:left w:val="single" w:color="auto" w:sz="2" w:space="0"/>
              <w:bottom w:val="single" w:color="auto" w:sz="2" w:space="0"/>
              <w:right w:val="single" w:color="auto" w:sz="2" w:space="0"/>
            </w:tcBorders>
            <w:vAlign w:val="center"/>
          </w:tcPr>
          <w:p w14:paraId="2349FA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6,038,516.84</w:t>
            </w:r>
          </w:p>
        </w:tc>
      </w:tr>
      <w:tr w14:paraId="17573F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B2FB0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2D0016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2,690,737.61</w:t>
            </w:r>
          </w:p>
        </w:tc>
        <w:tc>
          <w:tcPr>
            <w:tcW w:w="3213" w:type="dxa"/>
            <w:tcBorders>
              <w:top w:val="single" w:color="auto" w:sz="2" w:space="0"/>
              <w:left w:val="single" w:color="auto" w:sz="2" w:space="0"/>
              <w:bottom w:val="single" w:color="auto" w:sz="2" w:space="0"/>
              <w:right w:val="single" w:color="auto" w:sz="2" w:space="0"/>
            </w:tcBorders>
            <w:vAlign w:val="center"/>
          </w:tcPr>
          <w:p w14:paraId="5D5F34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2,690,737.61</w:t>
            </w:r>
          </w:p>
        </w:tc>
      </w:tr>
      <w:tr w14:paraId="3C8553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50C4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4FAA9A7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89C4728">
            <w:pPr>
              <w:spacing w:line="240" w:lineRule="exact"/>
              <w:jc w:val="right"/>
              <w:rPr>
                <w:rFonts w:ascii="Times New Roman" w:hAnsi="Times New Roman" w:cs="Times New Roman" w:eastAsiaTheme="majorEastAsia"/>
                <w:sz w:val="18"/>
                <w:szCs w:val="18"/>
              </w:rPr>
            </w:pPr>
          </w:p>
        </w:tc>
      </w:tr>
      <w:tr w14:paraId="7248DC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E9EF7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7E89943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44080C">
            <w:pPr>
              <w:spacing w:line="240" w:lineRule="exact"/>
              <w:jc w:val="right"/>
              <w:rPr>
                <w:rFonts w:ascii="Times New Roman" w:hAnsi="Times New Roman" w:cs="Times New Roman" w:eastAsiaTheme="majorEastAsia"/>
                <w:sz w:val="18"/>
                <w:szCs w:val="18"/>
              </w:rPr>
            </w:pPr>
          </w:p>
        </w:tc>
      </w:tr>
      <w:tr w14:paraId="11A6DB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16E17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3213" w:type="dxa"/>
            <w:tcBorders>
              <w:top w:val="single" w:color="auto" w:sz="2" w:space="0"/>
              <w:left w:val="single" w:color="auto" w:sz="2" w:space="0"/>
              <w:bottom w:val="single" w:color="auto" w:sz="2" w:space="0"/>
              <w:right w:val="single" w:color="auto" w:sz="2" w:space="0"/>
            </w:tcBorders>
            <w:vAlign w:val="center"/>
          </w:tcPr>
          <w:p w14:paraId="5028B2D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A0C1882">
            <w:pPr>
              <w:spacing w:line="240" w:lineRule="exact"/>
              <w:jc w:val="right"/>
              <w:rPr>
                <w:rFonts w:ascii="Times New Roman" w:hAnsi="Times New Roman" w:cs="Times New Roman" w:eastAsiaTheme="majorEastAsia"/>
                <w:sz w:val="18"/>
                <w:szCs w:val="18"/>
              </w:rPr>
            </w:pPr>
          </w:p>
        </w:tc>
      </w:tr>
      <w:tr w14:paraId="791A90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EED91E">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3213" w:type="dxa"/>
            <w:tcBorders>
              <w:top w:val="single" w:color="auto" w:sz="2" w:space="0"/>
              <w:left w:val="single" w:color="auto" w:sz="2" w:space="0"/>
              <w:bottom w:val="single" w:color="auto" w:sz="2" w:space="0"/>
              <w:right w:val="single" w:color="auto" w:sz="2" w:space="0"/>
            </w:tcBorders>
            <w:vAlign w:val="center"/>
          </w:tcPr>
          <w:p w14:paraId="3F5781E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C440F4F">
            <w:pPr>
              <w:spacing w:line="240" w:lineRule="exact"/>
              <w:jc w:val="right"/>
              <w:rPr>
                <w:rFonts w:ascii="Times New Roman" w:hAnsi="Times New Roman" w:cs="Times New Roman" w:eastAsiaTheme="majorEastAsia"/>
                <w:sz w:val="18"/>
                <w:szCs w:val="18"/>
              </w:rPr>
            </w:pPr>
          </w:p>
        </w:tc>
      </w:tr>
      <w:tr w14:paraId="6E89A1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1C537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3213" w:type="dxa"/>
            <w:tcBorders>
              <w:top w:val="single" w:color="auto" w:sz="2" w:space="0"/>
              <w:left w:val="single" w:color="auto" w:sz="2" w:space="0"/>
              <w:bottom w:val="single" w:color="auto" w:sz="2" w:space="0"/>
              <w:right w:val="single" w:color="auto" w:sz="2" w:space="0"/>
            </w:tcBorders>
            <w:vAlign w:val="center"/>
          </w:tcPr>
          <w:p w14:paraId="46AF851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1339460">
            <w:pPr>
              <w:spacing w:line="240" w:lineRule="exact"/>
              <w:jc w:val="right"/>
              <w:rPr>
                <w:rFonts w:ascii="Times New Roman" w:hAnsi="Times New Roman" w:cs="Times New Roman" w:eastAsiaTheme="majorEastAsia"/>
                <w:sz w:val="18"/>
                <w:szCs w:val="18"/>
              </w:rPr>
            </w:pPr>
          </w:p>
        </w:tc>
      </w:tr>
      <w:tr w14:paraId="1D0C97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D82165">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w:t>
            </w:r>
          </w:p>
        </w:tc>
        <w:tc>
          <w:tcPr>
            <w:tcW w:w="3213" w:type="dxa"/>
            <w:tcBorders>
              <w:top w:val="single" w:color="auto" w:sz="2" w:space="0"/>
              <w:left w:val="single" w:color="auto" w:sz="2" w:space="0"/>
              <w:bottom w:val="single" w:color="auto" w:sz="2" w:space="0"/>
              <w:right w:val="single" w:color="auto" w:sz="2" w:space="0"/>
            </w:tcBorders>
            <w:vAlign w:val="center"/>
          </w:tcPr>
          <w:p w14:paraId="4FDD409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72C67DF">
            <w:pPr>
              <w:spacing w:line="240" w:lineRule="exact"/>
              <w:jc w:val="right"/>
              <w:rPr>
                <w:rFonts w:ascii="Times New Roman" w:hAnsi="Times New Roman" w:cs="Times New Roman" w:eastAsiaTheme="majorEastAsia"/>
                <w:sz w:val="18"/>
                <w:szCs w:val="18"/>
              </w:rPr>
            </w:pPr>
          </w:p>
        </w:tc>
      </w:tr>
      <w:tr w14:paraId="02794D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E70323">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7C761FB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85C418D">
            <w:pPr>
              <w:spacing w:line="240" w:lineRule="exact"/>
              <w:jc w:val="right"/>
              <w:rPr>
                <w:rFonts w:ascii="Times New Roman" w:hAnsi="Times New Roman" w:cs="Times New Roman" w:eastAsiaTheme="majorEastAsia"/>
                <w:sz w:val="18"/>
                <w:szCs w:val="18"/>
              </w:rPr>
            </w:pPr>
          </w:p>
        </w:tc>
      </w:tr>
      <w:tr w14:paraId="186FA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F3CAE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1844805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FF32E1D">
            <w:pPr>
              <w:spacing w:line="240" w:lineRule="exact"/>
              <w:jc w:val="right"/>
              <w:rPr>
                <w:rFonts w:ascii="Times New Roman" w:hAnsi="Times New Roman" w:cs="Times New Roman" w:eastAsiaTheme="majorEastAsia"/>
                <w:sz w:val="18"/>
                <w:szCs w:val="18"/>
              </w:rPr>
            </w:pPr>
          </w:p>
        </w:tc>
      </w:tr>
      <w:tr w14:paraId="3CD0DA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80EF4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1.期末账面价值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1E27F7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8,594,708.86</w:t>
            </w:r>
          </w:p>
        </w:tc>
        <w:tc>
          <w:tcPr>
            <w:tcW w:w="3213" w:type="dxa"/>
            <w:tcBorders>
              <w:top w:val="single" w:color="auto" w:sz="2" w:space="0"/>
              <w:left w:val="single" w:color="auto" w:sz="2" w:space="0"/>
              <w:bottom w:val="single" w:color="auto" w:sz="2" w:space="0"/>
              <w:right w:val="single" w:color="auto" w:sz="2" w:space="0"/>
            </w:tcBorders>
            <w:vAlign w:val="center"/>
          </w:tcPr>
          <w:p w14:paraId="0CC864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8,594,708.86</w:t>
            </w:r>
          </w:p>
        </w:tc>
      </w:tr>
      <w:tr w14:paraId="586ED3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40A89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2.期初账面价值</w:t>
            </w:r>
          </w:p>
        </w:tc>
        <w:tc>
          <w:tcPr>
            <w:tcW w:w="3213" w:type="dxa"/>
            <w:tcBorders>
              <w:top w:val="single" w:color="auto" w:sz="2" w:space="0"/>
              <w:left w:val="single" w:color="auto" w:sz="2" w:space="0"/>
              <w:bottom w:val="single" w:color="auto" w:sz="2" w:space="0"/>
              <w:right w:val="single" w:color="auto" w:sz="2" w:space="0"/>
            </w:tcBorders>
            <w:vAlign w:val="center"/>
          </w:tcPr>
          <w:p w14:paraId="63712B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6,177,907.51</w:t>
            </w:r>
          </w:p>
        </w:tc>
        <w:tc>
          <w:tcPr>
            <w:tcW w:w="3213" w:type="dxa"/>
            <w:tcBorders>
              <w:top w:val="single" w:color="auto" w:sz="2" w:space="0"/>
              <w:left w:val="single" w:color="auto" w:sz="2" w:space="0"/>
              <w:bottom w:val="single" w:color="auto" w:sz="2" w:space="0"/>
              <w:right w:val="single" w:color="auto" w:sz="2" w:space="0"/>
            </w:tcBorders>
            <w:vAlign w:val="center"/>
          </w:tcPr>
          <w:p w14:paraId="106197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6,177,907.51</w:t>
            </w:r>
          </w:p>
        </w:tc>
      </w:tr>
    </w:tbl>
    <w:p w14:paraId="08C4C019">
      <w:pPr>
        <w:keepNext/>
        <w:keepLines/>
        <w:spacing w:before="300" w:after="300" w:line="280" w:lineRule="exact"/>
        <w:outlineLvl w:val="3"/>
        <w:rPr>
          <w:rFonts w:ascii="Times New Roman" w:hAnsi="Times New Roman" w:cs="Times New Roman" w:eastAsiaTheme="majorEastAsia"/>
          <w:b/>
          <w:bCs/>
          <w:szCs w:val="21"/>
        </w:rPr>
      </w:pPr>
      <w:bookmarkStart w:id="296" w:name="_Toc989185"/>
      <w:r>
        <w:rPr>
          <w:rFonts w:ascii="Times New Roman" w:hAnsi="Times New Roman" w:cs="Times New Roman" w:eastAsiaTheme="majorEastAsia"/>
          <w:b/>
          <w:bCs/>
          <w:szCs w:val="21"/>
        </w:rPr>
        <w:t>（2） 使用权资产的减值测试情况</w:t>
      </w:r>
      <w:bookmarkEnd w:id="296"/>
    </w:p>
    <w:p w14:paraId="7D2AE12F">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3B89D5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ascii="Times New Roman" w:hAnsi="Times New Roman" w:cs="Times New Roman" w:eastAsiaTheme="majorEastAsia"/>
          <w:szCs w:val="21"/>
        </w:rPr>
        <w:t>不适用。</w:t>
      </w:r>
    </w:p>
    <w:p w14:paraId="73ED1106">
      <w:pPr>
        <w:pStyle w:val="3"/>
        <w:spacing w:line="280" w:lineRule="exact"/>
        <w:jc w:val="left"/>
        <w:rPr>
          <w:rFonts w:ascii="Times New Roman" w:hAnsi="Times New Roman" w:cs="Times New Roman" w:eastAsiaTheme="majorEastAsia"/>
          <w:b/>
          <w:bCs/>
        </w:rPr>
      </w:pPr>
      <w:bookmarkStart w:id="297" w:name="_Toc989186"/>
      <w:r>
        <w:rPr>
          <w:rFonts w:ascii="Times New Roman" w:hAnsi="Times New Roman" w:cs="Times New Roman" w:eastAsiaTheme="majorEastAsia"/>
          <w:b/>
          <w:bCs/>
        </w:rPr>
        <w:t>21、无形资产</w:t>
      </w:r>
      <w:bookmarkEnd w:id="297"/>
    </w:p>
    <w:p w14:paraId="4D7AA7BA">
      <w:pPr>
        <w:keepNext/>
        <w:keepLines/>
        <w:spacing w:before="300" w:after="300" w:line="280" w:lineRule="exact"/>
        <w:outlineLvl w:val="3"/>
        <w:rPr>
          <w:rFonts w:ascii="Times New Roman" w:hAnsi="Times New Roman" w:cs="Times New Roman" w:eastAsiaTheme="majorEastAsia"/>
          <w:b/>
          <w:bCs/>
          <w:szCs w:val="21"/>
        </w:rPr>
      </w:pPr>
      <w:bookmarkStart w:id="298" w:name="_Toc989187"/>
      <w:r>
        <w:rPr>
          <w:rFonts w:ascii="Times New Roman" w:hAnsi="Times New Roman" w:cs="Times New Roman" w:eastAsiaTheme="majorEastAsia"/>
          <w:b/>
          <w:bCs/>
          <w:szCs w:val="21"/>
        </w:rPr>
        <w:t>（1） 无形资产情况</w:t>
      </w:r>
      <w:bookmarkEnd w:id="298"/>
    </w:p>
    <w:p w14:paraId="30B67C8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57"/>
        <w:gridCol w:w="1317"/>
        <w:gridCol w:w="893"/>
        <w:gridCol w:w="1370"/>
        <w:gridCol w:w="1370"/>
        <w:gridCol w:w="1370"/>
        <w:gridCol w:w="1476"/>
      </w:tblGrid>
      <w:tr w14:paraId="7DDEB9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411E94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68" w:type="pct"/>
            <w:tcBorders>
              <w:top w:val="single" w:color="auto" w:sz="2" w:space="0"/>
              <w:left w:val="single" w:color="auto" w:sz="2" w:space="0"/>
              <w:bottom w:val="single" w:color="auto" w:sz="2" w:space="0"/>
              <w:right w:val="single" w:color="auto" w:sz="2" w:space="0"/>
            </w:tcBorders>
            <w:shd w:val="clear" w:color="auto" w:fill="D3D3D3"/>
            <w:vAlign w:val="center"/>
          </w:tcPr>
          <w:p w14:paraId="7825D1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土地使用权</w:t>
            </w:r>
          </w:p>
        </w:tc>
        <w:tc>
          <w:tcPr>
            <w:tcW w:w="453" w:type="pct"/>
            <w:tcBorders>
              <w:top w:val="single" w:color="auto" w:sz="2" w:space="0"/>
              <w:left w:val="single" w:color="auto" w:sz="2" w:space="0"/>
              <w:bottom w:val="single" w:color="auto" w:sz="2" w:space="0"/>
              <w:right w:val="single" w:color="auto" w:sz="2" w:space="0"/>
            </w:tcBorders>
            <w:shd w:val="clear" w:color="auto" w:fill="D3D3D3"/>
            <w:vAlign w:val="center"/>
          </w:tcPr>
          <w:p w14:paraId="0D6B58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专利权</w:t>
            </w:r>
          </w:p>
        </w:tc>
        <w:tc>
          <w:tcPr>
            <w:tcW w:w="695" w:type="pct"/>
            <w:tcBorders>
              <w:top w:val="single" w:color="auto" w:sz="2" w:space="0"/>
              <w:left w:val="single" w:color="auto" w:sz="2" w:space="0"/>
              <w:bottom w:val="single" w:color="auto" w:sz="2" w:space="0"/>
              <w:right w:val="single" w:color="auto" w:sz="2" w:space="0"/>
            </w:tcBorders>
            <w:shd w:val="clear" w:color="auto" w:fill="D3D3D3"/>
            <w:vAlign w:val="center"/>
          </w:tcPr>
          <w:p w14:paraId="1AA6D7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非专利技术</w:t>
            </w:r>
          </w:p>
        </w:tc>
        <w:tc>
          <w:tcPr>
            <w:tcW w:w="695"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83ACA9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w:t>
            </w:r>
          </w:p>
        </w:tc>
        <w:tc>
          <w:tcPr>
            <w:tcW w:w="695" w:type="pct"/>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0D9936F">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著作权</w:t>
            </w:r>
          </w:p>
        </w:tc>
        <w:tc>
          <w:tcPr>
            <w:tcW w:w="749" w:type="pct"/>
            <w:tcBorders>
              <w:top w:val="single" w:color="auto" w:sz="2" w:space="0"/>
              <w:left w:val="single" w:color="auto" w:sz="2" w:space="0"/>
              <w:bottom w:val="single" w:color="auto" w:sz="2" w:space="0"/>
              <w:right w:val="single" w:color="auto" w:sz="2" w:space="0"/>
            </w:tcBorders>
            <w:shd w:val="clear" w:color="auto" w:fill="D3D3D3"/>
            <w:vAlign w:val="center"/>
          </w:tcPr>
          <w:p w14:paraId="0AF19D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2686B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6A49CA0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一、账面原值</w:t>
            </w:r>
          </w:p>
        </w:tc>
        <w:tc>
          <w:tcPr>
            <w:tcW w:w="668" w:type="pct"/>
            <w:tcBorders>
              <w:top w:val="single" w:color="auto" w:sz="2" w:space="0"/>
              <w:left w:val="single" w:color="auto" w:sz="2" w:space="0"/>
              <w:bottom w:val="single" w:color="auto" w:sz="2" w:space="0"/>
              <w:right w:val="single" w:color="auto" w:sz="2" w:space="0"/>
            </w:tcBorders>
            <w:vAlign w:val="center"/>
          </w:tcPr>
          <w:p w14:paraId="4914AF70">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6508D7EE">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54DA608">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34A93C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9285DF3">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7A83B731">
            <w:pPr>
              <w:spacing w:line="240" w:lineRule="exact"/>
              <w:jc w:val="right"/>
              <w:rPr>
                <w:rFonts w:ascii="Times New Roman" w:hAnsi="Times New Roman" w:cs="Times New Roman" w:eastAsiaTheme="majorEastAsia"/>
                <w:sz w:val="18"/>
                <w:szCs w:val="18"/>
              </w:rPr>
            </w:pPr>
          </w:p>
        </w:tc>
      </w:tr>
      <w:tr w14:paraId="5CE1D2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3CE5D76">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8" w:type="pct"/>
            <w:tcBorders>
              <w:top w:val="single" w:color="auto" w:sz="2" w:space="0"/>
              <w:left w:val="single" w:color="auto" w:sz="2" w:space="0"/>
              <w:bottom w:val="single" w:color="auto" w:sz="2" w:space="0"/>
              <w:right w:val="single" w:color="auto" w:sz="2" w:space="0"/>
            </w:tcBorders>
            <w:vAlign w:val="center"/>
          </w:tcPr>
          <w:p w14:paraId="5320F5CB">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30A959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67DAC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1,500,000.00</w:t>
            </w:r>
          </w:p>
        </w:tc>
        <w:tc>
          <w:tcPr>
            <w:tcW w:w="695" w:type="pct"/>
            <w:tcBorders>
              <w:top w:val="single" w:color="auto" w:sz="2" w:space="0"/>
              <w:left w:val="single" w:color="auto" w:sz="2" w:space="0"/>
              <w:bottom w:val="single" w:color="auto" w:sz="2" w:space="0"/>
              <w:right w:val="single" w:color="auto" w:sz="2" w:space="0"/>
            </w:tcBorders>
            <w:vAlign w:val="center"/>
          </w:tcPr>
          <w:p w14:paraId="295BF9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6,939,678.50</w:t>
            </w:r>
          </w:p>
        </w:tc>
        <w:tc>
          <w:tcPr>
            <w:tcW w:w="695" w:type="pct"/>
            <w:tcBorders>
              <w:top w:val="single" w:color="auto" w:sz="2" w:space="0"/>
              <w:left w:val="single" w:color="auto" w:sz="2" w:space="0"/>
              <w:bottom w:val="single" w:color="auto" w:sz="2" w:space="0"/>
              <w:right w:val="single" w:color="auto" w:sz="2" w:space="0"/>
            </w:tcBorders>
            <w:vAlign w:val="center"/>
          </w:tcPr>
          <w:p w14:paraId="474B68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7,580,000.00</w:t>
            </w:r>
          </w:p>
        </w:tc>
        <w:tc>
          <w:tcPr>
            <w:tcW w:w="749" w:type="pct"/>
            <w:tcBorders>
              <w:top w:val="single" w:color="auto" w:sz="2" w:space="0"/>
              <w:left w:val="single" w:color="auto" w:sz="2" w:space="0"/>
              <w:bottom w:val="single" w:color="auto" w:sz="2" w:space="0"/>
              <w:right w:val="single" w:color="auto" w:sz="2" w:space="0"/>
            </w:tcBorders>
            <w:vAlign w:val="center"/>
          </w:tcPr>
          <w:p w14:paraId="79B9B4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16,019,678.50</w:t>
            </w:r>
          </w:p>
        </w:tc>
      </w:tr>
      <w:tr w14:paraId="101296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435A3FC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8" w:type="pct"/>
            <w:tcBorders>
              <w:top w:val="single" w:color="auto" w:sz="2" w:space="0"/>
              <w:left w:val="single" w:color="auto" w:sz="2" w:space="0"/>
              <w:bottom w:val="single" w:color="auto" w:sz="2" w:space="0"/>
              <w:right w:val="single" w:color="auto" w:sz="2" w:space="0"/>
            </w:tcBorders>
            <w:vAlign w:val="center"/>
          </w:tcPr>
          <w:p w14:paraId="5728BEA3">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0DE49294">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A288255">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484D0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182,835.19</w:t>
            </w:r>
          </w:p>
        </w:tc>
        <w:tc>
          <w:tcPr>
            <w:tcW w:w="695" w:type="pct"/>
            <w:tcBorders>
              <w:top w:val="single" w:color="auto" w:sz="2" w:space="0"/>
              <w:left w:val="single" w:color="auto" w:sz="2" w:space="0"/>
              <w:bottom w:val="single" w:color="auto" w:sz="2" w:space="0"/>
              <w:right w:val="single" w:color="auto" w:sz="2" w:space="0"/>
            </w:tcBorders>
            <w:vAlign w:val="center"/>
          </w:tcPr>
          <w:p w14:paraId="690848AA">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345F6E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182,835.19</w:t>
            </w:r>
          </w:p>
        </w:tc>
      </w:tr>
      <w:tr w14:paraId="5EC2C3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16BB1DEC">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（1）购置</w:t>
            </w:r>
          </w:p>
        </w:tc>
        <w:tc>
          <w:tcPr>
            <w:tcW w:w="668" w:type="pct"/>
            <w:tcBorders>
              <w:top w:val="single" w:color="auto" w:sz="2" w:space="0"/>
              <w:left w:val="single" w:color="auto" w:sz="2" w:space="0"/>
              <w:bottom w:val="single" w:color="auto" w:sz="2" w:space="0"/>
              <w:right w:val="single" w:color="auto" w:sz="2" w:space="0"/>
            </w:tcBorders>
            <w:vAlign w:val="center"/>
          </w:tcPr>
          <w:p w14:paraId="5DE7D6F7">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6CB70CAE">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DA3C37F">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4A9BD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182,835.19</w:t>
            </w:r>
          </w:p>
        </w:tc>
        <w:tc>
          <w:tcPr>
            <w:tcW w:w="695" w:type="pct"/>
            <w:tcBorders>
              <w:top w:val="single" w:color="auto" w:sz="2" w:space="0"/>
              <w:left w:val="single" w:color="auto" w:sz="2" w:space="0"/>
              <w:bottom w:val="single" w:color="auto" w:sz="2" w:space="0"/>
              <w:right w:val="single" w:color="auto" w:sz="2" w:space="0"/>
            </w:tcBorders>
            <w:vAlign w:val="center"/>
          </w:tcPr>
          <w:p w14:paraId="63E3E802">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57FD69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182,835.19</w:t>
            </w:r>
          </w:p>
        </w:tc>
      </w:tr>
      <w:tr w14:paraId="19BE44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36A7EABF">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（2）内部研发</w:t>
            </w:r>
          </w:p>
        </w:tc>
        <w:tc>
          <w:tcPr>
            <w:tcW w:w="668" w:type="pct"/>
            <w:tcBorders>
              <w:top w:val="single" w:color="auto" w:sz="2" w:space="0"/>
              <w:left w:val="single" w:color="auto" w:sz="2" w:space="0"/>
              <w:bottom w:val="single" w:color="auto" w:sz="2" w:space="0"/>
              <w:right w:val="single" w:color="auto" w:sz="2" w:space="0"/>
            </w:tcBorders>
            <w:vAlign w:val="center"/>
          </w:tcPr>
          <w:p w14:paraId="7780D1DA">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374C404B">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BFD355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B7C099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5E89AB3">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1D2EED67">
            <w:pPr>
              <w:spacing w:line="240" w:lineRule="exact"/>
              <w:jc w:val="right"/>
              <w:rPr>
                <w:rFonts w:ascii="Times New Roman" w:hAnsi="Times New Roman" w:cs="Times New Roman" w:eastAsiaTheme="majorEastAsia"/>
                <w:sz w:val="18"/>
                <w:szCs w:val="18"/>
              </w:rPr>
            </w:pPr>
          </w:p>
        </w:tc>
      </w:tr>
      <w:tr w14:paraId="1056AE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542CB8E">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（3）企业合并增加</w:t>
            </w:r>
          </w:p>
        </w:tc>
        <w:tc>
          <w:tcPr>
            <w:tcW w:w="668" w:type="pct"/>
            <w:tcBorders>
              <w:top w:val="single" w:color="auto" w:sz="2" w:space="0"/>
              <w:left w:val="single" w:color="auto" w:sz="2" w:space="0"/>
              <w:bottom w:val="single" w:color="auto" w:sz="2" w:space="0"/>
              <w:right w:val="single" w:color="auto" w:sz="2" w:space="0"/>
            </w:tcBorders>
            <w:vAlign w:val="center"/>
          </w:tcPr>
          <w:p w14:paraId="7F0B4BDB">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68262E6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F4971A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43DE0A3">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5EDA33B5">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638BE749">
            <w:pPr>
              <w:spacing w:line="240" w:lineRule="exact"/>
              <w:jc w:val="right"/>
              <w:rPr>
                <w:rFonts w:ascii="Times New Roman" w:hAnsi="Times New Roman" w:cs="Times New Roman" w:eastAsiaTheme="majorEastAsia"/>
                <w:sz w:val="18"/>
                <w:szCs w:val="18"/>
              </w:rPr>
            </w:pPr>
          </w:p>
        </w:tc>
      </w:tr>
      <w:tr w14:paraId="02F694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0D5BAD5D">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8" w:type="pct"/>
            <w:tcBorders>
              <w:top w:val="single" w:color="auto" w:sz="2" w:space="0"/>
              <w:left w:val="single" w:color="auto" w:sz="2" w:space="0"/>
              <w:bottom w:val="single" w:color="auto" w:sz="2" w:space="0"/>
              <w:right w:val="single" w:color="auto" w:sz="2" w:space="0"/>
            </w:tcBorders>
            <w:vAlign w:val="center"/>
          </w:tcPr>
          <w:p w14:paraId="735F6524">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5C46E437">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4ED320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68D0E5F">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8C7A519">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4F93EC4F">
            <w:pPr>
              <w:spacing w:line="240" w:lineRule="exact"/>
              <w:jc w:val="right"/>
              <w:rPr>
                <w:rFonts w:ascii="Times New Roman" w:hAnsi="Times New Roman" w:cs="Times New Roman" w:eastAsiaTheme="majorEastAsia"/>
                <w:sz w:val="18"/>
                <w:szCs w:val="18"/>
              </w:rPr>
            </w:pPr>
          </w:p>
        </w:tc>
      </w:tr>
      <w:tr w14:paraId="0B6329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7B0FA8E">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w:t>
            </w:r>
          </w:p>
        </w:tc>
        <w:tc>
          <w:tcPr>
            <w:tcW w:w="668" w:type="pct"/>
            <w:tcBorders>
              <w:top w:val="single" w:color="auto" w:sz="2" w:space="0"/>
              <w:left w:val="single" w:color="auto" w:sz="2" w:space="0"/>
              <w:bottom w:val="single" w:color="auto" w:sz="2" w:space="0"/>
              <w:right w:val="single" w:color="auto" w:sz="2" w:space="0"/>
            </w:tcBorders>
            <w:vAlign w:val="center"/>
          </w:tcPr>
          <w:p w14:paraId="4B5C612A">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BFDCBBE">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9BB2D65">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D12F046">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B79C1CA">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270CF43C">
            <w:pPr>
              <w:spacing w:line="240" w:lineRule="exact"/>
              <w:jc w:val="right"/>
              <w:rPr>
                <w:rFonts w:ascii="Times New Roman" w:hAnsi="Times New Roman" w:cs="Times New Roman" w:eastAsiaTheme="majorEastAsia"/>
                <w:sz w:val="18"/>
                <w:szCs w:val="18"/>
              </w:rPr>
            </w:pPr>
          </w:p>
        </w:tc>
      </w:tr>
      <w:tr w14:paraId="438805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3F2D96AB">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8" w:type="pct"/>
            <w:tcBorders>
              <w:top w:val="single" w:color="auto" w:sz="2" w:space="0"/>
              <w:left w:val="single" w:color="auto" w:sz="2" w:space="0"/>
              <w:bottom w:val="single" w:color="auto" w:sz="2" w:space="0"/>
              <w:right w:val="single" w:color="auto" w:sz="2" w:space="0"/>
            </w:tcBorders>
            <w:vAlign w:val="center"/>
          </w:tcPr>
          <w:p w14:paraId="5F910A4B">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677895A8">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B16748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1,500,000.00</w:t>
            </w:r>
          </w:p>
        </w:tc>
        <w:tc>
          <w:tcPr>
            <w:tcW w:w="695" w:type="pct"/>
            <w:tcBorders>
              <w:top w:val="single" w:color="auto" w:sz="2" w:space="0"/>
              <w:left w:val="single" w:color="auto" w:sz="2" w:space="0"/>
              <w:bottom w:val="single" w:color="auto" w:sz="2" w:space="0"/>
              <w:right w:val="single" w:color="auto" w:sz="2" w:space="0"/>
            </w:tcBorders>
            <w:vAlign w:val="center"/>
          </w:tcPr>
          <w:p w14:paraId="412903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7,122,513.69</w:t>
            </w:r>
          </w:p>
        </w:tc>
        <w:tc>
          <w:tcPr>
            <w:tcW w:w="695" w:type="pct"/>
            <w:tcBorders>
              <w:top w:val="single" w:color="auto" w:sz="2" w:space="0"/>
              <w:left w:val="single" w:color="auto" w:sz="2" w:space="0"/>
              <w:bottom w:val="single" w:color="auto" w:sz="2" w:space="0"/>
              <w:right w:val="single" w:color="auto" w:sz="2" w:space="0"/>
            </w:tcBorders>
            <w:vAlign w:val="center"/>
          </w:tcPr>
          <w:p w14:paraId="3858B5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7,580,000.00</w:t>
            </w:r>
          </w:p>
        </w:tc>
        <w:tc>
          <w:tcPr>
            <w:tcW w:w="749" w:type="pct"/>
            <w:tcBorders>
              <w:top w:val="single" w:color="auto" w:sz="2" w:space="0"/>
              <w:left w:val="single" w:color="auto" w:sz="2" w:space="0"/>
              <w:bottom w:val="single" w:color="auto" w:sz="2" w:space="0"/>
              <w:right w:val="single" w:color="auto" w:sz="2" w:space="0"/>
            </w:tcBorders>
            <w:vAlign w:val="center"/>
          </w:tcPr>
          <w:p w14:paraId="7D0B15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16,202,513.69</w:t>
            </w:r>
          </w:p>
        </w:tc>
      </w:tr>
      <w:tr w14:paraId="66703D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6476477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二、累计摊销</w:t>
            </w:r>
          </w:p>
        </w:tc>
        <w:tc>
          <w:tcPr>
            <w:tcW w:w="668" w:type="pct"/>
            <w:tcBorders>
              <w:top w:val="single" w:color="auto" w:sz="2" w:space="0"/>
              <w:left w:val="single" w:color="auto" w:sz="2" w:space="0"/>
              <w:bottom w:val="single" w:color="auto" w:sz="2" w:space="0"/>
              <w:right w:val="single" w:color="auto" w:sz="2" w:space="0"/>
            </w:tcBorders>
            <w:vAlign w:val="center"/>
          </w:tcPr>
          <w:p w14:paraId="10B05929">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17BB6D9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1260EA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47F2250">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D680108">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020F92A5">
            <w:pPr>
              <w:spacing w:line="240" w:lineRule="exact"/>
              <w:jc w:val="right"/>
              <w:rPr>
                <w:rFonts w:ascii="Times New Roman" w:hAnsi="Times New Roman" w:cs="Times New Roman" w:eastAsiaTheme="majorEastAsia"/>
                <w:sz w:val="18"/>
                <w:szCs w:val="18"/>
              </w:rPr>
            </w:pPr>
          </w:p>
        </w:tc>
      </w:tr>
      <w:tr w14:paraId="1DCEB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17A416CD">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8" w:type="pct"/>
            <w:tcBorders>
              <w:top w:val="single" w:color="auto" w:sz="2" w:space="0"/>
              <w:left w:val="single" w:color="auto" w:sz="2" w:space="0"/>
              <w:bottom w:val="single" w:color="auto" w:sz="2" w:space="0"/>
              <w:right w:val="single" w:color="auto" w:sz="2" w:space="0"/>
            </w:tcBorders>
            <w:vAlign w:val="center"/>
          </w:tcPr>
          <w:p w14:paraId="7CE9C9FD">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3063C275">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371C8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1,500,000.00</w:t>
            </w:r>
          </w:p>
        </w:tc>
        <w:tc>
          <w:tcPr>
            <w:tcW w:w="695" w:type="pct"/>
            <w:tcBorders>
              <w:top w:val="single" w:color="auto" w:sz="2" w:space="0"/>
              <w:left w:val="single" w:color="auto" w:sz="2" w:space="0"/>
              <w:bottom w:val="single" w:color="auto" w:sz="2" w:space="0"/>
              <w:right w:val="single" w:color="auto" w:sz="2" w:space="0"/>
            </w:tcBorders>
            <w:vAlign w:val="center"/>
          </w:tcPr>
          <w:p w14:paraId="546EB0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6,001,999.70</w:t>
            </w:r>
          </w:p>
        </w:tc>
        <w:tc>
          <w:tcPr>
            <w:tcW w:w="695" w:type="pct"/>
            <w:tcBorders>
              <w:top w:val="single" w:color="auto" w:sz="2" w:space="0"/>
              <w:left w:val="single" w:color="auto" w:sz="2" w:space="0"/>
              <w:bottom w:val="single" w:color="auto" w:sz="2" w:space="0"/>
              <w:right w:val="single" w:color="auto" w:sz="2" w:space="0"/>
            </w:tcBorders>
            <w:vAlign w:val="center"/>
          </w:tcPr>
          <w:p w14:paraId="70D502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5,626,625.00</w:t>
            </w:r>
          </w:p>
        </w:tc>
        <w:tc>
          <w:tcPr>
            <w:tcW w:w="749" w:type="pct"/>
            <w:tcBorders>
              <w:top w:val="single" w:color="auto" w:sz="2" w:space="0"/>
              <w:left w:val="single" w:color="auto" w:sz="2" w:space="0"/>
              <w:bottom w:val="single" w:color="auto" w:sz="2" w:space="0"/>
              <w:right w:val="single" w:color="auto" w:sz="2" w:space="0"/>
            </w:tcBorders>
            <w:vAlign w:val="center"/>
          </w:tcPr>
          <w:p w14:paraId="22DABA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13,128,624.70</w:t>
            </w:r>
          </w:p>
        </w:tc>
      </w:tr>
      <w:tr w14:paraId="5B02E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7CE82FB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8" w:type="pct"/>
            <w:tcBorders>
              <w:top w:val="single" w:color="auto" w:sz="2" w:space="0"/>
              <w:left w:val="single" w:color="auto" w:sz="2" w:space="0"/>
              <w:bottom w:val="single" w:color="auto" w:sz="2" w:space="0"/>
              <w:right w:val="single" w:color="auto" w:sz="2" w:space="0"/>
            </w:tcBorders>
            <w:vAlign w:val="center"/>
          </w:tcPr>
          <w:p w14:paraId="2E1D4431">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93A3255">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63F3967">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0DF05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952,915.10</w:t>
            </w:r>
          </w:p>
        </w:tc>
        <w:tc>
          <w:tcPr>
            <w:tcW w:w="695" w:type="pct"/>
            <w:tcBorders>
              <w:top w:val="single" w:color="auto" w:sz="2" w:space="0"/>
              <w:left w:val="single" w:color="auto" w:sz="2" w:space="0"/>
              <w:bottom w:val="single" w:color="auto" w:sz="2" w:space="0"/>
              <w:right w:val="single" w:color="auto" w:sz="2" w:space="0"/>
            </w:tcBorders>
            <w:vAlign w:val="center"/>
          </w:tcPr>
          <w:p w14:paraId="09270B0D">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1F0CFC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952,915.10</w:t>
            </w:r>
          </w:p>
        </w:tc>
      </w:tr>
      <w:tr w14:paraId="6577B3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6168D702">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668" w:type="pct"/>
            <w:tcBorders>
              <w:top w:val="single" w:color="auto" w:sz="2" w:space="0"/>
              <w:left w:val="single" w:color="auto" w:sz="2" w:space="0"/>
              <w:bottom w:val="single" w:color="auto" w:sz="2" w:space="0"/>
              <w:right w:val="single" w:color="auto" w:sz="2" w:space="0"/>
            </w:tcBorders>
            <w:vAlign w:val="center"/>
          </w:tcPr>
          <w:p w14:paraId="2BCA2EAC">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CA6B57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8197355">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A4C00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952,915.10</w:t>
            </w:r>
          </w:p>
        </w:tc>
        <w:tc>
          <w:tcPr>
            <w:tcW w:w="695" w:type="pct"/>
            <w:tcBorders>
              <w:top w:val="single" w:color="auto" w:sz="2" w:space="0"/>
              <w:left w:val="single" w:color="auto" w:sz="2" w:space="0"/>
              <w:bottom w:val="single" w:color="auto" w:sz="2" w:space="0"/>
              <w:right w:val="single" w:color="auto" w:sz="2" w:space="0"/>
            </w:tcBorders>
            <w:vAlign w:val="center"/>
          </w:tcPr>
          <w:p w14:paraId="1DED608E">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6A4E8A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952,915.10</w:t>
            </w:r>
          </w:p>
        </w:tc>
      </w:tr>
      <w:tr w14:paraId="65A2DB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5D2F70FA">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8" w:type="pct"/>
            <w:tcBorders>
              <w:top w:val="single" w:color="auto" w:sz="2" w:space="0"/>
              <w:left w:val="single" w:color="auto" w:sz="2" w:space="0"/>
              <w:bottom w:val="single" w:color="auto" w:sz="2" w:space="0"/>
              <w:right w:val="single" w:color="auto" w:sz="2" w:space="0"/>
            </w:tcBorders>
            <w:vAlign w:val="center"/>
          </w:tcPr>
          <w:p w14:paraId="01A3FFB0">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F078F4F">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4F1D30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00BD2F2">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47EC622">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3CB541C3">
            <w:pPr>
              <w:spacing w:line="240" w:lineRule="exact"/>
              <w:jc w:val="right"/>
              <w:rPr>
                <w:rFonts w:ascii="Times New Roman" w:hAnsi="Times New Roman" w:cs="Times New Roman" w:eastAsiaTheme="majorEastAsia"/>
                <w:sz w:val="18"/>
                <w:szCs w:val="18"/>
              </w:rPr>
            </w:pPr>
          </w:p>
        </w:tc>
      </w:tr>
      <w:tr w14:paraId="23B73F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0F93D995">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w:t>
            </w:r>
          </w:p>
        </w:tc>
        <w:tc>
          <w:tcPr>
            <w:tcW w:w="668" w:type="pct"/>
            <w:tcBorders>
              <w:top w:val="single" w:color="auto" w:sz="2" w:space="0"/>
              <w:left w:val="single" w:color="auto" w:sz="2" w:space="0"/>
              <w:bottom w:val="single" w:color="auto" w:sz="2" w:space="0"/>
              <w:right w:val="single" w:color="auto" w:sz="2" w:space="0"/>
            </w:tcBorders>
            <w:vAlign w:val="center"/>
          </w:tcPr>
          <w:p w14:paraId="2A8432A9">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12AC41A7">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C2307BE">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0B68883">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33C1E58">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2C6971CD">
            <w:pPr>
              <w:spacing w:line="240" w:lineRule="exact"/>
              <w:jc w:val="right"/>
              <w:rPr>
                <w:rFonts w:ascii="Times New Roman" w:hAnsi="Times New Roman" w:cs="Times New Roman" w:eastAsiaTheme="majorEastAsia"/>
                <w:sz w:val="18"/>
                <w:szCs w:val="18"/>
              </w:rPr>
            </w:pPr>
          </w:p>
        </w:tc>
      </w:tr>
      <w:tr w14:paraId="6EB014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5EEED060">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8" w:type="pct"/>
            <w:tcBorders>
              <w:top w:val="single" w:color="auto" w:sz="2" w:space="0"/>
              <w:left w:val="single" w:color="auto" w:sz="2" w:space="0"/>
              <w:bottom w:val="single" w:color="auto" w:sz="2" w:space="0"/>
              <w:right w:val="single" w:color="auto" w:sz="2" w:space="0"/>
            </w:tcBorders>
            <w:vAlign w:val="center"/>
          </w:tcPr>
          <w:p w14:paraId="121E9FDB">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5B103280">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B8D45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1,500,000.00</w:t>
            </w:r>
          </w:p>
        </w:tc>
        <w:tc>
          <w:tcPr>
            <w:tcW w:w="695" w:type="pct"/>
            <w:tcBorders>
              <w:top w:val="single" w:color="auto" w:sz="2" w:space="0"/>
              <w:left w:val="single" w:color="auto" w:sz="2" w:space="0"/>
              <w:bottom w:val="single" w:color="auto" w:sz="2" w:space="0"/>
              <w:right w:val="single" w:color="auto" w:sz="2" w:space="0"/>
            </w:tcBorders>
            <w:vAlign w:val="center"/>
          </w:tcPr>
          <w:p w14:paraId="146CE9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6,954,914.80</w:t>
            </w:r>
          </w:p>
        </w:tc>
        <w:tc>
          <w:tcPr>
            <w:tcW w:w="695" w:type="pct"/>
            <w:tcBorders>
              <w:top w:val="single" w:color="auto" w:sz="2" w:space="0"/>
              <w:left w:val="single" w:color="auto" w:sz="2" w:space="0"/>
              <w:bottom w:val="single" w:color="auto" w:sz="2" w:space="0"/>
              <w:right w:val="single" w:color="auto" w:sz="2" w:space="0"/>
            </w:tcBorders>
            <w:vAlign w:val="center"/>
          </w:tcPr>
          <w:p w14:paraId="629C7C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5,626,625.00</w:t>
            </w:r>
          </w:p>
        </w:tc>
        <w:tc>
          <w:tcPr>
            <w:tcW w:w="749" w:type="pct"/>
            <w:tcBorders>
              <w:top w:val="single" w:color="auto" w:sz="2" w:space="0"/>
              <w:left w:val="single" w:color="auto" w:sz="2" w:space="0"/>
              <w:bottom w:val="single" w:color="auto" w:sz="2" w:space="0"/>
              <w:right w:val="single" w:color="auto" w:sz="2" w:space="0"/>
            </w:tcBorders>
            <w:vAlign w:val="center"/>
          </w:tcPr>
          <w:p w14:paraId="21E3E6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14,081,539.80</w:t>
            </w:r>
          </w:p>
        </w:tc>
      </w:tr>
      <w:tr w14:paraId="5B4274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911393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三、减值准备</w:t>
            </w:r>
          </w:p>
        </w:tc>
        <w:tc>
          <w:tcPr>
            <w:tcW w:w="668" w:type="pct"/>
            <w:tcBorders>
              <w:top w:val="single" w:color="auto" w:sz="2" w:space="0"/>
              <w:left w:val="single" w:color="auto" w:sz="2" w:space="0"/>
              <w:bottom w:val="single" w:color="auto" w:sz="2" w:space="0"/>
              <w:right w:val="single" w:color="auto" w:sz="2" w:space="0"/>
            </w:tcBorders>
            <w:vAlign w:val="center"/>
          </w:tcPr>
          <w:p w14:paraId="5FB1817F">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CA88194">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E4FC65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CEA613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E68B51F">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177B6D2D">
            <w:pPr>
              <w:spacing w:line="240" w:lineRule="exact"/>
              <w:jc w:val="right"/>
              <w:rPr>
                <w:rFonts w:ascii="Times New Roman" w:hAnsi="Times New Roman" w:cs="Times New Roman" w:eastAsiaTheme="majorEastAsia"/>
                <w:sz w:val="18"/>
                <w:szCs w:val="18"/>
              </w:rPr>
            </w:pPr>
          </w:p>
        </w:tc>
      </w:tr>
      <w:tr w14:paraId="344A5D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51C0485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1.期初余额</w:t>
            </w:r>
          </w:p>
        </w:tc>
        <w:tc>
          <w:tcPr>
            <w:tcW w:w="668" w:type="pct"/>
            <w:tcBorders>
              <w:top w:val="single" w:color="auto" w:sz="2" w:space="0"/>
              <w:left w:val="single" w:color="auto" w:sz="2" w:space="0"/>
              <w:bottom w:val="single" w:color="auto" w:sz="2" w:space="0"/>
              <w:right w:val="single" w:color="auto" w:sz="2" w:space="0"/>
            </w:tcBorders>
            <w:vAlign w:val="center"/>
          </w:tcPr>
          <w:p w14:paraId="2DB8AC54">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213135F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9315FD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F6A52A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BA649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1,953,375.00</w:t>
            </w:r>
          </w:p>
        </w:tc>
        <w:tc>
          <w:tcPr>
            <w:tcW w:w="749" w:type="pct"/>
            <w:tcBorders>
              <w:top w:val="single" w:color="auto" w:sz="2" w:space="0"/>
              <w:left w:val="single" w:color="auto" w:sz="2" w:space="0"/>
              <w:bottom w:val="single" w:color="auto" w:sz="2" w:space="0"/>
              <w:right w:val="single" w:color="auto" w:sz="2" w:space="0"/>
            </w:tcBorders>
            <w:vAlign w:val="center"/>
          </w:tcPr>
          <w:p w14:paraId="6E0F26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1,953,375.00</w:t>
            </w:r>
          </w:p>
        </w:tc>
      </w:tr>
      <w:tr w14:paraId="38836D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7E6E572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2.本期增加金额</w:t>
            </w:r>
          </w:p>
        </w:tc>
        <w:tc>
          <w:tcPr>
            <w:tcW w:w="668" w:type="pct"/>
            <w:tcBorders>
              <w:top w:val="single" w:color="auto" w:sz="2" w:space="0"/>
              <w:left w:val="single" w:color="auto" w:sz="2" w:space="0"/>
              <w:bottom w:val="single" w:color="auto" w:sz="2" w:space="0"/>
              <w:right w:val="single" w:color="auto" w:sz="2" w:space="0"/>
            </w:tcBorders>
            <w:vAlign w:val="center"/>
          </w:tcPr>
          <w:p w14:paraId="487799B3">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099C080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D47C2A7">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21F7A7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E845329">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0FFB2ACA">
            <w:pPr>
              <w:spacing w:line="240" w:lineRule="exact"/>
              <w:jc w:val="right"/>
              <w:rPr>
                <w:rFonts w:ascii="Times New Roman" w:hAnsi="Times New Roman" w:cs="Times New Roman" w:eastAsiaTheme="majorEastAsia"/>
                <w:sz w:val="18"/>
                <w:szCs w:val="18"/>
              </w:rPr>
            </w:pPr>
          </w:p>
        </w:tc>
      </w:tr>
      <w:tr w14:paraId="68F84C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9802642">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（1）计提</w:t>
            </w:r>
          </w:p>
        </w:tc>
        <w:tc>
          <w:tcPr>
            <w:tcW w:w="668" w:type="pct"/>
            <w:tcBorders>
              <w:top w:val="single" w:color="auto" w:sz="2" w:space="0"/>
              <w:left w:val="single" w:color="auto" w:sz="2" w:space="0"/>
              <w:bottom w:val="single" w:color="auto" w:sz="2" w:space="0"/>
              <w:right w:val="single" w:color="auto" w:sz="2" w:space="0"/>
            </w:tcBorders>
            <w:vAlign w:val="center"/>
          </w:tcPr>
          <w:p w14:paraId="4D0B3CFE">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342A7376">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220C23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73D3A44">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4E703B63">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0FB89A24">
            <w:pPr>
              <w:spacing w:line="240" w:lineRule="exact"/>
              <w:jc w:val="right"/>
              <w:rPr>
                <w:rFonts w:ascii="Times New Roman" w:hAnsi="Times New Roman" w:cs="Times New Roman" w:eastAsiaTheme="majorEastAsia"/>
                <w:sz w:val="18"/>
                <w:szCs w:val="18"/>
              </w:rPr>
            </w:pPr>
          </w:p>
        </w:tc>
      </w:tr>
      <w:tr w14:paraId="6D6CD9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C6622E6">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3.本期减少金额</w:t>
            </w:r>
          </w:p>
        </w:tc>
        <w:tc>
          <w:tcPr>
            <w:tcW w:w="668" w:type="pct"/>
            <w:tcBorders>
              <w:top w:val="single" w:color="auto" w:sz="2" w:space="0"/>
              <w:left w:val="single" w:color="auto" w:sz="2" w:space="0"/>
              <w:bottom w:val="single" w:color="auto" w:sz="2" w:space="0"/>
              <w:right w:val="single" w:color="auto" w:sz="2" w:space="0"/>
            </w:tcBorders>
            <w:vAlign w:val="center"/>
          </w:tcPr>
          <w:p w14:paraId="086B9345">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37871237">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DBFFCE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C39EE6B">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5BC3E358">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4EFA887F">
            <w:pPr>
              <w:spacing w:line="240" w:lineRule="exact"/>
              <w:jc w:val="right"/>
              <w:rPr>
                <w:rFonts w:ascii="Times New Roman" w:hAnsi="Times New Roman" w:cs="Times New Roman" w:eastAsiaTheme="majorEastAsia"/>
                <w:sz w:val="18"/>
                <w:szCs w:val="18"/>
              </w:rPr>
            </w:pPr>
          </w:p>
        </w:tc>
      </w:tr>
      <w:tr w14:paraId="4E688F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322CA158">
            <w:pPr>
              <w:spacing w:before="40" w:after="40" w:line="240" w:lineRule="exact"/>
              <w:ind w:firstLine="720" w:firstLineChars="4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（1）处置</w:t>
            </w:r>
          </w:p>
        </w:tc>
        <w:tc>
          <w:tcPr>
            <w:tcW w:w="668" w:type="pct"/>
            <w:tcBorders>
              <w:top w:val="single" w:color="auto" w:sz="2" w:space="0"/>
              <w:left w:val="single" w:color="auto" w:sz="2" w:space="0"/>
              <w:bottom w:val="single" w:color="auto" w:sz="2" w:space="0"/>
              <w:right w:val="single" w:color="auto" w:sz="2" w:space="0"/>
            </w:tcBorders>
            <w:vAlign w:val="center"/>
          </w:tcPr>
          <w:p w14:paraId="4B3BCB8D">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5F901654">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12CD82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02D2198">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5447432E">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1BCDB9FE">
            <w:pPr>
              <w:spacing w:line="240" w:lineRule="exact"/>
              <w:jc w:val="right"/>
              <w:rPr>
                <w:rFonts w:ascii="Times New Roman" w:hAnsi="Times New Roman" w:cs="Times New Roman" w:eastAsiaTheme="majorEastAsia"/>
                <w:sz w:val="18"/>
                <w:szCs w:val="18"/>
              </w:rPr>
            </w:pPr>
          </w:p>
        </w:tc>
      </w:tr>
      <w:tr w14:paraId="58BE7D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542B599F">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4.期末余额</w:t>
            </w:r>
          </w:p>
        </w:tc>
        <w:tc>
          <w:tcPr>
            <w:tcW w:w="668" w:type="pct"/>
            <w:tcBorders>
              <w:top w:val="single" w:color="auto" w:sz="2" w:space="0"/>
              <w:left w:val="single" w:color="auto" w:sz="2" w:space="0"/>
              <w:bottom w:val="single" w:color="auto" w:sz="2" w:space="0"/>
              <w:right w:val="single" w:color="auto" w:sz="2" w:space="0"/>
            </w:tcBorders>
            <w:vAlign w:val="center"/>
          </w:tcPr>
          <w:p w14:paraId="5F22CDE3">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31D437CC">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54A475A">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3570AC62">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74ED3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1,953,375.00</w:t>
            </w:r>
          </w:p>
        </w:tc>
        <w:tc>
          <w:tcPr>
            <w:tcW w:w="749" w:type="pct"/>
            <w:tcBorders>
              <w:top w:val="single" w:color="auto" w:sz="2" w:space="0"/>
              <w:left w:val="single" w:color="auto" w:sz="2" w:space="0"/>
              <w:bottom w:val="single" w:color="auto" w:sz="2" w:space="0"/>
              <w:right w:val="single" w:color="auto" w:sz="2" w:space="0"/>
            </w:tcBorders>
            <w:vAlign w:val="center"/>
          </w:tcPr>
          <w:p w14:paraId="36B2E1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1,953,375.00</w:t>
            </w:r>
          </w:p>
        </w:tc>
      </w:tr>
      <w:tr w14:paraId="5AC917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426434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四、账面价值</w:t>
            </w:r>
          </w:p>
        </w:tc>
        <w:tc>
          <w:tcPr>
            <w:tcW w:w="668" w:type="pct"/>
            <w:tcBorders>
              <w:top w:val="single" w:color="auto" w:sz="2" w:space="0"/>
              <w:left w:val="single" w:color="auto" w:sz="2" w:space="0"/>
              <w:bottom w:val="single" w:color="auto" w:sz="2" w:space="0"/>
              <w:right w:val="single" w:color="auto" w:sz="2" w:space="0"/>
            </w:tcBorders>
            <w:vAlign w:val="center"/>
          </w:tcPr>
          <w:p w14:paraId="2816417A">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61FBA9D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E473946">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1BDD1DA6">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CA2EA84">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38031038">
            <w:pPr>
              <w:spacing w:line="240" w:lineRule="exact"/>
              <w:jc w:val="right"/>
              <w:rPr>
                <w:rFonts w:ascii="Times New Roman" w:hAnsi="Times New Roman" w:cs="Times New Roman" w:eastAsiaTheme="majorEastAsia"/>
                <w:sz w:val="18"/>
                <w:szCs w:val="18"/>
              </w:rPr>
            </w:pPr>
          </w:p>
        </w:tc>
      </w:tr>
      <w:tr w14:paraId="638609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2BEDE4E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1.期末账面价值</w:t>
            </w:r>
          </w:p>
        </w:tc>
        <w:tc>
          <w:tcPr>
            <w:tcW w:w="668" w:type="pct"/>
            <w:tcBorders>
              <w:top w:val="single" w:color="auto" w:sz="2" w:space="0"/>
              <w:left w:val="single" w:color="auto" w:sz="2" w:space="0"/>
              <w:bottom w:val="single" w:color="auto" w:sz="2" w:space="0"/>
              <w:right w:val="single" w:color="auto" w:sz="2" w:space="0"/>
            </w:tcBorders>
            <w:vAlign w:val="center"/>
          </w:tcPr>
          <w:p w14:paraId="665FA931">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1FFD8E8D">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61E3EB92">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0742C6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167,598.89</w:t>
            </w:r>
          </w:p>
        </w:tc>
        <w:tc>
          <w:tcPr>
            <w:tcW w:w="695" w:type="pct"/>
            <w:tcBorders>
              <w:top w:val="single" w:color="auto" w:sz="2" w:space="0"/>
              <w:left w:val="single" w:color="auto" w:sz="2" w:space="0"/>
              <w:bottom w:val="single" w:color="auto" w:sz="2" w:space="0"/>
              <w:right w:val="single" w:color="auto" w:sz="2" w:space="0"/>
            </w:tcBorders>
            <w:vAlign w:val="center"/>
          </w:tcPr>
          <w:p w14:paraId="1DB014D6">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42D535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167,598.89</w:t>
            </w:r>
          </w:p>
        </w:tc>
      </w:tr>
      <w:tr w14:paraId="38E764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44" w:type="pct"/>
            <w:tcBorders>
              <w:top w:val="single" w:color="auto" w:sz="2" w:space="0"/>
              <w:left w:val="single" w:color="auto" w:sz="2" w:space="0"/>
              <w:bottom w:val="single" w:color="auto" w:sz="2" w:space="0"/>
              <w:right w:val="single" w:color="auto" w:sz="2" w:space="0"/>
            </w:tcBorders>
            <w:shd w:val="clear" w:color="auto" w:fill="D3D3D3"/>
            <w:vAlign w:val="center"/>
          </w:tcPr>
          <w:p w14:paraId="6FE476D1">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2.期初账面价值</w:t>
            </w:r>
          </w:p>
        </w:tc>
        <w:tc>
          <w:tcPr>
            <w:tcW w:w="668" w:type="pct"/>
            <w:tcBorders>
              <w:top w:val="single" w:color="auto" w:sz="2" w:space="0"/>
              <w:left w:val="single" w:color="auto" w:sz="2" w:space="0"/>
              <w:bottom w:val="single" w:color="auto" w:sz="2" w:space="0"/>
              <w:right w:val="single" w:color="auto" w:sz="2" w:space="0"/>
            </w:tcBorders>
            <w:vAlign w:val="center"/>
          </w:tcPr>
          <w:p w14:paraId="2414DFF7">
            <w:pPr>
              <w:spacing w:line="240" w:lineRule="exact"/>
              <w:jc w:val="right"/>
              <w:rPr>
                <w:rFonts w:ascii="Times New Roman" w:hAnsi="Times New Roman" w:cs="Times New Roman" w:eastAsiaTheme="majorEastAsia"/>
                <w:sz w:val="18"/>
                <w:szCs w:val="18"/>
              </w:rPr>
            </w:pPr>
          </w:p>
        </w:tc>
        <w:tc>
          <w:tcPr>
            <w:tcW w:w="453" w:type="pct"/>
            <w:tcBorders>
              <w:top w:val="single" w:color="auto" w:sz="2" w:space="0"/>
              <w:left w:val="single" w:color="auto" w:sz="2" w:space="0"/>
              <w:bottom w:val="single" w:color="auto" w:sz="2" w:space="0"/>
              <w:right w:val="single" w:color="auto" w:sz="2" w:space="0"/>
            </w:tcBorders>
            <w:vAlign w:val="center"/>
          </w:tcPr>
          <w:p w14:paraId="524D0E01">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2ED8C068">
            <w:pPr>
              <w:spacing w:line="240" w:lineRule="exact"/>
              <w:jc w:val="right"/>
              <w:rPr>
                <w:rFonts w:ascii="Times New Roman" w:hAnsi="Times New Roman" w:cs="Times New Roman" w:eastAsiaTheme="majorEastAsia"/>
                <w:sz w:val="18"/>
                <w:szCs w:val="18"/>
              </w:rPr>
            </w:pPr>
          </w:p>
        </w:tc>
        <w:tc>
          <w:tcPr>
            <w:tcW w:w="695" w:type="pct"/>
            <w:tcBorders>
              <w:top w:val="single" w:color="auto" w:sz="2" w:space="0"/>
              <w:left w:val="single" w:color="auto" w:sz="2" w:space="0"/>
              <w:bottom w:val="single" w:color="auto" w:sz="2" w:space="0"/>
              <w:right w:val="single" w:color="auto" w:sz="2" w:space="0"/>
            </w:tcBorders>
            <w:vAlign w:val="center"/>
          </w:tcPr>
          <w:p w14:paraId="7A2D35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937,678.80</w:t>
            </w:r>
          </w:p>
        </w:tc>
        <w:tc>
          <w:tcPr>
            <w:tcW w:w="695" w:type="pct"/>
            <w:tcBorders>
              <w:top w:val="single" w:color="auto" w:sz="2" w:space="0"/>
              <w:left w:val="single" w:color="auto" w:sz="2" w:space="0"/>
              <w:bottom w:val="single" w:color="auto" w:sz="2" w:space="0"/>
              <w:right w:val="single" w:color="auto" w:sz="2" w:space="0"/>
            </w:tcBorders>
            <w:vAlign w:val="center"/>
          </w:tcPr>
          <w:p w14:paraId="0E9974C1">
            <w:pPr>
              <w:spacing w:line="240" w:lineRule="exact"/>
              <w:jc w:val="right"/>
              <w:rPr>
                <w:rFonts w:ascii="Times New Roman" w:hAnsi="Times New Roman" w:cs="Times New Roman" w:eastAsiaTheme="majorEastAsia"/>
                <w:sz w:val="18"/>
                <w:szCs w:val="18"/>
              </w:rPr>
            </w:pPr>
          </w:p>
        </w:tc>
        <w:tc>
          <w:tcPr>
            <w:tcW w:w="749" w:type="pct"/>
            <w:tcBorders>
              <w:top w:val="single" w:color="auto" w:sz="2" w:space="0"/>
              <w:left w:val="single" w:color="auto" w:sz="2" w:space="0"/>
              <w:bottom w:val="single" w:color="auto" w:sz="2" w:space="0"/>
              <w:right w:val="single" w:color="auto" w:sz="2" w:space="0"/>
            </w:tcBorders>
            <w:vAlign w:val="center"/>
          </w:tcPr>
          <w:p w14:paraId="5404AB4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937,678.80</w:t>
            </w:r>
          </w:p>
        </w:tc>
      </w:tr>
    </w:tbl>
    <w:p w14:paraId="5C08D7FD">
      <w:pPr>
        <w:spacing w:before="100" w:after="100" w:line="0" w:lineRule="atLeast"/>
        <w:rPr>
          <w:rFonts w:ascii="Times New Roman" w:hAnsi="Times New Roman" w:cs="Times New Roman" w:eastAsiaTheme="majorEastAsia"/>
        </w:rPr>
      </w:pPr>
    </w:p>
    <w:p w14:paraId="60F3C84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本期末通过公司内部研发形成的无形资产占无形资产余额的比例</w:t>
      </w:r>
      <w:r>
        <w:rPr>
          <w:rFonts w:hint="eastAsia" w:ascii="Times New Roman" w:hAnsi="Times New Roman" w:cs="Times New Roman" w:eastAsiaTheme="majorEastAsia"/>
          <w:sz w:val="18"/>
          <w:szCs w:val="18"/>
        </w:rPr>
        <w:t>：不适用。</w:t>
      </w:r>
    </w:p>
    <w:p w14:paraId="1093D317">
      <w:pPr>
        <w:keepNext/>
        <w:keepLines/>
        <w:spacing w:before="300" w:after="300" w:line="280" w:lineRule="exact"/>
        <w:outlineLvl w:val="3"/>
        <w:rPr>
          <w:rFonts w:ascii="Times New Roman" w:hAnsi="Times New Roman" w:cs="Times New Roman" w:eastAsiaTheme="majorEastAsia"/>
          <w:b/>
          <w:bCs/>
          <w:szCs w:val="21"/>
        </w:rPr>
      </w:pPr>
      <w:bookmarkStart w:id="299" w:name="_Toc989188"/>
      <w:r>
        <w:rPr>
          <w:rFonts w:ascii="Times New Roman" w:hAnsi="Times New Roman" w:cs="Times New Roman" w:eastAsiaTheme="majorEastAsia"/>
          <w:b/>
          <w:bCs/>
          <w:szCs w:val="21"/>
        </w:rPr>
        <w:t>（2） 确认为无形资产的数据资源</w:t>
      </w:r>
      <w:bookmarkEnd w:id="299"/>
    </w:p>
    <w:p w14:paraId="568A06E8">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5D66B8E">
      <w:pPr>
        <w:keepNext/>
        <w:keepLines/>
        <w:spacing w:before="300" w:after="300" w:line="280" w:lineRule="exact"/>
        <w:outlineLvl w:val="3"/>
        <w:rPr>
          <w:rFonts w:ascii="Times New Roman" w:hAnsi="Times New Roman" w:cs="Times New Roman" w:eastAsiaTheme="majorEastAsia"/>
          <w:b/>
          <w:bCs/>
          <w:szCs w:val="21"/>
        </w:rPr>
      </w:pPr>
      <w:bookmarkStart w:id="300" w:name="_Toc989189"/>
      <w:r>
        <w:rPr>
          <w:rFonts w:ascii="Times New Roman" w:hAnsi="Times New Roman" w:cs="Times New Roman" w:eastAsiaTheme="majorEastAsia"/>
          <w:b/>
          <w:bCs/>
          <w:szCs w:val="21"/>
        </w:rPr>
        <w:t>（3） 未办妥产权证书的土地使用权情况</w:t>
      </w:r>
      <w:bookmarkEnd w:id="300"/>
    </w:p>
    <w:p w14:paraId="61BF8D1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46E5F90D">
      <w:pPr>
        <w:keepNext/>
        <w:keepLines/>
        <w:spacing w:before="300" w:after="300" w:line="280" w:lineRule="exact"/>
        <w:outlineLvl w:val="3"/>
        <w:rPr>
          <w:rFonts w:ascii="Times New Roman" w:hAnsi="Times New Roman" w:cs="Times New Roman" w:eastAsiaTheme="majorEastAsia"/>
          <w:b/>
          <w:bCs/>
          <w:szCs w:val="21"/>
        </w:rPr>
      </w:pPr>
      <w:bookmarkStart w:id="301" w:name="_Toc989190"/>
      <w:r>
        <w:rPr>
          <w:rFonts w:ascii="Times New Roman" w:hAnsi="Times New Roman" w:cs="Times New Roman" w:eastAsiaTheme="majorEastAsia"/>
          <w:b/>
          <w:bCs/>
          <w:szCs w:val="21"/>
        </w:rPr>
        <w:t>（4） 无形资产的减值测试情况</w:t>
      </w:r>
      <w:bookmarkEnd w:id="301"/>
    </w:p>
    <w:p w14:paraId="21BDF68D">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B1920D3">
      <w:pPr>
        <w:pStyle w:val="3"/>
        <w:spacing w:line="280" w:lineRule="exact"/>
        <w:jc w:val="left"/>
        <w:rPr>
          <w:rFonts w:ascii="Times New Roman" w:hAnsi="Times New Roman" w:cs="Times New Roman" w:eastAsiaTheme="majorEastAsia"/>
          <w:b/>
          <w:bCs/>
        </w:rPr>
      </w:pPr>
      <w:bookmarkStart w:id="302" w:name="_Toc989191"/>
      <w:r>
        <w:rPr>
          <w:rFonts w:ascii="Times New Roman" w:hAnsi="Times New Roman" w:cs="Times New Roman" w:eastAsiaTheme="majorEastAsia"/>
          <w:b/>
          <w:bCs/>
        </w:rPr>
        <w:t>22、商誉</w:t>
      </w:r>
      <w:bookmarkEnd w:id="302"/>
    </w:p>
    <w:p w14:paraId="5E65F286">
      <w:pPr>
        <w:keepNext/>
        <w:keepLines/>
        <w:spacing w:before="300" w:after="300" w:line="280" w:lineRule="exact"/>
        <w:outlineLvl w:val="3"/>
        <w:rPr>
          <w:rFonts w:ascii="Times New Roman" w:hAnsi="Times New Roman" w:cs="Times New Roman" w:eastAsiaTheme="majorEastAsia"/>
          <w:b/>
          <w:bCs/>
          <w:szCs w:val="21"/>
        </w:rPr>
      </w:pPr>
      <w:bookmarkStart w:id="303" w:name="_Toc989192"/>
      <w:r>
        <w:rPr>
          <w:rFonts w:ascii="Times New Roman" w:hAnsi="Times New Roman" w:cs="Times New Roman" w:eastAsiaTheme="majorEastAsia"/>
          <w:b/>
          <w:bCs/>
          <w:szCs w:val="21"/>
        </w:rPr>
        <w:t>（1） 商誉账面原值</w:t>
      </w:r>
      <w:bookmarkEnd w:id="303"/>
    </w:p>
    <w:p w14:paraId="4732E10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36B0A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934A1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被投资单位名称或形成商誉的事项</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BF90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A8D69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46195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C1271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2D6671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421F121A">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BD637DC">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81FC7D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企业合并形成的</w:t>
            </w:r>
          </w:p>
        </w:tc>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C9C478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A185D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w:t>
            </w:r>
          </w:p>
        </w:tc>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9F4BD8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41ECFCC">
            <w:pPr>
              <w:rPr>
                <w:rFonts w:ascii="Times New Roman" w:hAnsi="Times New Roman" w:cs="Times New Roman" w:eastAsiaTheme="majorEastAsia"/>
              </w:rPr>
            </w:pPr>
          </w:p>
        </w:tc>
      </w:tr>
      <w:tr w14:paraId="35658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150DBC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35BFD9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2,682,094.38</w:t>
            </w:r>
          </w:p>
        </w:tc>
        <w:tc>
          <w:tcPr>
            <w:tcW w:w="1377" w:type="dxa"/>
            <w:tcBorders>
              <w:top w:val="single" w:color="auto" w:sz="2" w:space="0"/>
              <w:left w:val="single" w:color="auto" w:sz="2" w:space="0"/>
              <w:bottom w:val="single" w:color="auto" w:sz="2" w:space="0"/>
              <w:right w:val="single" w:color="auto" w:sz="2" w:space="0"/>
            </w:tcBorders>
            <w:vAlign w:val="center"/>
          </w:tcPr>
          <w:p w14:paraId="449938D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994EC1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CDA87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F9D29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1,110,600.00</w:t>
            </w:r>
          </w:p>
        </w:tc>
        <w:tc>
          <w:tcPr>
            <w:tcW w:w="1377" w:type="dxa"/>
            <w:tcBorders>
              <w:top w:val="single" w:color="auto" w:sz="2" w:space="0"/>
              <w:left w:val="single" w:color="auto" w:sz="2" w:space="0"/>
              <w:bottom w:val="single" w:color="auto" w:sz="2" w:space="0"/>
              <w:right w:val="single" w:color="auto" w:sz="2" w:space="0"/>
            </w:tcBorders>
            <w:vAlign w:val="center"/>
          </w:tcPr>
          <w:p w14:paraId="090F31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1,571,494.38</w:t>
            </w:r>
          </w:p>
        </w:tc>
      </w:tr>
      <w:tr w14:paraId="44957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7E9FC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684854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1,810,891.86</w:t>
            </w:r>
          </w:p>
        </w:tc>
        <w:tc>
          <w:tcPr>
            <w:tcW w:w="1377" w:type="dxa"/>
            <w:tcBorders>
              <w:top w:val="single" w:color="auto" w:sz="2" w:space="0"/>
              <w:left w:val="single" w:color="auto" w:sz="2" w:space="0"/>
              <w:bottom w:val="single" w:color="auto" w:sz="2" w:space="0"/>
              <w:right w:val="single" w:color="auto" w:sz="2" w:space="0"/>
            </w:tcBorders>
            <w:vAlign w:val="center"/>
          </w:tcPr>
          <w:p w14:paraId="1CB8217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D087A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8179E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8EDBD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1,810,891.86</w:t>
            </w:r>
          </w:p>
        </w:tc>
        <w:tc>
          <w:tcPr>
            <w:tcW w:w="1377" w:type="dxa"/>
            <w:tcBorders>
              <w:top w:val="single" w:color="auto" w:sz="2" w:space="0"/>
              <w:left w:val="single" w:color="auto" w:sz="2" w:space="0"/>
              <w:bottom w:val="single" w:color="auto" w:sz="2" w:space="0"/>
              <w:right w:val="single" w:color="auto" w:sz="2" w:space="0"/>
            </w:tcBorders>
            <w:vAlign w:val="center"/>
          </w:tcPr>
          <w:p w14:paraId="5D0CD614">
            <w:pPr>
              <w:spacing w:line="240" w:lineRule="exact"/>
              <w:jc w:val="right"/>
              <w:rPr>
                <w:rFonts w:ascii="Times New Roman" w:hAnsi="Times New Roman" w:cs="Times New Roman" w:eastAsiaTheme="majorEastAsia"/>
                <w:sz w:val="18"/>
                <w:szCs w:val="18"/>
              </w:rPr>
            </w:pPr>
          </w:p>
        </w:tc>
      </w:tr>
      <w:tr w14:paraId="6B67CC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C8B2D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0651D38D">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A37BB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303,959.67</w:t>
            </w:r>
          </w:p>
        </w:tc>
        <w:tc>
          <w:tcPr>
            <w:tcW w:w="1377" w:type="dxa"/>
            <w:tcBorders>
              <w:top w:val="single" w:color="auto" w:sz="2" w:space="0"/>
              <w:left w:val="single" w:color="auto" w:sz="2" w:space="0"/>
              <w:bottom w:val="single" w:color="auto" w:sz="2" w:space="0"/>
              <w:right w:val="single" w:color="auto" w:sz="2" w:space="0"/>
            </w:tcBorders>
            <w:vAlign w:val="center"/>
          </w:tcPr>
          <w:p w14:paraId="1070F639">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64A1B3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730C8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2AAB7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303,959.67</w:t>
            </w:r>
          </w:p>
        </w:tc>
      </w:tr>
      <w:tr w14:paraId="37E35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186EE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29E9E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4,492,986.24</w:t>
            </w:r>
          </w:p>
        </w:tc>
        <w:tc>
          <w:tcPr>
            <w:tcW w:w="1377" w:type="dxa"/>
            <w:tcBorders>
              <w:top w:val="single" w:color="auto" w:sz="2" w:space="0"/>
              <w:left w:val="single" w:color="auto" w:sz="2" w:space="0"/>
              <w:bottom w:val="single" w:color="auto" w:sz="2" w:space="0"/>
              <w:right w:val="single" w:color="auto" w:sz="2" w:space="0"/>
            </w:tcBorders>
            <w:vAlign w:val="center"/>
          </w:tcPr>
          <w:p w14:paraId="683576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303,959.67</w:t>
            </w:r>
          </w:p>
        </w:tc>
        <w:tc>
          <w:tcPr>
            <w:tcW w:w="1377" w:type="dxa"/>
            <w:tcBorders>
              <w:top w:val="single" w:color="auto" w:sz="2" w:space="0"/>
              <w:left w:val="single" w:color="auto" w:sz="2" w:space="0"/>
              <w:bottom w:val="single" w:color="auto" w:sz="2" w:space="0"/>
              <w:right w:val="single" w:color="auto" w:sz="2" w:space="0"/>
            </w:tcBorders>
            <w:vAlign w:val="center"/>
          </w:tcPr>
          <w:p w14:paraId="0EC74A9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B2809D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AF886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2,921,491.86</w:t>
            </w:r>
          </w:p>
        </w:tc>
        <w:tc>
          <w:tcPr>
            <w:tcW w:w="1377" w:type="dxa"/>
            <w:tcBorders>
              <w:top w:val="single" w:color="auto" w:sz="2" w:space="0"/>
              <w:left w:val="single" w:color="auto" w:sz="2" w:space="0"/>
              <w:bottom w:val="single" w:color="auto" w:sz="2" w:space="0"/>
              <w:right w:val="single" w:color="auto" w:sz="2" w:space="0"/>
            </w:tcBorders>
            <w:vAlign w:val="center"/>
          </w:tcPr>
          <w:p w14:paraId="0A5C77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1,875,454.05</w:t>
            </w:r>
          </w:p>
        </w:tc>
      </w:tr>
    </w:tbl>
    <w:p w14:paraId="20C14D6C">
      <w:pPr>
        <w:keepNext/>
        <w:keepLines/>
        <w:spacing w:before="300" w:after="300" w:line="280" w:lineRule="exact"/>
        <w:outlineLvl w:val="3"/>
        <w:rPr>
          <w:rFonts w:ascii="Times New Roman" w:hAnsi="Times New Roman" w:cs="Times New Roman" w:eastAsiaTheme="majorEastAsia"/>
          <w:b/>
          <w:bCs/>
          <w:szCs w:val="21"/>
        </w:rPr>
      </w:pPr>
      <w:bookmarkStart w:id="304" w:name="_Toc989193"/>
      <w:r>
        <w:rPr>
          <w:rFonts w:ascii="Times New Roman" w:hAnsi="Times New Roman" w:cs="Times New Roman" w:eastAsiaTheme="majorEastAsia"/>
          <w:b/>
          <w:bCs/>
          <w:szCs w:val="21"/>
        </w:rPr>
        <w:t>（2） 商誉减值准备</w:t>
      </w:r>
      <w:bookmarkEnd w:id="304"/>
    </w:p>
    <w:p w14:paraId="637E964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4875"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043"/>
        <w:gridCol w:w="1297"/>
        <w:gridCol w:w="1609"/>
        <w:gridCol w:w="1297"/>
        <w:gridCol w:w="1361"/>
      </w:tblGrid>
      <w:tr w14:paraId="3F488A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0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3A337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被投资单位名称或形成商誉的事项</w:t>
            </w:r>
          </w:p>
        </w:tc>
        <w:tc>
          <w:tcPr>
            <w:tcW w:w="675"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7D58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837" w:type="pct"/>
            <w:tcBorders>
              <w:top w:val="single" w:color="auto" w:sz="2" w:space="0"/>
              <w:left w:val="single" w:color="auto" w:sz="2" w:space="0"/>
              <w:bottom w:val="single" w:color="auto" w:sz="2" w:space="0"/>
              <w:right w:val="single" w:color="auto" w:sz="2" w:space="0"/>
            </w:tcBorders>
            <w:shd w:val="clear" w:color="auto" w:fill="D3D3D3"/>
            <w:vAlign w:val="center"/>
          </w:tcPr>
          <w:p w14:paraId="46BDAA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675" w:type="pct"/>
            <w:tcBorders>
              <w:top w:val="single" w:color="auto" w:sz="2" w:space="0"/>
              <w:left w:val="single" w:color="auto" w:sz="2" w:space="0"/>
              <w:bottom w:val="single" w:color="auto" w:sz="2" w:space="0"/>
              <w:right w:val="single" w:color="auto" w:sz="2" w:space="0"/>
            </w:tcBorders>
            <w:shd w:val="clear" w:color="auto" w:fill="D3D3D3"/>
            <w:vAlign w:val="center"/>
          </w:tcPr>
          <w:p w14:paraId="4F7E9F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708"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AE0D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536F6D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04" w:type="pct"/>
            <w:vMerge w:val="continue"/>
            <w:tcBorders>
              <w:top w:val="single" w:color="auto" w:sz="2" w:space="0"/>
              <w:left w:val="single" w:color="auto" w:sz="2" w:space="0"/>
              <w:bottom w:val="single" w:color="auto" w:sz="2" w:space="0"/>
              <w:right w:val="single" w:color="auto" w:sz="2" w:space="0"/>
            </w:tcBorders>
            <w:vAlign w:val="center"/>
          </w:tcPr>
          <w:p w14:paraId="272F51D5">
            <w:pPr>
              <w:rPr>
                <w:rFonts w:ascii="Times New Roman" w:hAnsi="Times New Roman" w:cs="Times New Roman" w:eastAsiaTheme="majorEastAsia"/>
              </w:rPr>
            </w:pPr>
          </w:p>
        </w:tc>
        <w:tc>
          <w:tcPr>
            <w:tcW w:w="675"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63DAB3">
            <w:pPr>
              <w:rPr>
                <w:rFonts w:ascii="Times New Roman" w:hAnsi="Times New Roman" w:cs="Times New Roman" w:eastAsiaTheme="majorEastAsia"/>
              </w:rPr>
            </w:pPr>
          </w:p>
        </w:tc>
        <w:tc>
          <w:tcPr>
            <w:tcW w:w="837" w:type="pct"/>
            <w:tcBorders>
              <w:top w:val="single" w:color="auto" w:sz="2" w:space="0"/>
              <w:left w:val="single" w:color="auto" w:sz="2" w:space="0"/>
              <w:bottom w:val="single" w:color="auto" w:sz="2" w:space="0"/>
              <w:right w:val="single" w:color="auto" w:sz="2" w:space="0"/>
            </w:tcBorders>
            <w:shd w:val="clear" w:color="auto" w:fill="D3D3D3"/>
            <w:vAlign w:val="center"/>
          </w:tcPr>
          <w:p w14:paraId="5E8BF65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675" w:type="pct"/>
            <w:tcBorders>
              <w:top w:val="single" w:color="auto" w:sz="2" w:space="0"/>
              <w:left w:val="single" w:color="auto" w:sz="2" w:space="0"/>
              <w:bottom w:val="single" w:color="auto" w:sz="2" w:space="0"/>
              <w:right w:val="single" w:color="auto" w:sz="2" w:space="0"/>
            </w:tcBorders>
            <w:shd w:val="clear" w:color="auto" w:fill="D3D3D3"/>
            <w:vAlign w:val="center"/>
          </w:tcPr>
          <w:p w14:paraId="462F661B">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w:t>
            </w:r>
          </w:p>
        </w:tc>
        <w:tc>
          <w:tcPr>
            <w:tcW w:w="708"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2C1B1C0">
            <w:pPr>
              <w:rPr>
                <w:rFonts w:ascii="Times New Roman" w:hAnsi="Times New Roman" w:cs="Times New Roman" w:eastAsiaTheme="majorEastAsia"/>
              </w:rPr>
            </w:pPr>
          </w:p>
        </w:tc>
      </w:tr>
      <w:tr w14:paraId="5FC9B5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04" w:type="pct"/>
            <w:tcBorders>
              <w:top w:val="single" w:color="auto" w:sz="2" w:space="0"/>
              <w:left w:val="single" w:color="auto" w:sz="2" w:space="0"/>
              <w:bottom w:val="single" w:color="auto" w:sz="2" w:space="0"/>
              <w:right w:val="single" w:color="auto" w:sz="2" w:space="0"/>
            </w:tcBorders>
            <w:vAlign w:val="center"/>
          </w:tcPr>
          <w:p w14:paraId="1013661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675" w:type="pct"/>
            <w:tcBorders>
              <w:top w:val="single" w:color="auto" w:sz="2" w:space="0"/>
              <w:left w:val="single" w:color="auto" w:sz="2" w:space="0"/>
              <w:bottom w:val="single" w:color="auto" w:sz="2" w:space="0"/>
              <w:right w:val="single" w:color="auto" w:sz="2" w:space="0"/>
            </w:tcBorders>
            <w:vAlign w:val="center"/>
          </w:tcPr>
          <w:p w14:paraId="1AB943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837" w:type="pct"/>
            <w:tcBorders>
              <w:top w:val="single" w:color="auto" w:sz="2" w:space="0"/>
              <w:left w:val="single" w:color="auto" w:sz="2" w:space="0"/>
              <w:bottom w:val="single" w:color="auto" w:sz="2" w:space="0"/>
              <w:right w:val="single" w:color="auto" w:sz="2" w:space="0"/>
            </w:tcBorders>
            <w:vAlign w:val="center"/>
          </w:tcPr>
          <w:p w14:paraId="082849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1,110,600.00</w:t>
            </w:r>
          </w:p>
        </w:tc>
        <w:tc>
          <w:tcPr>
            <w:tcW w:w="675" w:type="pct"/>
            <w:tcBorders>
              <w:top w:val="single" w:color="auto" w:sz="2" w:space="0"/>
              <w:left w:val="single" w:color="auto" w:sz="2" w:space="0"/>
              <w:bottom w:val="single" w:color="auto" w:sz="2" w:space="0"/>
              <w:right w:val="single" w:color="auto" w:sz="2" w:space="0"/>
            </w:tcBorders>
            <w:vAlign w:val="center"/>
          </w:tcPr>
          <w:p w14:paraId="2640EB09">
            <w:pPr>
              <w:spacing w:line="240" w:lineRule="exact"/>
              <w:jc w:val="right"/>
              <w:rPr>
                <w:rFonts w:ascii="Times New Roman" w:hAnsi="Times New Roman" w:cs="Times New Roman" w:eastAsiaTheme="majorEastAsia"/>
                <w:sz w:val="18"/>
                <w:szCs w:val="18"/>
              </w:rPr>
            </w:pPr>
          </w:p>
        </w:tc>
        <w:tc>
          <w:tcPr>
            <w:tcW w:w="708" w:type="pct"/>
            <w:tcBorders>
              <w:top w:val="single" w:color="auto" w:sz="2" w:space="0"/>
              <w:left w:val="single" w:color="auto" w:sz="2" w:space="0"/>
              <w:bottom w:val="single" w:color="auto" w:sz="2" w:space="0"/>
              <w:right w:val="single" w:color="auto" w:sz="2" w:space="0"/>
            </w:tcBorders>
            <w:vAlign w:val="center"/>
          </w:tcPr>
          <w:p w14:paraId="628AC7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1,110,600.00</w:t>
            </w:r>
          </w:p>
        </w:tc>
      </w:tr>
      <w:tr w14:paraId="71EAE3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04" w:type="pct"/>
            <w:tcBorders>
              <w:top w:val="single" w:color="auto" w:sz="2" w:space="0"/>
              <w:left w:val="single" w:color="auto" w:sz="2" w:space="0"/>
              <w:bottom w:val="single" w:color="auto" w:sz="2" w:space="0"/>
              <w:right w:val="single" w:color="auto" w:sz="2" w:space="0"/>
            </w:tcBorders>
            <w:vAlign w:val="center"/>
          </w:tcPr>
          <w:p w14:paraId="1EB2FDE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675" w:type="pct"/>
            <w:tcBorders>
              <w:top w:val="single" w:color="auto" w:sz="2" w:space="0"/>
              <w:left w:val="single" w:color="auto" w:sz="2" w:space="0"/>
              <w:bottom w:val="single" w:color="auto" w:sz="2" w:space="0"/>
              <w:right w:val="single" w:color="auto" w:sz="2" w:space="0"/>
            </w:tcBorders>
            <w:vAlign w:val="center"/>
          </w:tcPr>
          <w:p w14:paraId="5EB0EF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837" w:type="pct"/>
            <w:tcBorders>
              <w:top w:val="single" w:color="auto" w:sz="2" w:space="0"/>
              <w:left w:val="single" w:color="auto" w:sz="2" w:space="0"/>
              <w:bottom w:val="single" w:color="auto" w:sz="2" w:space="0"/>
              <w:right w:val="single" w:color="auto" w:sz="2" w:space="0"/>
            </w:tcBorders>
            <w:vAlign w:val="center"/>
          </w:tcPr>
          <w:p w14:paraId="769D91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1,810,891.86</w:t>
            </w:r>
          </w:p>
        </w:tc>
        <w:tc>
          <w:tcPr>
            <w:tcW w:w="675" w:type="pct"/>
            <w:tcBorders>
              <w:top w:val="single" w:color="auto" w:sz="2" w:space="0"/>
              <w:left w:val="single" w:color="auto" w:sz="2" w:space="0"/>
              <w:bottom w:val="single" w:color="auto" w:sz="2" w:space="0"/>
              <w:right w:val="single" w:color="auto" w:sz="2" w:space="0"/>
            </w:tcBorders>
            <w:vAlign w:val="center"/>
          </w:tcPr>
          <w:p w14:paraId="70F8F2F2">
            <w:pPr>
              <w:spacing w:line="240" w:lineRule="exact"/>
              <w:jc w:val="right"/>
              <w:rPr>
                <w:rFonts w:ascii="Times New Roman" w:hAnsi="Times New Roman" w:cs="Times New Roman" w:eastAsiaTheme="majorEastAsia"/>
                <w:sz w:val="18"/>
                <w:szCs w:val="18"/>
              </w:rPr>
            </w:pPr>
          </w:p>
        </w:tc>
        <w:tc>
          <w:tcPr>
            <w:tcW w:w="708" w:type="pct"/>
            <w:tcBorders>
              <w:top w:val="single" w:color="auto" w:sz="2" w:space="0"/>
              <w:left w:val="single" w:color="auto" w:sz="2" w:space="0"/>
              <w:bottom w:val="single" w:color="auto" w:sz="2" w:space="0"/>
              <w:right w:val="single" w:color="auto" w:sz="2" w:space="0"/>
            </w:tcBorders>
            <w:vAlign w:val="center"/>
          </w:tcPr>
          <w:p w14:paraId="21281A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1,810,891.86</w:t>
            </w:r>
          </w:p>
        </w:tc>
      </w:tr>
      <w:tr w14:paraId="2DDAD4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104" w:type="pct"/>
            <w:tcBorders>
              <w:top w:val="single" w:color="auto" w:sz="2" w:space="0"/>
              <w:left w:val="single" w:color="auto" w:sz="2" w:space="0"/>
              <w:bottom w:val="single" w:color="auto" w:sz="2" w:space="0"/>
              <w:right w:val="single" w:color="auto" w:sz="2" w:space="0"/>
            </w:tcBorders>
            <w:shd w:val="clear" w:color="auto" w:fill="D3D3D3"/>
            <w:vAlign w:val="center"/>
          </w:tcPr>
          <w:p w14:paraId="0131634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675" w:type="pct"/>
            <w:tcBorders>
              <w:top w:val="single" w:color="auto" w:sz="2" w:space="0"/>
              <w:left w:val="single" w:color="auto" w:sz="2" w:space="0"/>
              <w:bottom w:val="single" w:color="auto" w:sz="2" w:space="0"/>
              <w:right w:val="single" w:color="auto" w:sz="2" w:space="0"/>
            </w:tcBorders>
            <w:vAlign w:val="center"/>
          </w:tcPr>
          <w:p w14:paraId="66F10D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837" w:type="pct"/>
            <w:tcBorders>
              <w:top w:val="single" w:color="auto" w:sz="2" w:space="0"/>
              <w:left w:val="single" w:color="auto" w:sz="2" w:space="0"/>
              <w:bottom w:val="single" w:color="auto" w:sz="2" w:space="0"/>
              <w:right w:val="single" w:color="auto" w:sz="2" w:space="0"/>
            </w:tcBorders>
            <w:vAlign w:val="center"/>
          </w:tcPr>
          <w:p w14:paraId="6488C9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2,921,491.86</w:t>
            </w:r>
          </w:p>
        </w:tc>
        <w:tc>
          <w:tcPr>
            <w:tcW w:w="675" w:type="pct"/>
            <w:tcBorders>
              <w:top w:val="single" w:color="auto" w:sz="2" w:space="0"/>
              <w:left w:val="single" w:color="auto" w:sz="2" w:space="0"/>
              <w:bottom w:val="single" w:color="auto" w:sz="2" w:space="0"/>
              <w:right w:val="single" w:color="auto" w:sz="2" w:space="0"/>
            </w:tcBorders>
            <w:vAlign w:val="center"/>
          </w:tcPr>
          <w:p w14:paraId="1DED4A87">
            <w:pPr>
              <w:spacing w:line="240" w:lineRule="exact"/>
              <w:jc w:val="right"/>
              <w:rPr>
                <w:rFonts w:ascii="Times New Roman" w:hAnsi="Times New Roman" w:cs="Times New Roman" w:eastAsiaTheme="majorEastAsia"/>
                <w:sz w:val="18"/>
                <w:szCs w:val="18"/>
              </w:rPr>
            </w:pPr>
          </w:p>
        </w:tc>
        <w:tc>
          <w:tcPr>
            <w:tcW w:w="708" w:type="pct"/>
            <w:tcBorders>
              <w:top w:val="single" w:color="auto" w:sz="2" w:space="0"/>
              <w:left w:val="single" w:color="auto" w:sz="2" w:space="0"/>
              <w:bottom w:val="single" w:color="auto" w:sz="2" w:space="0"/>
              <w:right w:val="single" w:color="auto" w:sz="2" w:space="0"/>
            </w:tcBorders>
            <w:vAlign w:val="center"/>
          </w:tcPr>
          <w:p w14:paraId="541F51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2,921,491.86</w:t>
            </w:r>
          </w:p>
        </w:tc>
      </w:tr>
    </w:tbl>
    <w:p w14:paraId="15F25ED5">
      <w:pPr>
        <w:keepNext/>
        <w:keepLines/>
        <w:spacing w:before="300" w:after="300" w:line="280" w:lineRule="exact"/>
        <w:outlineLvl w:val="3"/>
        <w:rPr>
          <w:rFonts w:ascii="Times New Roman" w:hAnsi="Times New Roman" w:cs="Times New Roman" w:eastAsiaTheme="majorEastAsia"/>
          <w:b/>
          <w:bCs/>
          <w:szCs w:val="21"/>
        </w:rPr>
      </w:pPr>
      <w:bookmarkStart w:id="305" w:name="_Toc989194"/>
      <w:r>
        <w:rPr>
          <w:rFonts w:ascii="Times New Roman" w:hAnsi="Times New Roman" w:cs="Times New Roman" w:eastAsiaTheme="majorEastAsia"/>
          <w:b/>
          <w:bCs/>
          <w:szCs w:val="21"/>
        </w:rPr>
        <w:t>（3） 商誉所在资产组或资产组组合的相关信息</w:t>
      </w:r>
      <w:bookmarkEnd w:id="305"/>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802"/>
        <w:gridCol w:w="2551"/>
        <w:gridCol w:w="2835"/>
        <w:gridCol w:w="1451"/>
      </w:tblGrid>
      <w:tr w14:paraId="7CFD16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shd w:val="clear" w:color="auto" w:fill="D3D3D3"/>
            <w:vAlign w:val="center"/>
          </w:tcPr>
          <w:p w14:paraId="1A9506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2551" w:type="dxa"/>
            <w:tcBorders>
              <w:top w:val="single" w:color="auto" w:sz="2" w:space="0"/>
              <w:left w:val="single" w:color="auto" w:sz="2" w:space="0"/>
              <w:bottom w:val="single" w:color="auto" w:sz="2" w:space="0"/>
              <w:right w:val="single" w:color="auto" w:sz="2" w:space="0"/>
            </w:tcBorders>
            <w:shd w:val="clear" w:color="auto" w:fill="D3D3D3"/>
            <w:vAlign w:val="center"/>
          </w:tcPr>
          <w:p w14:paraId="308D4C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所属资产组或组合的构成及依据</w:t>
            </w:r>
          </w:p>
        </w:tc>
        <w:tc>
          <w:tcPr>
            <w:tcW w:w="2835" w:type="dxa"/>
            <w:tcBorders>
              <w:top w:val="single" w:color="auto" w:sz="2" w:space="0"/>
              <w:left w:val="single" w:color="auto" w:sz="2" w:space="0"/>
              <w:bottom w:val="single" w:color="auto" w:sz="2" w:space="0"/>
              <w:right w:val="single" w:color="auto" w:sz="2" w:space="0"/>
            </w:tcBorders>
            <w:shd w:val="clear" w:color="auto" w:fill="D3D3D3"/>
            <w:vAlign w:val="center"/>
          </w:tcPr>
          <w:p w14:paraId="17CB5C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所属经营分部及依据</w:t>
            </w:r>
          </w:p>
        </w:tc>
        <w:tc>
          <w:tcPr>
            <w:tcW w:w="1451" w:type="dxa"/>
            <w:tcBorders>
              <w:top w:val="single" w:color="auto" w:sz="2" w:space="0"/>
              <w:left w:val="single" w:color="auto" w:sz="2" w:space="0"/>
              <w:bottom w:val="single" w:color="auto" w:sz="2" w:space="0"/>
              <w:right w:val="single" w:color="auto" w:sz="2" w:space="0"/>
            </w:tcBorders>
            <w:shd w:val="clear" w:color="auto" w:fill="D3D3D3"/>
            <w:vAlign w:val="center"/>
          </w:tcPr>
          <w:p w14:paraId="542F6F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是否与以前年度保持一致</w:t>
            </w:r>
          </w:p>
        </w:tc>
      </w:tr>
      <w:tr w14:paraId="51C95A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2C4093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2551" w:type="dxa"/>
            <w:tcBorders>
              <w:top w:val="single" w:color="auto" w:sz="2" w:space="0"/>
              <w:left w:val="single" w:color="auto" w:sz="2" w:space="0"/>
              <w:bottom w:val="single" w:color="auto" w:sz="2" w:space="0"/>
              <w:right w:val="single" w:color="auto" w:sz="2" w:space="0"/>
            </w:tcBorders>
            <w:vAlign w:val="center"/>
          </w:tcPr>
          <w:p w14:paraId="7C7DF37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深圳市互联精英信息技术有限公司经营性资产组</w:t>
            </w:r>
          </w:p>
        </w:tc>
        <w:tc>
          <w:tcPr>
            <w:tcW w:w="2835" w:type="dxa"/>
            <w:tcBorders>
              <w:top w:val="single" w:color="auto" w:sz="2" w:space="0"/>
              <w:left w:val="single" w:color="auto" w:sz="2" w:space="0"/>
              <w:bottom w:val="single" w:color="auto" w:sz="2" w:space="0"/>
              <w:right w:val="single" w:color="auto" w:sz="2" w:space="0"/>
            </w:tcBorders>
            <w:vAlign w:val="center"/>
          </w:tcPr>
          <w:p w14:paraId="03D5ED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根据从事的业务类型，划分为软件开发与服务行业分布</w:t>
            </w:r>
          </w:p>
        </w:tc>
        <w:tc>
          <w:tcPr>
            <w:tcW w:w="1451" w:type="dxa"/>
            <w:tcBorders>
              <w:top w:val="single" w:color="auto" w:sz="2" w:space="0"/>
              <w:left w:val="single" w:color="auto" w:sz="2" w:space="0"/>
              <w:bottom w:val="single" w:color="auto" w:sz="2" w:space="0"/>
              <w:right w:val="single" w:color="auto" w:sz="2" w:space="0"/>
            </w:tcBorders>
            <w:vAlign w:val="center"/>
          </w:tcPr>
          <w:p w14:paraId="6E7A71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10BE11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57F9D1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2551" w:type="dxa"/>
            <w:tcBorders>
              <w:top w:val="single" w:color="auto" w:sz="2" w:space="0"/>
              <w:left w:val="single" w:color="auto" w:sz="2" w:space="0"/>
              <w:bottom w:val="single" w:color="auto" w:sz="2" w:space="0"/>
              <w:right w:val="single" w:color="auto" w:sz="2" w:space="0"/>
            </w:tcBorders>
            <w:vAlign w:val="center"/>
          </w:tcPr>
          <w:p w14:paraId="1BAA6F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广图粤科（广州）科技有限公司经营性资产组</w:t>
            </w:r>
          </w:p>
        </w:tc>
        <w:tc>
          <w:tcPr>
            <w:tcW w:w="2835" w:type="dxa"/>
            <w:tcBorders>
              <w:top w:val="single" w:color="auto" w:sz="2" w:space="0"/>
              <w:left w:val="single" w:color="auto" w:sz="2" w:space="0"/>
              <w:bottom w:val="single" w:color="auto" w:sz="2" w:space="0"/>
              <w:right w:val="single" w:color="auto" w:sz="2" w:space="0"/>
            </w:tcBorders>
            <w:vAlign w:val="center"/>
          </w:tcPr>
          <w:p w14:paraId="458AC5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根据从事的业务类型，划分为软件开发与服务行业分布</w:t>
            </w:r>
          </w:p>
        </w:tc>
        <w:tc>
          <w:tcPr>
            <w:tcW w:w="1451" w:type="dxa"/>
            <w:tcBorders>
              <w:top w:val="single" w:color="auto" w:sz="2" w:space="0"/>
              <w:left w:val="single" w:color="auto" w:sz="2" w:space="0"/>
              <w:bottom w:val="single" w:color="auto" w:sz="2" w:space="0"/>
              <w:right w:val="single" w:color="auto" w:sz="2" w:space="0"/>
            </w:tcBorders>
            <w:vAlign w:val="center"/>
          </w:tcPr>
          <w:p w14:paraId="66416D2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r w14:paraId="7C6AC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63EDF0B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2551" w:type="dxa"/>
            <w:tcBorders>
              <w:top w:val="single" w:color="auto" w:sz="2" w:space="0"/>
              <w:left w:val="single" w:color="auto" w:sz="2" w:space="0"/>
              <w:bottom w:val="single" w:color="auto" w:sz="2" w:space="0"/>
              <w:right w:val="single" w:color="auto" w:sz="2" w:space="0"/>
            </w:tcBorders>
            <w:vAlign w:val="center"/>
          </w:tcPr>
          <w:p w14:paraId="2CCF36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广东翼启数据产业有限公司经营性资产组</w:t>
            </w:r>
          </w:p>
        </w:tc>
        <w:tc>
          <w:tcPr>
            <w:tcW w:w="2835" w:type="dxa"/>
            <w:tcBorders>
              <w:top w:val="single" w:color="auto" w:sz="2" w:space="0"/>
              <w:left w:val="single" w:color="auto" w:sz="2" w:space="0"/>
              <w:bottom w:val="single" w:color="auto" w:sz="2" w:space="0"/>
              <w:right w:val="single" w:color="auto" w:sz="2" w:space="0"/>
            </w:tcBorders>
            <w:vAlign w:val="center"/>
          </w:tcPr>
          <w:p w14:paraId="16FE4A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根据从事的业务类型，划分为软件开发与服务行业分布</w:t>
            </w:r>
          </w:p>
        </w:tc>
        <w:tc>
          <w:tcPr>
            <w:tcW w:w="1451" w:type="dxa"/>
            <w:tcBorders>
              <w:top w:val="single" w:color="auto" w:sz="2" w:space="0"/>
              <w:left w:val="single" w:color="auto" w:sz="2" w:space="0"/>
              <w:bottom w:val="single" w:color="auto" w:sz="2" w:space="0"/>
              <w:right w:val="single" w:color="auto" w:sz="2" w:space="0"/>
            </w:tcBorders>
            <w:vAlign w:val="center"/>
          </w:tcPr>
          <w:p w14:paraId="2EC41E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w:t>
            </w:r>
          </w:p>
        </w:tc>
      </w:tr>
    </w:tbl>
    <w:p w14:paraId="7DBCCA6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资产组或资产组组合发生变化</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802"/>
        <w:gridCol w:w="2551"/>
        <w:gridCol w:w="2835"/>
        <w:gridCol w:w="1451"/>
      </w:tblGrid>
      <w:tr w14:paraId="45AF4A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shd w:val="clear" w:color="auto" w:fill="D3D3D3"/>
            <w:vAlign w:val="center"/>
          </w:tcPr>
          <w:p w14:paraId="59861A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2551" w:type="dxa"/>
            <w:tcBorders>
              <w:top w:val="single" w:color="auto" w:sz="2" w:space="0"/>
              <w:left w:val="single" w:color="auto" w:sz="2" w:space="0"/>
              <w:bottom w:val="single" w:color="auto" w:sz="2" w:space="0"/>
              <w:right w:val="single" w:color="auto" w:sz="2" w:space="0"/>
            </w:tcBorders>
            <w:shd w:val="clear" w:color="auto" w:fill="D3D3D3"/>
            <w:vAlign w:val="center"/>
          </w:tcPr>
          <w:p w14:paraId="4F8113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变化前的构成</w:t>
            </w:r>
          </w:p>
        </w:tc>
        <w:tc>
          <w:tcPr>
            <w:tcW w:w="2835" w:type="dxa"/>
            <w:tcBorders>
              <w:top w:val="single" w:color="auto" w:sz="2" w:space="0"/>
              <w:left w:val="single" w:color="auto" w:sz="2" w:space="0"/>
              <w:bottom w:val="single" w:color="auto" w:sz="2" w:space="0"/>
              <w:right w:val="single" w:color="auto" w:sz="2" w:space="0"/>
            </w:tcBorders>
            <w:shd w:val="clear" w:color="auto" w:fill="D3D3D3"/>
            <w:vAlign w:val="center"/>
          </w:tcPr>
          <w:p w14:paraId="29BE10D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变化后的构成</w:t>
            </w:r>
          </w:p>
        </w:tc>
        <w:tc>
          <w:tcPr>
            <w:tcW w:w="1451" w:type="dxa"/>
            <w:tcBorders>
              <w:top w:val="single" w:color="auto" w:sz="2" w:space="0"/>
              <w:left w:val="single" w:color="auto" w:sz="2" w:space="0"/>
              <w:bottom w:val="single" w:color="auto" w:sz="2" w:space="0"/>
              <w:right w:val="single" w:color="auto" w:sz="2" w:space="0"/>
            </w:tcBorders>
            <w:shd w:val="clear" w:color="auto" w:fill="D3D3D3"/>
            <w:vAlign w:val="center"/>
          </w:tcPr>
          <w:p w14:paraId="345E1F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导致变化的客观事实及依据</w:t>
            </w:r>
          </w:p>
        </w:tc>
      </w:tr>
      <w:tr w14:paraId="1D1287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802" w:type="dxa"/>
            <w:tcBorders>
              <w:top w:val="single" w:color="auto" w:sz="2" w:space="0"/>
              <w:left w:val="single" w:color="auto" w:sz="2" w:space="0"/>
              <w:bottom w:val="single" w:color="auto" w:sz="2" w:space="0"/>
              <w:right w:val="single" w:color="auto" w:sz="2" w:space="0"/>
            </w:tcBorders>
            <w:vAlign w:val="center"/>
          </w:tcPr>
          <w:p w14:paraId="39AE85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不适用</w:t>
            </w:r>
          </w:p>
        </w:tc>
        <w:tc>
          <w:tcPr>
            <w:tcW w:w="2551" w:type="dxa"/>
            <w:tcBorders>
              <w:top w:val="single" w:color="auto" w:sz="2" w:space="0"/>
              <w:left w:val="single" w:color="auto" w:sz="2" w:space="0"/>
              <w:bottom w:val="single" w:color="auto" w:sz="2" w:space="0"/>
              <w:right w:val="single" w:color="auto" w:sz="2" w:space="0"/>
            </w:tcBorders>
            <w:vAlign w:val="center"/>
          </w:tcPr>
          <w:p w14:paraId="13982DE2">
            <w:pPr>
              <w:spacing w:line="240" w:lineRule="exact"/>
              <w:rPr>
                <w:rFonts w:ascii="Times New Roman" w:hAnsi="Times New Roman" w:cs="Times New Roman" w:eastAsiaTheme="majorEastAsia"/>
                <w:sz w:val="18"/>
                <w:szCs w:val="18"/>
              </w:rPr>
            </w:pPr>
          </w:p>
        </w:tc>
        <w:tc>
          <w:tcPr>
            <w:tcW w:w="2835" w:type="dxa"/>
            <w:tcBorders>
              <w:top w:val="single" w:color="auto" w:sz="2" w:space="0"/>
              <w:left w:val="single" w:color="auto" w:sz="2" w:space="0"/>
              <w:bottom w:val="single" w:color="auto" w:sz="2" w:space="0"/>
              <w:right w:val="single" w:color="auto" w:sz="2" w:space="0"/>
            </w:tcBorders>
            <w:vAlign w:val="center"/>
          </w:tcPr>
          <w:p w14:paraId="52D79238">
            <w:pPr>
              <w:spacing w:line="240" w:lineRule="exact"/>
              <w:rPr>
                <w:rFonts w:ascii="Times New Roman" w:hAnsi="Times New Roman" w:cs="Times New Roman" w:eastAsiaTheme="majorEastAsia"/>
                <w:sz w:val="18"/>
                <w:szCs w:val="18"/>
              </w:rPr>
            </w:pPr>
          </w:p>
        </w:tc>
        <w:tc>
          <w:tcPr>
            <w:tcW w:w="1451" w:type="dxa"/>
            <w:tcBorders>
              <w:top w:val="single" w:color="auto" w:sz="2" w:space="0"/>
              <w:left w:val="single" w:color="auto" w:sz="2" w:space="0"/>
              <w:bottom w:val="single" w:color="auto" w:sz="2" w:space="0"/>
              <w:right w:val="single" w:color="auto" w:sz="2" w:space="0"/>
            </w:tcBorders>
            <w:vAlign w:val="center"/>
          </w:tcPr>
          <w:p w14:paraId="114C3780">
            <w:pPr>
              <w:spacing w:line="240" w:lineRule="exact"/>
              <w:rPr>
                <w:rFonts w:ascii="Times New Roman" w:hAnsi="Times New Roman" w:cs="Times New Roman" w:eastAsiaTheme="majorEastAsia"/>
                <w:sz w:val="18"/>
                <w:szCs w:val="18"/>
              </w:rPr>
            </w:pPr>
          </w:p>
        </w:tc>
      </w:tr>
    </w:tbl>
    <w:p w14:paraId="63FB8D3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2725D1A1">
      <w:pPr>
        <w:pStyle w:val="10"/>
        <w:spacing w:before="156" w:beforeLines="50" w:beforeAutospacing="0" w:after="156" w:afterLines="50" w:afterAutospacing="0"/>
        <w:ind w:firstLine="357"/>
        <w:jc w:val="both"/>
        <w:rPr>
          <w:rFonts w:ascii="Times New Roman" w:hAnsi="Times New Roman" w:cs="Times New Roman" w:eastAsiaTheme="majorEastAsia"/>
        </w:rPr>
      </w:pPr>
      <w:r>
        <w:rPr>
          <w:rFonts w:ascii="Times New Roman" w:hAnsi="Times New Roman" w:cs="Times New Roman" w:eastAsiaTheme="majorEastAsia"/>
          <w:sz w:val="21"/>
          <w:szCs w:val="21"/>
        </w:rPr>
        <w:t>商誉减值测试涉及的资产组或资产组组合的构成情况如下：资产负债表日的测试范围为与商誉相关的最小资产组所涉及的资产及负债，该资产组与购买日及以前年度商誉减值测试时所确定的资产组或资产组组合一致。</w:t>
      </w:r>
    </w:p>
    <w:p w14:paraId="07B204DD">
      <w:pPr>
        <w:keepNext/>
        <w:keepLines/>
        <w:spacing w:before="300" w:after="300" w:line="280" w:lineRule="exact"/>
        <w:outlineLvl w:val="3"/>
        <w:rPr>
          <w:rFonts w:ascii="Times New Roman" w:hAnsi="Times New Roman" w:cs="Times New Roman" w:eastAsiaTheme="majorEastAsia"/>
          <w:b/>
          <w:bCs/>
          <w:szCs w:val="21"/>
        </w:rPr>
      </w:pPr>
      <w:bookmarkStart w:id="306" w:name="_Toc989195"/>
      <w:r>
        <w:rPr>
          <w:rFonts w:ascii="Times New Roman" w:hAnsi="Times New Roman" w:cs="Times New Roman" w:eastAsiaTheme="majorEastAsia"/>
          <w:b/>
          <w:bCs/>
          <w:szCs w:val="21"/>
        </w:rPr>
        <w:t>（4） 可收回金额的具体确定方法</w:t>
      </w:r>
      <w:bookmarkEnd w:id="306"/>
    </w:p>
    <w:p w14:paraId="2FD2792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可收回金额按公允价值减去处置费用后的净额确定</w:t>
      </w:r>
    </w:p>
    <w:p w14:paraId="75AF01B1">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82A398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可收回金额按预计未来现金流量的现值确定</w:t>
      </w:r>
    </w:p>
    <w:p w14:paraId="606867E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348B4241">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18"/>
        <w:gridCol w:w="1251"/>
        <w:gridCol w:w="1251"/>
        <w:gridCol w:w="1161"/>
        <w:gridCol w:w="796"/>
        <w:gridCol w:w="958"/>
        <w:gridCol w:w="1253"/>
        <w:gridCol w:w="1565"/>
      </w:tblGrid>
      <w:tr w14:paraId="6606A4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21" w:type="pct"/>
            <w:tcBorders>
              <w:top w:val="single" w:color="auto" w:sz="2" w:space="0"/>
              <w:left w:val="single" w:color="auto" w:sz="2" w:space="0"/>
              <w:bottom w:val="single" w:color="auto" w:sz="2" w:space="0"/>
              <w:right w:val="single" w:color="auto" w:sz="2" w:space="0"/>
            </w:tcBorders>
            <w:shd w:val="clear" w:color="auto" w:fill="D3D3D3"/>
            <w:vAlign w:val="center"/>
          </w:tcPr>
          <w:p w14:paraId="156397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35" w:type="pct"/>
            <w:tcBorders>
              <w:top w:val="single" w:color="auto" w:sz="2" w:space="0"/>
              <w:left w:val="single" w:color="auto" w:sz="2" w:space="0"/>
              <w:bottom w:val="single" w:color="auto" w:sz="2" w:space="0"/>
              <w:right w:val="single" w:color="auto" w:sz="2" w:space="0"/>
            </w:tcBorders>
            <w:shd w:val="clear" w:color="auto" w:fill="D3D3D3"/>
            <w:vAlign w:val="center"/>
          </w:tcPr>
          <w:p w14:paraId="718449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635" w:type="pct"/>
            <w:tcBorders>
              <w:top w:val="single" w:color="auto" w:sz="2" w:space="0"/>
              <w:left w:val="single" w:color="auto" w:sz="2" w:space="0"/>
              <w:bottom w:val="single" w:color="auto" w:sz="2" w:space="0"/>
              <w:right w:val="single" w:color="auto" w:sz="2" w:space="0"/>
            </w:tcBorders>
            <w:shd w:val="clear" w:color="auto" w:fill="D3D3D3"/>
            <w:vAlign w:val="center"/>
          </w:tcPr>
          <w:p w14:paraId="4F4645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w:t>
            </w:r>
          </w:p>
        </w:tc>
        <w:tc>
          <w:tcPr>
            <w:tcW w:w="589" w:type="pct"/>
            <w:tcBorders>
              <w:top w:val="single" w:color="auto" w:sz="2" w:space="0"/>
              <w:left w:val="single" w:color="auto" w:sz="2" w:space="0"/>
              <w:bottom w:val="single" w:color="auto" w:sz="2" w:space="0"/>
              <w:right w:val="single" w:color="auto" w:sz="2" w:space="0"/>
            </w:tcBorders>
            <w:shd w:val="clear" w:color="auto" w:fill="D3D3D3"/>
            <w:vAlign w:val="center"/>
          </w:tcPr>
          <w:p w14:paraId="6F31FE3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减值金额</w:t>
            </w:r>
          </w:p>
        </w:tc>
        <w:tc>
          <w:tcPr>
            <w:tcW w:w="404" w:type="pct"/>
            <w:tcBorders>
              <w:top w:val="single" w:color="auto" w:sz="2" w:space="0"/>
              <w:left w:val="single" w:color="auto" w:sz="2" w:space="0"/>
              <w:bottom w:val="single" w:color="auto" w:sz="2" w:space="0"/>
              <w:right w:val="single" w:color="auto" w:sz="2" w:space="0"/>
            </w:tcBorders>
            <w:shd w:val="clear" w:color="auto" w:fill="D3D3D3"/>
            <w:vAlign w:val="center"/>
          </w:tcPr>
          <w:p w14:paraId="6CBBC5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预测期的年限</w:t>
            </w:r>
          </w:p>
        </w:tc>
        <w:tc>
          <w:tcPr>
            <w:tcW w:w="486" w:type="pct"/>
            <w:tcBorders>
              <w:top w:val="single" w:color="auto" w:sz="2" w:space="0"/>
              <w:left w:val="single" w:color="auto" w:sz="2" w:space="0"/>
              <w:bottom w:val="single" w:color="auto" w:sz="2" w:space="0"/>
              <w:right w:val="single" w:color="auto" w:sz="2" w:space="0"/>
            </w:tcBorders>
            <w:shd w:val="clear" w:color="auto" w:fill="D3D3D3"/>
            <w:vAlign w:val="center"/>
          </w:tcPr>
          <w:p w14:paraId="0CB3FC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预测期的关键参数</w:t>
            </w:r>
          </w:p>
        </w:tc>
        <w:tc>
          <w:tcPr>
            <w:tcW w:w="636" w:type="pct"/>
            <w:tcBorders>
              <w:top w:val="single" w:color="auto" w:sz="2" w:space="0"/>
              <w:left w:val="single" w:color="auto" w:sz="2" w:space="0"/>
              <w:bottom w:val="single" w:color="auto" w:sz="2" w:space="0"/>
              <w:right w:val="single" w:color="auto" w:sz="2" w:space="0"/>
            </w:tcBorders>
            <w:shd w:val="clear" w:color="auto" w:fill="D3D3D3"/>
            <w:vAlign w:val="center"/>
          </w:tcPr>
          <w:p w14:paraId="3B443A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稳定期的关键参数</w:t>
            </w:r>
          </w:p>
        </w:tc>
        <w:tc>
          <w:tcPr>
            <w:tcW w:w="795" w:type="pct"/>
            <w:tcBorders>
              <w:top w:val="single" w:color="auto" w:sz="2" w:space="0"/>
              <w:left w:val="single" w:color="auto" w:sz="2" w:space="0"/>
              <w:bottom w:val="single" w:color="auto" w:sz="2" w:space="0"/>
              <w:right w:val="single" w:color="auto" w:sz="2" w:space="0"/>
            </w:tcBorders>
            <w:shd w:val="clear" w:color="auto" w:fill="D3D3D3"/>
            <w:vAlign w:val="center"/>
          </w:tcPr>
          <w:p w14:paraId="7D595B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稳定期的关键参数的确定依据</w:t>
            </w:r>
          </w:p>
        </w:tc>
      </w:tr>
      <w:tr w14:paraId="32C8E8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21" w:type="pct"/>
            <w:tcBorders>
              <w:top w:val="single" w:color="auto" w:sz="2" w:space="0"/>
              <w:left w:val="single" w:color="auto" w:sz="2" w:space="0"/>
              <w:bottom w:val="single" w:color="auto" w:sz="2" w:space="0"/>
              <w:right w:val="single" w:color="auto" w:sz="2" w:space="0"/>
            </w:tcBorders>
            <w:vAlign w:val="center"/>
          </w:tcPr>
          <w:p w14:paraId="4142F2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635" w:type="pct"/>
            <w:tcBorders>
              <w:top w:val="single" w:color="auto" w:sz="2" w:space="0"/>
              <w:left w:val="single" w:color="auto" w:sz="2" w:space="0"/>
              <w:bottom w:val="single" w:color="auto" w:sz="2" w:space="0"/>
              <w:right w:val="single" w:color="auto" w:sz="2" w:space="0"/>
            </w:tcBorders>
            <w:vAlign w:val="center"/>
          </w:tcPr>
          <w:p w14:paraId="45316D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79,110,566.04</w:t>
            </w:r>
          </w:p>
        </w:tc>
        <w:tc>
          <w:tcPr>
            <w:tcW w:w="635" w:type="pct"/>
            <w:tcBorders>
              <w:top w:val="single" w:color="auto" w:sz="2" w:space="0"/>
              <w:left w:val="single" w:color="auto" w:sz="2" w:space="0"/>
              <w:bottom w:val="single" w:color="auto" w:sz="2" w:space="0"/>
              <w:right w:val="single" w:color="auto" w:sz="2" w:space="0"/>
            </w:tcBorders>
            <w:vAlign w:val="center"/>
          </w:tcPr>
          <w:p w14:paraId="77F7F0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78,000,000.00</w:t>
            </w:r>
          </w:p>
        </w:tc>
        <w:tc>
          <w:tcPr>
            <w:tcW w:w="589" w:type="pct"/>
            <w:tcBorders>
              <w:top w:val="single" w:color="auto" w:sz="2" w:space="0"/>
              <w:left w:val="single" w:color="auto" w:sz="2" w:space="0"/>
              <w:bottom w:val="single" w:color="auto" w:sz="2" w:space="0"/>
              <w:right w:val="single" w:color="auto" w:sz="2" w:space="0"/>
            </w:tcBorders>
            <w:vAlign w:val="center"/>
          </w:tcPr>
          <w:p w14:paraId="74D814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1,110,600.00</w:t>
            </w:r>
          </w:p>
        </w:tc>
        <w:tc>
          <w:tcPr>
            <w:tcW w:w="404" w:type="pct"/>
            <w:tcBorders>
              <w:top w:val="single" w:color="auto" w:sz="2" w:space="0"/>
              <w:left w:val="single" w:color="auto" w:sz="2" w:space="0"/>
              <w:bottom w:val="single" w:color="auto" w:sz="2" w:space="0"/>
              <w:right w:val="single" w:color="auto" w:sz="2" w:space="0"/>
            </w:tcBorders>
            <w:vAlign w:val="center"/>
          </w:tcPr>
          <w:p w14:paraId="2AEE41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w:t>
            </w:r>
          </w:p>
        </w:tc>
        <w:tc>
          <w:tcPr>
            <w:tcW w:w="486" w:type="pct"/>
            <w:tcBorders>
              <w:top w:val="single" w:color="auto" w:sz="2" w:space="0"/>
              <w:left w:val="single" w:color="auto" w:sz="2" w:space="0"/>
              <w:bottom w:val="single" w:color="auto" w:sz="2" w:space="0"/>
              <w:right w:val="single" w:color="auto" w:sz="2" w:space="0"/>
            </w:tcBorders>
            <w:vAlign w:val="center"/>
          </w:tcPr>
          <w:p w14:paraId="572379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预计未来现金流量</w:t>
            </w:r>
          </w:p>
        </w:tc>
        <w:tc>
          <w:tcPr>
            <w:tcW w:w="636" w:type="pct"/>
            <w:tcBorders>
              <w:top w:val="single" w:color="auto" w:sz="2" w:space="0"/>
              <w:left w:val="single" w:color="auto" w:sz="2" w:space="0"/>
              <w:bottom w:val="single" w:color="auto" w:sz="2" w:space="0"/>
              <w:right w:val="single" w:color="auto" w:sz="2" w:space="0"/>
            </w:tcBorders>
            <w:vAlign w:val="center"/>
          </w:tcPr>
          <w:p w14:paraId="5CF7D1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低于预测期末2029年</w:t>
            </w:r>
          </w:p>
        </w:tc>
        <w:tc>
          <w:tcPr>
            <w:tcW w:w="795" w:type="pct"/>
            <w:tcBorders>
              <w:top w:val="single" w:color="auto" w:sz="2" w:space="0"/>
              <w:left w:val="single" w:color="auto" w:sz="2" w:space="0"/>
              <w:bottom w:val="single" w:color="auto" w:sz="2" w:space="0"/>
              <w:right w:val="single" w:color="auto" w:sz="2" w:space="0"/>
            </w:tcBorders>
            <w:vAlign w:val="center"/>
          </w:tcPr>
          <w:p w14:paraId="527A62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税前折现率 12.59%</w:t>
            </w:r>
          </w:p>
        </w:tc>
      </w:tr>
      <w:tr w14:paraId="1451C7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21" w:type="pct"/>
            <w:tcBorders>
              <w:top w:val="single" w:color="auto" w:sz="2" w:space="0"/>
              <w:left w:val="single" w:color="auto" w:sz="2" w:space="0"/>
              <w:bottom w:val="single" w:color="auto" w:sz="2" w:space="0"/>
              <w:right w:val="single" w:color="auto" w:sz="2" w:space="0"/>
            </w:tcBorders>
            <w:vAlign w:val="center"/>
          </w:tcPr>
          <w:p w14:paraId="7AA938D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635" w:type="pct"/>
            <w:tcBorders>
              <w:top w:val="single" w:color="auto" w:sz="2" w:space="0"/>
              <w:left w:val="single" w:color="auto" w:sz="2" w:space="0"/>
              <w:bottom w:val="single" w:color="auto" w:sz="2" w:space="0"/>
              <w:right w:val="single" w:color="auto" w:sz="2" w:space="0"/>
            </w:tcBorders>
            <w:vAlign w:val="center"/>
          </w:tcPr>
          <w:p w14:paraId="16E1E8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9,633,231.93</w:t>
            </w:r>
          </w:p>
        </w:tc>
        <w:tc>
          <w:tcPr>
            <w:tcW w:w="635" w:type="pct"/>
            <w:tcBorders>
              <w:top w:val="single" w:color="auto" w:sz="2" w:space="0"/>
              <w:left w:val="single" w:color="auto" w:sz="2" w:space="0"/>
              <w:bottom w:val="single" w:color="auto" w:sz="2" w:space="0"/>
              <w:right w:val="single" w:color="auto" w:sz="2" w:space="0"/>
            </w:tcBorders>
            <w:vAlign w:val="center"/>
          </w:tcPr>
          <w:p w14:paraId="2F890C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6,000,000.00</w:t>
            </w:r>
          </w:p>
        </w:tc>
        <w:tc>
          <w:tcPr>
            <w:tcW w:w="589" w:type="pct"/>
            <w:tcBorders>
              <w:top w:val="single" w:color="auto" w:sz="2" w:space="0"/>
              <w:left w:val="single" w:color="auto" w:sz="2" w:space="0"/>
              <w:bottom w:val="single" w:color="auto" w:sz="2" w:space="0"/>
              <w:right w:val="single" w:color="auto" w:sz="2" w:space="0"/>
            </w:tcBorders>
            <w:vAlign w:val="center"/>
          </w:tcPr>
          <w:p w14:paraId="7F61FB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3,550,768.35</w:t>
            </w:r>
          </w:p>
        </w:tc>
        <w:tc>
          <w:tcPr>
            <w:tcW w:w="404" w:type="pct"/>
            <w:tcBorders>
              <w:top w:val="single" w:color="auto" w:sz="2" w:space="0"/>
              <w:left w:val="single" w:color="auto" w:sz="2" w:space="0"/>
              <w:bottom w:val="single" w:color="auto" w:sz="2" w:space="0"/>
              <w:right w:val="single" w:color="auto" w:sz="2" w:space="0"/>
            </w:tcBorders>
            <w:vAlign w:val="center"/>
          </w:tcPr>
          <w:p w14:paraId="37FF08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w:t>
            </w:r>
          </w:p>
        </w:tc>
        <w:tc>
          <w:tcPr>
            <w:tcW w:w="486" w:type="pct"/>
            <w:tcBorders>
              <w:top w:val="single" w:color="auto" w:sz="2" w:space="0"/>
              <w:left w:val="single" w:color="auto" w:sz="2" w:space="0"/>
              <w:bottom w:val="single" w:color="auto" w:sz="2" w:space="0"/>
              <w:right w:val="single" w:color="auto" w:sz="2" w:space="0"/>
            </w:tcBorders>
            <w:vAlign w:val="center"/>
          </w:tcPr>
          <w:p w14:paraId="0C7615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预计未来现金流量</w:t>
            </w:r>
          </w:p>
        </w:tc>
        <w:tc>
          <w:tcPr>
            <w:tcW w:w="636" w:type="pct"/>
            <w:tcBorders>
              <w:top w:val="single" w:color="auto" w:sz="2" w:space="0"/>
              <w:left w:val="single" w:color="auto" w:sz="2" w:space="0"/>
              <w:bottom w:val="single" w:color="auto" w:sz="2" w:space="0"/>
              <w:right w:val="single" w:color="auto" w:sz="2" w:space="0"/>
            </w:tcBorders>
            <w:vAlign w:val="center"/>
          </w:tcPr>
          <w:p w14:paraId="716298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低于预测期末2029年</w:t>
            </w:r>
          </w:p>
        </w:tc>
        <w:tc>
          <w:tcPr>
            <w:tcW w:w="795" w:type="pct"/>
            <w:tcBorders>
              <w:top w:val="single" w:color="auto" w:sz="2" w:space="0"/>
              <w:left w:val="single" w:color="auto" w:sz="2" w:space="0"/>
              <w:bottom w:val="single" w:color="auto" w:sz="2" w:space="0"/>
              <w:right w:val="single" w:color="auto" w:sz="2" w:space="0"/>
            </w:tcBorders>
            <w:vAlign w:val="center"/>
          </w:tcPr>
          <w:p w14:paraId="067015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税前折现率 13.38%</w:t>
            </w:r>
          </w:p>
        </w:tc>
      </w:tr>
      <w:tr w14:paraId="278E92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21" w:type="pct"/>
            <w:tcBorders>
              <w:top w:val="single" w:color="auto" w:sz="2" w:space="0"/>
              <w:left w:val="single" w:color="auto" w:sz="2" w:space="0"/>
              <w:bottom w:val="single" w:color="auto" w:sz="2" w:space="0"/>
              <w:right w:val="single" w:color="auto" w:sz="2" w:space="0"/>
            </w:tcBorders>
            <w:vAlign w:val="center"/>
          </w:tcPr>
          <w:p w14:paraId="5412D6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635" w:type="pct"/>
            <w:tcBorders>
              <w:top w:val="single" w:color="auto" w:sz="2" w:space="0"/>
              <w:left w:val="single" w:color="auto" w:sz="2" w:space="0"/>
              <w:bottom w:val="single" w:color="auto" w:sz="2" w:space="0"/>
              <w:right w:val="single" w:color="auto" w:sz="2" w:space="0"/>
            </w:tcBorders>
            <w:vAlign w:val="center"/>
          </w:tcPr>
          <w:p w14:paraId="7FB6BF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10,231,816.07</w:t>
            </w:r>
          </w:p>
        </w:tc>
        <w:tc>
          <w:tcPr>
            <w:tcW w:w="635" w:type="pct"/>
            <w:tcBorders>
              <w:top w:val="single" w:color="auto" w:sz="2" w:space="0"/>
              <w:left w:val="single" w:color="auto" w:sz="2" w:space="0"/>
              <w:bottom w:val="single" w:color="auto" w:sz="2" w:space="0"/>
              <w:right w:val="single" w:color="auto" w:sz="2" w:space="0"/>
            </w:tcBorders>
            <w:vAlign w:val="center"/>
          </w:tcPr>
          <w:p w14:paraId="3EE9DD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12,000,000.00</w:t>
            </w:r>
          </w:p>
        </w:tc>
        <w:tc>
          <w:tcPr>
            <w:tcW w:w="589" w:type="pct"/>
            <w:tcBorders>
              <w:top w:val="single" w:color="auto" w:sz="2" w:space="0"/>
              <w:left w:val="single" w:color="auto" w:sz="2" w:space="0"/>
              <w:bottom w:val="single" w:color="auto" w:sz="2" w:space="0"/>
              <w:right w:val="single" w:color="auto" w:sz="2" w:space="0"/>
            </w:tcBorders>
            <w:vAlign w:val="center"/>
          </w:tcPr>
          <w:p w14:paraId="4E70D2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404" w:type="pct"/>
            <w:tcBorders>
              <w:top w:val="single" w:color="auto" w:sz="2" w:space="0"/>
              <w:left w:val="single" w:color="auto" w:sz="2" w:space="0"/>
              <w:bottom w:val="single" w:color="auto" w:sz="2" w:space="0"/>
              <w:right w:val="single" w:color="auto" w:sz="2" w:space="0"/>
            </w:tcBorders>
            <w:vAlign w:val="center"/>
          </w:tcPr>
          <w:p w14:paraId="6800F7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w:t>
            </w:r>
          </w:p>
        </w:tc>
        <w:tc>
          <w:tcPr>
            <w:tcW w:w="486" w:type="pct"/>
            <w:tcBorders>
              <w:top w:val="single" w:color="auto" w:sz="2" w:space="0"/>
              <w:left w:val="single" w:color="auto" w:sz="2" w:space="0"/>
              <w:bottom w:val="single" w:color="auto" w:sz="2" w:space="0"/>
              <w:right w:val="single" w:color="auto" w:sz="2" w:space="0"/>
            </w:tcBorders>
            <w:vAlign w:val="center"/>
          </w:tcPr>
          <w:p w14:paraId="5E0384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预计未来现金流量</w:t>
            </w:r>
          </w:p>
        </w:tc>
        <w:tc>
          <w:tcPr>
            <w:tcW w:w="636" w:type="pct"/>
            <w:tcBorders>
              <w:top w:val="single" w:color="auto" w:sz="2" w:space="0"/>
              <w:left w:val="single" w:color="auto" w:sz="2" w:space="0"/>
              <w:bottom w:val="single" w:color="auto" w:sz="2" w:space="0"/>
              <w:right w:val="single" w:color="auto" w:sz="2" w:space="0"/>
            </w:tcBorders>
            <w:vAlign w:val="center"/>
          </w:tcPr>
          <w:p w14:paraId="048B774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与预测期末2029年持平</w:t>
            </w:r>
          </w:p>
        </w:tc>
        <w:tc>
          <w:tcPr>
            <w:tcW w:w="795" w:type="pct"/>
            <w:tcBorders>
              <w:top w:val="single" w:color="auto" w:sz="2" w:space="0"/>
              <w:left w:val="single" w:color="auto" w:sz="2" w:space="0"/>
              <w:bottom w:val="single" w:color="auto" w:sz="2" w:space="0"/>
              <w:right w:val="single" w:color="auto" w:sz="2" w:space="0"/>
            </w:tcBorders>
            <w:vAlign w:val="center"/>
          </w:tcPr>
          <w:p w14:paraId="174243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税前折现率 12.59%</w:t>
            </w:r>
          </w:p>
        </w:tc>
      </w:tr>
      <w:tr w14:paraId="7252F1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21" w:type="pct"/>
            <w:tcBorders>
              <w:top w:val="single" w:color="auto" w:sz="2" w:space="0"/>
              <w:left w:val="single" w:color="auto" w:sz="2" w:space="0"/>
              <w:bottom w:val="single" w:color="auto" w:sz="2" w:space="0"/>
              <w:right w:val="single" w:color="auto" w:sz="2" w:space="0"/>
            </w:tcBorders>
            <w:shd w:val="clear" w:color="auto" w:fill="D3D3D3"/>
            <w:vAlign w:val="center"/>
          </w:tcPr>
          <w:p w14:paraId="2FAC4C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635" w:type="pct"/>
            <w:tcBorders>
              <w:top w:val="single" w:color="auto" w:sz="2" w:space="0"/>
              <w:left w:val="single" w:color="auto" w:sz="2" w:space="0"/>
              <w:bottom w:val="single" w:color="auto" w:sz="2" w:space="0"/>
              <w:right w:val="single" w:color="auto" w:sz="2" w:space="0"/>
            </w:tcBorders>
            <w:vAlign w:val="center"/>
          </w:tcPr>
          <w:p w14:paraId="662964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98,975,614.04</w:t>
            </w:r>
          </w:p>
        </w:tc>
        <w:tc>
          <w:tcPr>
            <w:tcW w:w="635" w:type="pct"/>
            <w:tcBorders>
              <w:top w:val="single" w:color="auto" w:sz="2" w:space="0"/>
              <w:left w:val="single" w:color="auto" w:sz="2" w:space="0"/>
              <w:bottom w:val="single" w:color="auto" w:sz="2" w:space="0"/>
              <w:right w:val="single" w:color="auto" w:sz="2" w:space="0"/>
            </w:tcBorders>
            <w:vAlign w:val="center"/>
          </w:tcPr>
          <w:p w14:paraId="6316BE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96,000,000.00</w:t>
            </w:r>
          </w:p>
        </w:tc>
        <w:tc>
          <w:tcPr>
            <w:tcW w:w="589" w:type="pct"/>
            <w:tcBorders>
              <w:top w:val="single" w:color="auto" w:sz="2" w:space="0"/>
              <w:left w:val="single" w:color="auto" w:sz="2" w:space="0"/>
              <w:bottom w:val="single" w:color="auto" w:sz="2" w:space="0"/>
              <w:right w:val="single" w:color="auto" w:sz="2" w:space="0"/>
            </w:tcBorders>
            <w:vAlign w:val="center"/>
          </w:tcPr>
          <w:p w14:paraId="220CBB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4,661,368.35</w:t>
            </w:r>
          </w:p>
        </w:tc>
        <w:tc>
          <w:tcPr>
            <w:tcW w:w="404" w:type="pct"/>
            <w:tcBorders>
              <w:top w:val="single" w:color="auto" w:sz="2" w:space="0"/>
              <w:left w:val="single" w:color="auto" w:sz="2" w:space="0"/>
              <w:bottom w:val="single" w:color="auto" w:sz="2" w:space="0"/>
              <w:right w:val="single" w:color="auto" w:sz="2" w:space="0"/>
            </w:tcBorders>
            <w:shd w:val="clear" w:color="auto" w:fill="D3D3D3"/>
            <w:vAlign w:val="center"/>
          </w:tcPr>
          <w:p w14:paraId="72678704">
            <w:pPr>
              <w:rPr>
                <w:rFonts w:ascii="Times New Roman" w:hAnsi="Times New Roman" w:cs="Times New Roman" w:eastAsiaTheme="majorEastAsia"/>
              </w:rPr>
            </w:pPr>
          </w:p>
        </w:tc>
        <w:tc>
          <w:tcPr>
            <w:tcW w:w="486" w:type="pct"/>
            <w:tcBorders>
              <w:top w:val="single" w:color="auto" w:sz="2" w:space="0"/>
              <w:left w:val="single" w:color="auto" w:sz="2" w:space="0"/>
              <w:bottom w:val="single" w:color="auto" w:sz="2" w:space="0"/>
              <w:right w:val="single" w:color="auto" w:sz="2" w:space="0"/>
            </w:tcBorders>
            <w:shd w:val="clear" w:color="auto" w:fill="D3D3D3"/>
            <w:vAlign w:val="center"/>
          </w:tcPr>
          <w:p w14:paraId="61A005C2">
            <w:pPr>
              <w:rPr>
                <w:rFonts w:ascii="Times New Roman" w:hAnsi="Times New Roman" w:cs="Times New Roman" w:eastAsiaTheme="majorEastAsia"/>
              </w:rPr>
            </w:pPr>
          </w:p>
        </w:tc>
        <w:tc>
          <w:tcPr>
            <w:tcW w:w="636" w:type="pct"/>
            <w:tcBorders>
              <w:top w:val="single" w:color="auto" w:sz="2" w:space="0"/>
              <w:left w:val="single" w:color="auto" w:sz="2" w:space="0"/>
              <w:bottom w:val="single" w:color="auto" w:sz="2" w:space="0"/>
              <w:right w:val="single" w:color="auto" w:sz="2" w:space="0"/>
            </w:tcBorders>
            <w:shd w:val="clear" w:color="auto" w:fill="D3D3D3"/>
            <w:vAlign w:val="center"/>
          </w:tcPr>
          <w:p w14:paraId="7C8AF87A">
            <w:pPr>
              <w:rPr>
                <w:rFonts w:ascii="Times New Roman" w:hAnsi="Times New Roman" w:cs="Times New Roman" w:eastAsiaTheme="majorEastAsia"/>
              </w:rPr>
            </w:pPr>
          </w:p>
        </w:tc>
        <w:tc>
          <w:tcPr>
            <w:tcW w:w="795" w:type="pct"/>
            <w:tcBorders>
              <w:top w:val="single" w:color="auto" w:sz="2" w:space="0"/>
              <w:left w:val="single" w:color="auto" w:sz="2" w:space="0"/>
              <w:bottom w:val="single" w:color="auto" w:sz="2" w:space="0"/>
              <w:right w:val="single" w:color="auto" w:sz="2" w:space="0"/>
            </w:tcBorders>
            <w:shd w:val="clear" w:color="auto" w:fill="D3D3D3"/>
            <w:vAlign w:val="center"/>
          </w:tcPr>
          <w:p w14:paraId="19A66ED1">
            <w:pPr>
              <w:rPr>
                <w:rFonts w:ascii="Times New Roman" w:hAnsi="Times New Roman" w:cs="Times New Roman" w:eastAsiaTheme="majorEastAsia"/>
              </w:rPr>
            </w:pPr>
          </w:p>
        </w:tc>
      </w:tr>
    </w:tbl>
    <w:p w14:paraId="22B805F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前述信息与以前年度减值测试采用的信息或外部信息明显不一致的差异原因</w:t>
      </w:r>
      <w:r>
        <w:rPr>
          <w:rFonts w:hint="eastAsia" w:ascii="Times New Roman" w:hAnsi="Times New Roman" w:cs="Times New Roman" w:eastAsiaTheme="majorEastAsia"/>
          <w:sz w:val="18"/>
          <w:szCs w:val="18"/>
        </w:rPr>
        <w:t>：</w:t>
      </w:r>
      <w:r>
        <w:rPr>
          <w:rFonts w:ascii="Times New Roman" w:hAnsi="Times New Roman" w:cs="Times New Roman" w:eastAsiaTheme="majorEastAsia"/>
          <w:szCs w:val="21"/>
        </w:rPr>
        <w:t>不适用。</w:t>
      </w:r>
    </w:p>
    <w:p w14:paraId="5E21A64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公司以前年度减值测试采用信息与当年实际情况明显不一致的差异原因</w:t>
      </w:r>
      <w:r>
        <w:rPr>
          <w:rFonts w:hint="eastAsia" w:ascii="Times New Roman" w:hAnsi="Times New Roman" w:cs="Times New Roman" w:eastAsiaTheme="majorEastAsia"/>
          <w:sz w:val="18"/>
          <w:szCs w:val="18"/>
        </w:rPr>
        <w:t>：</w:t>
      </w:r>
      <w:r>
        <w:rPr>
          <w:rFonts w:ascii="Times New Roman" w:hAnsi="Times New Roman" w:cs="Times New Roman" w:eastAsiaTheme="majorEastAsia"/>
          <w:szCs w:val="21"/>
        </w:rPr>
        <w:t>不适用。</w:t>
      </w:r>
    </w:p>
    <w:p w14:paraId="7695C8E8">
      <w:pPr>
        <w:keepNext/>
        <w:keepLines/>
        <w:spacing w:before="300" w:after="300" w:line="280" w:lineRule="exact"/>
        <w:outlineLvl w:val="3"/>
        <w:rPr>
          <w:rFonts w:ascii="Times New Roman" w:hAnsi="Times New Roman" w:cs="Times New Roman" w:eastAsiaTheme="majorEastAsia"/>
          <w:b/>
          <w:bCs/>
          <w:szCs w:val="21"/>
        </w:rPr>
      </w:pPr>
      <w:bookmarkStart w:id="307" w:name="_Toc989196"/>
      <w:r>
        <w:rPr>
          <w:rFonts w:ascii="Times New Roman" w:hAnsi="Times New Roman" w:cs="Times New Roman" w:eastAsiaTheme="majorEastAsia"/>
          <w:b/>
          <w:bCs/>
          <w:szCs w:val="21"/>
        </w:rPr>
        <w:t>（5） 业绩承诺完成及对应商誉减值情况</w:t>
      </w:r>
      <w:bookmarkEnd w:id="307"/>
    </w:p>
    <w:p w14:paraId="190C69F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形成商誉时存在业绩承诺且报告期或报告期上一期间处于业绩承诺期内</w:t>
      </w:r>
    </w:p>
    <w:p w14:paraId="2EE0CA5C">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A41E23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11DB55D7">
      <w:pPr>
        <w:pStyle w:val="3"/>
        <w:spacing w:line="280" w:lineRule="exact"/>
        <w:jc w:val="left"/>
        <w:rPr>
          <w:rFonts w:ascii="Times New Roman" w:hAnsi="Times New Roman" w:cs="Times New Roman" w:eastAsiaTheme="majorEastAsia"/>
          <w:b/>
          <w:bCs/>
        </w:rPr>
      </w:pPr>
      <w:bookmarkStart w:id="308" w:name="_Toc989197"/>
      <w:r>
        <w:rPr>
          <w:rFonts w:ascii="Times New Roman" w:hAnsi="Times New Roman" w:cs="Times New Roman" w:eastAsiaTheme="majorEastAsia"/>
          <w:b/>
          <w:bCs/>
        </w:rPr>
        <w:t>23、长期待摊费用</w:t>
      </w:r>
      <w:bookmarkEnd w:id="308"/>
    </w:p>
    <w:p w14:paraId="6E7034F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5CDEFF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0604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6FC954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F328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20347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本期摊销金额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09720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其他减少金额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A25F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3B5F5B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0EF0C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装修费用</w:t>
            </w:r>
          </w:p>
        </w:tc>
        <w:tc>
          <w:tcPr>
            <w:tcW w:w="1606" w:type="dxa"/>
            <w:tcBorders>
              <w:top w:val="single" w:color="auto" w:sz="2" w:space="0"/>
              <w:left w:val="single" w:color="auto" w:sz="2" w:space="0"/>
              <w:bottom w:val="single" w:color="auto" w:sz="2" w:space="0"/>
              <w:right w:val="single" w:color="auto" w:sz="2" w:space="0"/>
            </w:tcBorders>
            <w:vAlign w:val="center"/>
          </w:tcPr>
          <w:p w14:paraId="255FE0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560,202.29</w:t>
            </w:r>
          </w:p>
        </w:tc>
        <w:tc>
          <w:tcPr>
            <w:tcW w:w="1606" w:type="dxa"/>
            <w:tcBorders>
              <w:top w:val="single" w:color="auto" w:sz="2" w:space="0"/>
              <w:left w:val="single" w:color="auto" w:sz="2" w:space="0"/>
              <w:bottom w:val="single" w:color="auto" w:sz="2" w:space="0"/>
              <w:right w:val="single" w:color="auto" w:sz="2" w:space="0"/>
            </w:tcBorders>
            <w:vAlign w:val="center"/>
          </w:tcPr>
          <w:p w14:paraId="0185DD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2,499,238.39</w:t>
            </w:r>
          </w:p>
        </w:tc>
        <w:tc>
          <w:tcPr>
            <w:tcW w:w="1606" w:type="dxa"/>
            <w:tcBorders>
              <w:top w:val="single" w:color="auto" w:sz="2" w:space="0"/>
              <w:left w:val="single" w:color="auto" w:sz="2" w:space="0"/>
              <w:bottom w:val="single" w:color="auto" w:sz="2" w:space="0"/>
              <w:right w:val="single" w:color="auto" w:sz="2" w:space="0"/>
            </w:tcBorders>
            <w:vAlign w:val="center"/>
          </w:tcPr>
          <w:p w14:paraId="60E987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415,243.70</w:t>
            </w:r>
          </w:p>
        </w:tc>
        <w:tc>
          <w:tcPr>
            <w:tcW w:w="1606" w:type="dxa"/>
            <w:tcBorders>
              <w:top w:val="single" w:color="auto" w:sz="2" w:space="0"/>
              <w:left w:val="single" w:color="auto" w:sz="2" w:space="0"/>
              <w:bottom w:val="single" w:color="auto" w:sz="2" w:space="0"/>
              <w:right w:val="single" w:color="auto" w:sz="2" w:space="0"/>
            </w:tcBorders>
            <w:vAlign w:val="center"/>
          </w:tcPr>
          <w:p w14:paraId="32F862CF">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250ECF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2,644,196.98</w:t>
            </w:r>
          </w:p>
        </w:tc>
      </w:tr>
      <w:tr w14:paraId="633258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56C224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OA软件实施</w:t>
            </w:r>
          </w:p>
        </w:tc>
        <w:tc>
          <w:tcPr>
            <w:tcW w:w="1606" w:type="dxa"/>
            <w:tcBorders>
              <w:top w:val="single" w:color="auto" w:sz="2" w:space="0"/>
              <w:left w:val="single" w:color="auto" w:sz="2" w:space="0"/>
              <w:bottom w:val="single" w:color="auto" w:sz="2" w:space="0"/>
              <w:right w:val="single" w:color="auto" w:sz="2" w:space="0"/>
            </w:tcBorders>
            <w:vAlign w:val="center"/>
          </w:tcPr>
          <w:p w14:paraId="6EA1394D">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94FC8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250,753.77</w:t>
            </w:r>
          </w:p>
        </w:tc>
        <w:tc>
          <w:tcPr>
            <w:tcW w:w="1606" w:type="dxa"/>
            <w:tcBorders>
              <w:top w:val="single" w:color="auto" w:sz="2" w:space="0"/>
              <w:left w:val="single" w:color="auto" w:sz="2" w:space="0"/>
              <w:bottom w:val="single" w:color="auto" w:sz="2" w:space="0"/>
              <w:right w:val="single" w:color="auto" w:sz="2" w:space="0"/>
            </w:tcBorders>
            <w:vAlign w:val="center"/>
          </w:tcPr>
          <w:p w14:paraId="0F8A17CC">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89A462">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A3CAF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250,753.77</w:t>
            </w:r>
          </w:p>
        </w:tc>
      </w:tr>
      <w:tr w14:paraId="2BC3D2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905CE3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26EAA2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560,202.29</w:t>
            </w:r>
          </w:p>
        </w:tc>
        <w:tc>
          <w:tcPr>
            <w:tcW w:w="1606" w:type="dxa"/>
            <w:tcBorders>
              <w:top w:val="single" w:color="auto" w:sz="2" w:space="0"/>
              <w:left w:val="single" w:color="auto" w:sz="2" w:space="0"/>
              <w:bottom w:val="single" w:color="auto" w:sz="2" w:space="0"/>
              <w:right w:val="single" w:color="auto" w:sz="2" w:space="0"/>
            </w:tcBorders>
            <w:vAlign w:val="center"/>
          </w:tcPr>
          <w:p w14:paraId="2147EE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2,749,992.16</w:t>
            </w:r>
          </w:p>
        </w:tc>
        <w:tc>
          <w:tcPr>
            <w:tcW w:w="1606" w:type="dxa"/>
            <w:tcBorders>
              <w:top w:val="single" w:color="auto" w:sz="2" w:space="0"/>
              <w:left w:val="single" w:color="auto" w:sz="2" w:space="0"/>
              <w:bottom w:val="single" w:color="auto" w:sz="2" w:space="0"/>
              <w:right w:val="single" w:color="auto" w:sz="2" w:space="0"/>
            </w:tcBorders>
            <w:vAlign w:val="center"/>
          </w:tcPr>
          <w:p w14:paraId="654298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415,243.70</w:t>
            </w:r>
          </w:p>
        </w:tc>
        <w:tc>
          <w:tcPr>
            <w:tcW w:w="1606" w:type="dxa"/>
            <w:tcBorders>
              <w:top w:val="single" w:color="auto" w:sz="2" w:space="0"/>
              <w:left w:val="single" w:color="auto" w:sz="2" w:space="0"/>
              <w:bottom w:val="single" w:color="auto" w:sz="2" w:space="0"/>
              <w:right w:val="single" w:color="auto" w:sz="2" w:space="0"/>
            </w:tcBorders>
            <w:vAlign w:val="center"/>
          </w:tcPr>
          <w:p w14:paraId="4CD33B11">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522BAB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2,894,950.75</w:t>
            </w:r>
          </w:p>
        </w:tc>
      </w:tr>
    </w:tbl>
    <w:p w14:paraId="30FA0D9E">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Cs w:val="21"/>
        </w:rPr>
        <w:t>其他说明：本期新增主要系对深圳综合运营中心侨城一号装修。</w:t>
      </w:r>
    </w:p>
    <w:p w14:paraId="54BD2C02">
      <w:pPr>
        <w:pStyle w:val="3"/>
        <w:spacing w:line="280" w:lineRule="exact"/>
        <w:jc w:val="left"/>
        <w:rPr>
          <w:rFonts w:ascii="Times New Roman" w:hAnsi="Times New Roman" w:cs="Times New Roman" w:eastAsiaTheme="majorEastAsia"/>
          <w:b/>
          <w:bCs/>
        </w:rPr>
      </w:pPr>
      <w:bookmarkStart w:id="309" w:name="_Toc989198"/>
      <w:r>
        <w:rPr>
          <w:rFonts w:ascii="Times New Roman" w:hAnsi="Times New Roman" w:cs="Times New Roman" w:eastAsiaTheme="majorEastAsia"/>
          <w:b/>
          <w:bCs/>
        </w:rPr>
        <w:t>24、递延所得税资产/递延所得税负债</w:t>
      </w:r>
      <w:bookmarkEnd w:id="309"/>
    </w:p>
    <w:p w14:paraId="709568F2">
      <w:pPr>
        <w:keepNext/>
        <w:keepLines/>
        <w:spacing w:before="300" w:after="300" w:line="280" w:lineRule="exact"/>
        <w:outlineLvl w:val="3"/>
        <w:rPr>
          <w:rFonts w:ascii="Times New Roman" w:hAnsi="Times New Roman" w:cs="Times New Roman" w:eastAsiaTheme="majorEastAsia"/>
          <w:b/>
          <w:bCs/>
          <w:szCs w:val="21"/>
        </w:rPr>
      </w:pPr>
      <w:bookmarkStart w:id="310" w:name="_Toc989199"/>
      <w:r>
        <w:rPr>
          <w:rFonts w:ascii="Times New Roman" w:hAnsi="Times New Roman" w:cs="Times New Roman" w:eastAsiaTheme="majorEastAsia"/>
          <w:b/>
          <w:bCs/>
          <w:szCs w:val="21"/>
        </w:rPr>
        <w:t>（1） 未经抵销的递延所得税资产</w:t>
      </w:r>
      <w:bookmarkEnd w:id="310"/>
    </w:p>
    <w:p w14:paraId="749C1F8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83E4F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4B73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FE25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BB9D32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A183D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119098">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F9878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A329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9AE08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可抵扣暂时性差异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CBAD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w:t>
            </w:r>
          </w:p>
        </w:tc>
      </w:tr>
      <w:tr w14:paraId="1B3692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11415A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资产减值准备</w:t>
            </w:r>
          </w:p>
        </w:tc>
        <w:tc>
          <w:tcPr>
            <w:tcW w:w="1928" w:type="dxa"/>
            <w:tcBorders>
              <w:top w:val="single" w:color="auto" w:sz="2" w:space="0"/>
              <w:left w:val="single" w:color="auto" w:sz="2" w:space="0"/>
              <w:bottom w:val="single" w:color="auto" w:sz="2" w:space="0"/>
              <w:right w:val="single" w:color="auto" w:sz="2" w:space="0"/>
            </w:tcBorders>
            <w:vAlign w:val="center"/>
          </w:tcPr>
          <w:p w14:paraId="6635D8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93,289,217.85</w:t>
            </w:r>
          </w:p>
        </w:tc>
        <w:tc>
          <w:tcPr>
            <w:tcW w:w="1928" w:type="dxa"/>
            <w:tcBorders>
              <w:top w:val="single" w:color="auto" w:sz="2" w:space="0"/>
              <w:left w:val="single" w:color="auto" w:sz="2" w:space="0"/>
              <w:bottom w:val="single" w:color="auto" w:sz="2" w:space="0"/>
              <w:right w:val="single" w:color="auto" w:sz="2" w:space="0"/>
            </w:tcBorders>
            <w:vAlign w:val="center"/>
          </w:tcPr>
          <w:p w14:paraId="11C414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14,069,102.19</w:t>
            </w:r>
          </w:p>
        </w:tc>
        <w:tc>
          <w:tcPr>
            <w:tcW w:w="1928" w:type="dxa"/>
            <w:tcBorders>
              <w:top w:val="single" w:color="auto" w:sz="2" w:space="0"/>
              <w:left w:val="single" w:color="auto" w:sz="2" w:space="0"/>
              <w:bottom w:val="single" w:color="auto" w:sz="2" w:space="0"/>
              <w:right w:val="single" w:color="auto" w:sz="2" w:space="0"/>
            </w:tcBorders>
            <w:vAlign w:val="center"/>
          </w:tcPr>
          <w:p w14:paraId="432EF0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70,958,736.44</w:t>
            </w:r>
          </w:p>
        </w:tc>
        <w:tc>
          <w:tcPr>
            <w:tcW w:w="1928" w:type="dxa"/>
            <w:tcBorders>
              <w:top w:val="single" w:color="auto" w:sz="2" w:space="0"/>
              <w:left w:val="single" w:color="auto" w:sz="2" w:space="0"/>
              <w:bottom w:val="single" w:color="auto" w:sz="2" w:space="0"/>
              <w:right w:val="single" w:color="auto" w:sz="2" w:space="0"/>
            </w:tcBorders>
            <w:vAlign w:val="center"/>
          </w:tcPr>
          <w:p w14:paraId="350EFA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11,272,063.71</w:t>
            </w:r>
          </w:p>
        </w:tc>
      </w:tr>
      <w:tr w14:paraId="205A81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2FB81E2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内部交易未实现利润</w:t>
            </w:r>
          </w:p>
        </w:tc>
        <w:tc>
          <w:tcPr>
            <w:tcW w:w="1928" w:type="dxa"/>
            <w:tcBorders>
              <w:top w:val="single" w:color="auto" w:sz="2" w:space="0"/>
              <w:left w:val="single" w:color="auto" w:sz="2" w:space="0"/>
              <w:bottom w:val="single" w:color="auto" w:sz="2" w:space="0"/>
              <w:right w:val="single" w:color="auto" w:sz="2" w:space="0"/>
            </w:tcBorders>
            <w:vAlign w:val="center"/>
          </w:tcPr>
          <w:p w14:paraId="540A39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65,242.46</w:t>
            </w:r>
          </w:p>
        </w:tc>
        <w:tc>
          <w:tcPr>
            <w:tcW w:w="1928" w:type="dxa"/>
            <w:tcBorders>
              <w:top w:val="single" w:color="auto" w:sz="2" w:space="0"/>
              <w:left w:val="single" w:color="auto" w:sz="2" w:space="0"/>
              <w:bottom w:val="single" w:color="auto" w:sz="2" w:space="0"/>
              <w:right w:val="single" w:color="auto" w:sz="2" w:space="0"/>
            </w:tcBorders>
            <w:vAlign w:val="center"/>
          </w:tcPr>
          <w:p w14:paraId="196D495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9,786.37</w:t>
            </w:r>
          </w:p>
        </w:tc>
        <w:tc>
          <w:tcPr>
            <w:tcW w:w="1928" w:type="dxa"/>
            <w:tcBorders>
              <w:top w:val="single" w:color="auto" w:sz="2" w:space="0"/>
              <w:left w:val="single" w:color="auto" w:sz="2" w:space="0"/>
              <w:bottom w:val="single" w:color="auto" w:sz="2" w:space="0"/>
              <w:right w:val="single" w:color="auto" w:sz="2" w:space="0"/>
            </w:tcBorders>
            <w:vAlign w:val="center"/>
          </w:tcPr>
          <w:p w14:paraId="0C0BAD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53,170.02</w:t>
            </w:r>
          </w:p>
        </w:tc>
        <w:tc>
          <w:tcPr>
            <w:tcW w:w="1928" w:type="dxa"/>
            <w:tcBorders>
              <w:top w:val="single" w:color="auto" w:sz="2" w:space="0"/>
              <w:left w:val="single" w:color="auto" w:sz="2" w:space="0"/>
              <w:bottom w:val="single" w:color="auto" w:sz="2" w:space="0"/>
              <w:right w:val="single" w:color="auto" w:sz="2" w:space="0"/>
            </w:tcBorders>
            <w:vAlign w:val="center"/>
          </w:tcPr>
          <w:p w14:paraId="3D4CF0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7,975.50</w:t>
            </w:r>
          </w:p>
        </w:tc>
      </w:tr>
      <w:tr w14:paraId="083F42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3905703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可抵扣亏损</w:t>
            </w:r>
          </w:p>
        </w:tc>
        <w:tc>
          <w:tcPr>
            <w:tcW w:w="1928" w:type="dxa"/>
            <w:tcBorders>
              <w:top w:val="single" w:color="auto" w:sz="2" w:space="0"/>
              <w:left w:val="single" w:color="auto" w:sz="2" w:space="0"/>
              <w:bottom w:val="single" w:color="auto" w:sz="2" w:space="0"/>
              <w:right w:val="single" w:color="auto" w:sz="2" w:space="0"/>
            </w:tcBorders>
            <w:vAlign w:val="center"/>
          </w:tcPr>
          <w:p w14:paraId="3E0304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w:t>
            </w:r>
            <w:r>
              <w:rPr>
                <w:rFonts w:hint="eastAsia" w:ascii="Times New Roman" w:hAnsi="Times New Roman" w:cs="Times New Roman" w:eastAsiaTheme="majorEastAsia"/>
                <w:sz w:val="18"/>
                <w:szCs w:val="18"/>
              </w:rPr>
              <w:t>6</w:t>
            </w:r>
            <w:r>
              <w:rPr>
                <w:rFonts w:ascii="Times New Roman" w:hAnsi="Times New Roman" w:cs="Times New Roman" w:eastAsiaTheme="majorEastAsia"/>
                <w:sz w:val="18"/>
                <w:szCs w:val="18"/>
              </w:rPr>
              <w:t>,</w:t>
            </w:r>
            <w:r>
              <w:rPr>
                <w:rFonts w:hint="eastAsia" w:ascii="Times New Roman" w:hAnsi="Times New Roman" w:cs="Times New Roman" w:eastAsiaTheme="majorEastAsia"/>
                <w:sz w:val="18"/>
                <w:szCs w:val="18"/>
              </w:rPr>
              <w:t>490</w:t>
            </w:r>
            <w:r>
              <w:rPr>
                <w:rFonts w:ascii="Times New Roman" w:hAnsi="Times New Roman" w:cs="Times New Roman" w:eastAsiaTheme="majorEastAsia"/>
                <w:sz w:val="18"/>
                <w:szCs w:val="18"/>
              </w:rPr>
              <w:t>,835.53</w:t>
            </w:r>
          </w:p>
        </w:tc>
        <w:tc>
          <w:tcPr>
            <w:tcW w:w="1928" w:type="dxa"/>
            <w:tcBorders>
              <w:top w:val="single" w:color="auto" w:sz="2" w:space="0"/>
              <w:left w:val="single" w:color="auto" w:sz="2" w:space="0"/>
              <w:bottom w:val="single" w:color="auto" w:sz="2" w:space="0"/>
              <w:right w:val="single" w:color="auto" w:sz="2" w:space="0"/>
            </w:tcBorders>
            <w:vAlign w:val="center"/>
          </w:tcPr>
          <w:p w14:paraId="68A3B2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w:t>
            </w:r>
            <w:r>
              <w:rPr>
                <w:rFonts w:hint="eastAsia" w:ascii="Times New Roman" w:hAnsi="Times New Roman" w:cs="Times New Roman" w:eastAsiaTheme="majorEastAsia"/>
                <w:sz w:val="18"/>
                <w:szCs w:val="18"/>
              </w:rPr>
              <w:t>546</w:t>
            </w:r>
            <w:r>
              <w:rPr>
                <w:rFonts w:ascii="Times New Roman" w:hAnsi="Times New Roman" w:cs="Times New Roman" w:eastAsiaTheme="majorEastAsia"/>
                <w:sz w:val="18"/>
                <w:szCs w:val="18"/>
              </w:rPr>
              <w:t>,</w:t>
            </w:r>
            <w:r>
              <w:rPr>
                <w:rFonts w:hint="eastAsia" w:ascii="Times New Roman" w:hAnsi="Times New Roman" w:cs="Times New Roman" w:eastAsiaTheme="majorEastAsia"/>
                <w:sz w:val="18"/>
                <w:szCs w:val="18"/>
              </w:rPr>
              <w:t>509</w:t>
            </w:r>
            <w:r>
              <w:rPr>
                <w:rFonts w:ascii="Times New Roman" w:hAnsi="Times New Roman" w:cs="Times New Roman" w:eastAsiaTheme="majorEastAsia"/>
                <w:sz w:val="18"/>
                <w:szCs w:val="18"/>
              </w:rPr>
              <w:t>.54</w:t>
            </w:r>
          </w:p>
        </w:tc>
        <w:tc>
          <w:tcPr>
            <w:tcW w:w="1928" w:type="dxa"/>
            <w:tcBorders>
              <w:top w:val="single" w:color="auto" w:sz="2" w:space="0"/>
              <w:left w:val="single" w:color="auto" w:sz="2" w:space="0"/>
              <w:bottom w:val="single" w:color="auto" w:sz="2" w:space="0"/>
              <w:right w:val="single" w:color="auto" w:sz="2" w:space="0"/>
            </w:tcBorders>
            <w:vAlign w:val="center"/>
          </w:tcPr>
          <w:p w14:paraId="78919F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9,176,126.66</w:t>
            </w:r>
          </w:p>
        </w:tc>
        <w:tc>
          <w:tcPr>
            <w:tcW w:w="1928" w:type="dxa"/>
            <w:tcBorders>
              <w:top w:val="single" w:color="auto" w:sz="2" w:space="0"/>
              <w:left w:val="single" w:color="auto" w:sz="2" w:space="0"/>
              <w:bottom w:val="single" w:color="auto" w:sz="2" w:space="0"/>
              <w:right w:val="single" w:color="auto" w:sz="2" w:space="0"/>
            </w:tcBorders>
            <w:vAlign w:val="center"/>
          </w:tcPr>
          <w:p w14:paraId="19263B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1,795,275.89</w:t>
            </w:r>
          </w:p>
        </w:tc>
      </w:tr>
      <w:tr w14:paraId="71331B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F9C10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分期收款销售商品存货的所得税影响</w:t>
            </w:r>
          </w:p>
        </w:tc>
        <w:tc>
          <w:tcPr>
            <w:tcW w:w="1928" w:type="dxa"/>
            <w:tcBorders>
              <w:top w:val="single" w:color="auto" w:sz="2" w:space="0"/>
              <w:left w:val="single" w:color="auto" w:sz="2" w:space="0"/>
              <w:bottom w:val="single" w:color="auto" w:sz="2" w:space="0"/>
              <w:right w:val="single" w:color="auto" w:sz="2" w:space="0"/>
            </w:tcBorders>
            <w:vAlign w:val="center"/>
          </w:tcPr>
          <w:p w14:paraId="14FA6E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27,635,156.65</w:t>
            </w:r>
          </w:p>
        </w:tc>
        <w:tc>
          <w:tcPr>
            <w:tcW w:w="1928" w:type="dxa"/>
            <w:tcBorders>
              <w:top w:val="single" w:color="auto" w:sz="2" w:space="0"/>
              <w:left w:val="single" w:color="auto" w:sz="2" w:space="0"/>
              <w:bottom w:val="single" w:color="auto" w:sz="2" w:space="0"/>
              <w:right w:val="single" w:color="auto" w:sz="2" w:space="0"/>
            </w:tcBorders>
            <w:vAlign w:val="center"/>
          </w:tcPr>
          <w:p w14:paraId="10EFEB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4,145,273.50</w:t>
            </w:r>
          </w:p>
        </w:tc>
        <w:tc>
          <w:tcPr>
            <w:tcW w:w="1928" w:type="dxa"/>
            <w:tcBorders>
              <w:top w:val="single" w:color="auto" w:sz="2" w:space="0"/>
              <w:left w:val="single" w:color="auto" w:sz="2" w:space="0"/>
              <w:bottom w:val="single" w:color="auto" w:sz="2" w:space="0"/>
              <w:right w:val="single" w:color="auto" w:sz="2" w:space="0"/>
            </w:tcBorders>
            <w:vAlign w:val="center"/>
          </w:tcPr>
          <w:p w14:paraId="32EAD8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22,005,635.15</w:t>
            </w:r>
          </w:p>
        </w:tc>
        <w:tc>
          <w:tcPr>
            <w:tcW w:w="1928" w:type="dxa"/>
            <w:tcBorders>
              <w:top w:val="single" w:color="auto" w:sz="2" w:space="0"/>
              <w:left w:val="single" w:color="auto" w:sz="2" w:space="0"/>
              <w:bottom w:val="single" w:color="auto" w:sz="2" w:space="0"/>
              <w:right w:val="single" w:color="auto" w:sz="2" w:space="0"/>
            </w:tcBorders>
            <w:vAlign w:val="center"/>
          </w:tcPr>
          <w:p w14:paraId="6B33B9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4,446,635.42</w:t>
            </w:r>
          </w:p>
        </w:tc>
      </w:tr>
      <w:tr w14:paraId="6740A4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B5E8C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无形资产摊销差异</w:t>
            </w:r>
          </w:p>
        </w:tc>
        <w:tc>
          <w:tcPr>
            <w:tcW w:w="1928" w:type="dxa"/>
            <w:tcBorders>
              <w:top w:val="single" w:color="auto" w:sz="2" w:space="0"/>
              <w:left w:val="single" w:color="auto" w:sz="2" w:space="0"/>
              <w:bottom w:val="single" w:color="auto" w:sz="2" w:space="0"/>
              <w:right w:val="single" w:color="auto" w:sz="2" w:space="0"/>
            </w:tcBorders>
            <w:vAlign w:val="center"/>
          </w:tcPr>
          <w:p w14:paraId="1C6DE9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2,809,182.98</w:t>
            </w:r>
          </w:p>
        </w:tc>
        <w:tc>
          <w:tcPr>
            <w:tcW w:w="1928" w:type="dxa"/>
            <w:tcBorders>
              <w:top w:val="single" w:color="auto" w:sz="2" w:space="0"/>
              <w:left w:val="single" w:color="auto" w:sz="2" w:space="0"/>
              <w:bottom w:val="single" w:color="auto" w:sz="2" w:space="0"/>
              <w:right w:val="single" w:color="auto" w:sz="2" w:space="0"/>
            </w:tcBorders>
            <w:vAlign w:val="center"/>
          </w:tcPr>
          <w:p w14:paraId="242418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421,377.45</w:t>
            </w:r>
          </w:p>
        </w:tc>
        <w:tc>
          <w:tcPr>
            <w:tcW w:w="1928" w:type="dxa"/>
            <w:tcBorders>
              <w:top w:val="single" w:color="auto" w:sz="2" w:space="0"/>
              <w:left w:val="single" w:color="auto" w:sz="2" w:space="0"/>
              <w:bottom w:val="single" w:color="auto" w:sz="2" w:space="0"/>
              <w:right w:val="single" w:color="auto" w:sz="2" w:space="0"/>
            </w:tcBorders>
            <w:vAlign w:val="center"/>
          </w:tcPr>
          <w:p w14:paraId="077290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2,529,677.46</w:t>
            </w:r>
          </w:p>
        </w:tc>
        <w:tc>
          <w:tcPr>
            <w:tcW w:w="1928" w:type="dxa"/>
            <w:tcBorders>
              <w:top w:val="single" w:color="auto" w:sz="2" w:space="0"/>
              <w:left w:val="single" w:color="auto" w:sz="2" w:space="0"/>
              <w:bottom w:val="single" w:color="auto" w:sz="2" w:space="0"/>
              <w:right w:val="single" w:color="auto" w:sz="2" w:space="0"/>
            </w:tcBorders>
            <w:vAlign w:val="center"/>
          </w:tcPr>
          <w:p w14:paraId="1895DB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379,451.62</w:t>
            </w:r>
          </w:p>
        </w:tc>
      </w:tr>
      <w:tr w14:paraId="7AFC9B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1AA60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其他权益工具投资</w:t>
            </w:r>
          </w:p>
        </w:tc>
        <w:tc>
          <w:tcPr>
            <w:tcW w:w="1928" w:type="dxa"/>
            <w:tcBorders>
              <w:top w:val="single" w:color="auto" w:sz="2" w:space="0"/>
              <w:left w:val="single" w:color="auto" w:sz="2" w:space="0"/>
              <w:bottom w:val="single" w:color="auto" w:sz="2" w:space="0"/>
              <w:right w:val="single" w:color="auto" w:sz="2" w:space="0"/>
            </w:tcBorders>
            <w:vAlign w:val="center"/>
          </w:tcPr>
          <w:p w14:paraId="4E937F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1928" w:type="dxa"/>
            <w:tcBorders>
              <w:top w:val="single" w:color="auto" w:sz="2" w:space="0"/>
              <w:left w:val="single" w:color="auto" w:sz="2" w:space="0"/>
              <w:bottom w:val="single" w:color="auto" w:sz="2" w:space="0"/>
              <w:right w:val="single" w:color="auto" w:sz="2" w:space="0"/>
            </w:tcBorders>
            <w:vAlign w:val="center"/>
          </w:tcPr>
          <w:p w14:paraId="29C213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47,490.00</w:t>
            </w:r>
          </w:p>
        </w:tc>
        <w:tc>
          <w:tcPr>
            <w:tcW w:w="1928" w:type="dxa"/>
            <w:tcBorders>
              <w:top w:val="single" w:color="auto" w:sz="2" w:space="0"/>
              <w:left w:val="single" w:color="auto" w:sz="2" w:space="0"/>
              <w:bottom w:val="single" w:color="auto" w:sz="2" w:space="0"/>
              <w:right w:val="single" w:color="auto" w:sz="2" w:space="0"/>
            </w:tcBorders>
            <w:vAlign w:val="center"/>
          </w:tcPr>
          <w:p w14:paraId="20D9DE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316,600.00</w:t>
            </w:r>
          </w:p>
        </w:tc>
        <w:tc>
          <w:tcPr>
            <w:tcW w:w="1928" w:type="dxa"/>
            <w:tcBorders>
              <w:top w:val="single" w:color="auto" w:sz="2" w:space="0"/>
              <w:left w:val="single" w:color="auto" w:sz="2" w:space="0"/>
              <w:bottom w:val="single" w:color="auto" w:sz="2" w:space="0"/>
              <w:right w:val="single" w:color="auto" w:sz="2" w:space="0"/>
            </w:tcBorders>
            <w:vAlign w:val="center"/>
          </w:tcPr>
          <w:p w14:paraId="319267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47,490.00</w:t>
            </w:r>
          </w:p>
        </w:tc>
      </w:tr>
      <w:tr w14:paraId="11CC4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959F0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租赁负债</w:t>
            </w:r>
          </w:p>
        </w:tc>
        <w:tc>
          <w:tcPr>
            <w:tcW w:w="1928" w:type="dxa"/>
            <w:tcBorders>
              <w:top w:val="single" w:color="auto" w:sz="2" w:space="0"/>
              <w:left w:val="single" w:color="auto" w:sz="2" w:space="0"/>
              <w:bottom w:val="single" w:color="auto" w:sz="2" w:space="0"/>
              <w:right w:val="single" w:color="auto" w:sz="2" w:space="0"/>
            </w:tcBorders>
            <w:vAlign w:val="center"/>
          </w:tcPr>
          <w:p w14:paraId="418CBA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8,517,744.37</w:t>
            </w:r>
          </w:p>
        </w:tc>
        <w:tc>
          <w:tcPr>
            <w:tcW w:w="1928" w:type="dxa"/>
            <w:tcBorders>
              <w:top w:val="single" w:color="auto" w:sz="2" w:space="0"/>
              <w:left w:val="single" w:color="auto" w:sz="2" w:space="0"/>
              <w:bottom w:val="single" w:color="auto" w:sz="2" w:space="0"/>
              <w:right w:val="single" w:color="auto" w:sz="2" w:space="0"/>
            </w:tcBorders>
            <w:vAlign w:val="center"/>
          </w:tcPr>
          <w:p w14:paraId="6BF7A3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1,365,840.83</w:t>
            </w:r>
          </w:p>
        </w:tc>
        <w:tc>
          <w:tcPr>
            <w:tcW w:w="1928" w:type="dxa"/>
            <w:tcBorders>
              <w:top w:val="single" w:color="auto" w:sz="2" w:space="0"/>
              <w:left w:val="single" w:color="auto" w:sz="2" w:space="0"/>
              <w:bottom w:val="single" w:color="auto" w:sz="2" w:space="0"/>
              <w:right w:val="single" w:color="auto" w:sz="2" w:space="0"/>
            </w:tcBorders>
            <w:vAlign w:val="center"/>
          </w:tcPr>
          <w:p w14:paraId="519D89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6,442,457.10</w:t>
            </w:r>
          </w:p>
        </w:tc>
        <w:tc>
          <w:tcPr>
            <w:tcW w:w="1928" w:type="dxa"/>
            <w:tcBorders>
              <w:top w:val="single" w:color="auto" w:sz="2" w:space="0"/>
              <w:left w:val="single" w:color="auto" w:sz="2" w:space="0"/>
              <w:bottom w:val="single" w:color="auto" w:sz="2" w:space="0"/>
              <w:right w:val="single" w:color="auto" w:sz="2" w:space="0"/>
            </w:tcBorders>
            <w:vAlign w:val="center"/>
          </w:tcPr>
          <w:p w14:paraId="0316B49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1,470,428.32</w:t>
            </w:r>
          </w:p>
        </w:tc>
      </w:tr>
      <w:tr w14:paraId="4C258D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AAADE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股份支付</w:t>
            </w:r>
          </w:p>
        </w:tc>
        <w:tc>
          <w:tcPr>
            <w:tcW w:w="1928" w:type="dxa"/>
            <w:tcBorders>
              <w:top w:val="single" w:color="auto" w:sz="2" w:space="0"/>
              <w:left w:val="single" w:color="auto" w:sz="2" w:space="0"/>
              <w:bottom w:val="single" w:color="auto" w:sz="2" w:space="0"/>
              <w:right w:val="single" w:color="auto" w:sz="2" w:space="0"/>
            </w:tcBorders>
            <w:vAlign w:val="center"/>
          </w:tcPr>
          <w:p w14:paraId="2B2416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14,209,796.15</w:t>
            </w:r>
          </w:p>
        </w:tc>
        <w:tc>
          <w:tcPr>
            <w:tcW w:w="1928" w:type="dxa"/>
            <w:tcBorders>
              <w:top w:val="single" w:color="auto" w:sz="2" w:space="0"/>
              <w:left w:val="single" w:color="auto" w:sz="2" w:space="0"/>
              <w:bottom w:val="single" w:color="auto" w:sz="2" w:space="0"/>
              <w:right w:val="single" w:color="auto" w:sz="2" w:space="0"/>
            </w:tcBorders>
            <w:vAlign w:val="center"/>
          </w:tcPr>
          <w:p w14:paraId="731BD7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2,219,148.20</w:t>
            </w:r>
          </w:p>
        </w:tc>
        <w:tc>
          <w:tcPr>
            <w:tcW w:w="1928" w:type="dxa"/>
            <w:tcBorders>
              <w:top w:val="single" w:color="auto" w:sz="2" w:space="0"/>
              <w:left w:val="single" w:color="auto" w:sz="2" w:space="0"/>
              <w:bottom w:val="single" w:color="auto" w:sz="2" w:space="0"/>
              <w:right w:val="single" w:color="auto" w:sz="2" w:space="0"/>
            </w:tcBorders>
            <w:vAlign w:val="center"/>
          </w:tcPr>
          <w:p w14:paraId="6B317A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5,165,633.96</w:t>
            </w:r>
          </w:p>
        </w:tc>
        <w:tc>
          <w:tcPr>
            <w:tcW w:w="1928" w:type="dxa"/>
            <w:tcBorders>
              <w:top w:val="single" w:color="auto" w:sz="2" w:space="0"/>
              <w:left w:val="single" w:color="auto" w:sz="2" w:space="0"/>
              <w:bottom w:val="single" w:color="auto" w:sz="2" w:space="0"/>
              <w:right w:val="single" w:color="auto" w:sz="2" w:space="0"/>
            </w:tcBorders>
            <w:vAlign w:val="center"/>
          </w:tcPr>
          <w:p w14:paraId="132595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787,192.35</w:t>
            </w:r>
          </w:p>
        </w:tc>
      </w:tr>
      <w:tr w14:paraId="03857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66C5840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1B1DD9E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203,333,775.99</w:t>
            </w:r>
          </w:p>
        </w:tc>
        <w:tc>
          <w:tcPr>
            <w:tcW w:w="1928" w:type="dxa"/>
            <w:tcBorders>
              <w:top w:val="single" w:color="auto" w:sz="2" w:space="0"/>
              <w:left w:val="single" w:color="auto" w:sz="2" w:space="0"/>
              <w:bottom w:val="single" w:color="auto" w:sz="2" w:space="0"/>
              <w:right w:val="single" w:color="auto" w:sz="2" w:space="0"/>
            </w:tcBorders>
            <w:vAlign w:val="center"/>
          </w:tcPr>
          <w:p w14:paraId="432140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31,824,528.08</w:t>
            </w:r>
          </w:p>
        </w:tc>
        <w:tc>
          <w:tcPr>
            <w:tcW w:w="1928" w:type="dxa"/>
            <w:tcBorders>
              <w:top w:val="single" w:color="auto" w:sz="2" w:space="0"/>
              <w:left w:val="single" w:color="auto" w:sz="2" w:space="0"/>
              <w:bottom w:val="single" w:color="auto" w:sz="2" w:space="0"/>
              <w:right w:val="single" w:color="auto" w:sz="2" w:space="0"/>
            </w:tcBorders>
            <w:vAlign w:val="center"/>
          </w:tcPr>
          <w:p w14:paraId="267380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116,648,036.79</w:t>
            </w:r>
          </w:p>
        </w:tc>
        <w:tc>
          <w:tcPr>
            <w:tcW w:w="1928" w:type="dxa"/>
            <w:tcBorders>
              <w:top w:val="single" w:color="auto" w:sz="2" w:space="0"/>
              <w:left w:val="single" w:color="auto" w:sz="2" w:space="0"/>
              <w:bottom w:val="single" w:color="auto" w:sz="2" w:space="0"/>
              <w:right w:val="single" w:color="auto" w:sz="2" w:space="0"/>
            </w:tcBorders>
            <w:vAlign w:val="center"/>
          </w:tcPr>
          <w:p w14:paraId="724063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20,206,512.81</w:t>
            </w:r>
          </w:p>
        </w:tc>
      </w:tr>
    </w:tbl>
    <w:p w14:paraId="647C4366">
      <w:pPr>
        <w:keepNext/>
        <w:keepLines/>
        <w:spacing w:before="300" w:after="300" w:line="280" w:lineRule="exact"/>
        <w:outlineLvl w:val="3"/>
        <w:rPr>
          <w:rFonts w:ascii="Times New Roman" w:hAnsi="Times New Roman" w:cs="Times New Roman" w:eastAsiaTheme="majorEastAsia"/>
          <w:b/>
          <w:bCs/>
          <w:szCs w:val="21"/>
        </w:rPr>
      </w:pPr>
      <w:bookmarkStart w:id="311" w:name="_Toc989200"/>
      <w:r>
        <w:rPr>
          <w:rFonts w:ascii="Times New Roman" w:hAnsi="Times New Roman" w:cs="Times New Roman" w:eastAsiaTheme="majorEastAsia"/>
          <w:b/>
          <w:bCs/>
          <w:szCs w:val="21"/>
        </w:rPr>
        <w:t>（2） 未经抵销的递延所得税负债</w:t>
      </w:r>
      <w:bookmarkEnd w:id="311"/>
    </w:p>
    <w:p w14:paraId="5BEE8F4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99256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B057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12DAE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157E03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058B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54972F">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8899B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707BA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61D5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应纳税暂时性差异</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BC95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r>
      <w:tr w14:paraId="345870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5FFD7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长期应收款</w:t>
            </w:r>
          </w:p>
        </w:tc>
        <w:tc>
          <w:tcPr>
            <w:tcW w:w="1928" w:type="dxa"/>
            <w:tcBorders>
              <w:top w:val="single" w:color="auto" w:sz="2" w:space="0"/>
              <w:left w:val="single" w:color="auto" w:sz="2" w:space="0"/>
              <w:bottom w:val="single" w:color="auto" w:sz="2" w:space="0"/>
              <w:right w:val="single" w:color="auto" w:sz="2" w:space="0"/>
            </w:tcBorders>
            <w:vAlign w:val="center"/>
          </w:tcPr>
          <w:p w14:paraId="076AF3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38,727,568.34</w:t>
            </w:r>
          </w:p>
        </w:tc>
        <w:tc>
          <w:tcPr>
            <w:tcW w:w="1928" w:type="dxa"/>
            <w:tcBorders>
              <w:top w:val="single" w:color="auto" w:sz="2" w:space="0"/>
              <w:left w:val="single" w:color="auto" w:sz="2" w:space="0"/>
              <w:bottom w:val="single" w:color="auto" w:sz="2" w:space="0"/>
              <w:right w:val="single" w:color="auto" w:sz="2" w:space="0"/>
            </w:tcBorders>
            <w:vAlign w:val="center"/>
          </w:tcPr>
          <w:p w14:paraId="4067F0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5,809,135.25</w:t>
            </w:r>
          </w:p>
        </w:tc>
        <w:tc>
          <w:tcPr>
            <w:tcW w:w="1928" w:type="dxa"/>
            <w:tcBorders>
              <w:top w:val="single" w:color="auto" w:sz="2" w:space="0"/>
              <w:left w:val="single" w:color="auto" w:sz="2" w:space="0"/>
              <w:bottom w:val="single" w:color="auto" w:sz="2" w:space="0"/>
              <w:right w:val="single" w:color="auto" w:sz="2" w:space="0"/>
            </w:tcBorders>
            <w:vAlign w:val="center"/>
          </w:tcPr>
          <w:p w14:paraId="7BB2139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30,666,439.72</w:t>
            </w:r>
          </w:p>
        </w:tc>
        <w:tc>
          <w:tcPr>
            <w:tcW w:w="1928" w:type="dxa"/>
            <w:tcBorders>
              <w:top w:val="single" w:color="auto" w:sz="2" w:space="0"/>
              <w:left w:val="single" w:color="auto" w:sz="2" w:space="0"/>
              <w:bottom w:val="single" w:color="auto" w:sz="2" w:space="0"/>
              <w:right w:val="single" w:color="auto" w:sz="2" w:space="0"/>
            </w:tcBorders>
            <w:vAlign w:val="center"/>
          </w:tcPr>
          <w:p w14:paraId="1ADCD2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5,475,953.56</w:t>
            </w:r>
          </w:p>
        </w:tc>
      </w:tr>
      <w:tr w14:paraId="47834C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D8BE4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其他权益工具投资</w:t>
            </w:r>
          </w:p>
        </w:tc>
        <w:tc>
          <w:tcPr>
            <w:tcW w:w="1928" w:type="dxa"/>
            <w:tcBorders>
              <w:top w:val="single" w:color="auto" w:sz="2" w:space="0"/>
              <w:left w:val="single" w:color="auto" w:sz="2" w:space="0"/>
              <w:bottom w:val="single" w:color="auto" w:sz="2" w:space="0"/>
              <w:right w:val="single" w:color="auto" w:sz="2" w:space="0"/>
            </w:tcBorders>
            <w:vAlign w:val="center"/>
          </w:tcPr>
          <w:p w14:paraId="04DB4D5F">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7C185F6">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392D918">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1BA01C7">
            <w:pPr>
              <w:spacing w:line="240" w:lineRule="exact"/>
              <w:jc w:val="right"/>
              <w:rPr>
                <w:rFonts w:ascii="Times New Roman" w:hAnsi="Times New Roman" w:cs="Times New Roman" w:eastAsiaTheme="majorEastAsia"/>
                <w:sz w:val="18"/>
                <w:szCs w:val="18"/>
              </w:rPr>
            </w:pPr>
          </w:p>
        </w:tc>
      </w:tr>
      <w:tr w14:paraId="31C056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6B8EA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交易性金融资产</w:t>
            </w:r>
          </w:p>
        </w:tc>
        <w:tc>
          <w:tcPr>
            <w:tcW w:w="1928" w:type="dxa"/>
            <w:tcBorders>
              <w:top w:val="single" w:color="auto" w:sz="2" w:space="0"/>
              <w:left w:val="single" w:color="auto" w:sz="2" w:space="0"/>
              <w:bottom w:val="single" w:color="auto" w:sz="2" w:space="0"/>
              <w:right w:val="single" w:color="auto" w:sz="2" w:space="0"/>
            </w:tcBorders>
            <w:vAlign w:val="center"/>
          </w:tcPr>
          <w:p w14:paraId="2833C78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0F1FBAE">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1A02D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1928" w:type="dxa"/>
            <w:tcBorders>
              <w:top w:val="single" w:color="auto" w:sz="2" w:space="0"/>
              <w:left w:val="single" w:color="auto" w:sz="2" w:space="0"/>
              <w:bottom w:val="single" w:color="auto" w:sz="2" w:space="0"/>
              <w:right w:val="single" w:color="auto" w:sz="2" w:space="0"/>
            </w:tcBorders>
            <w:vAlign w:val="center"/>
          </w:tcPr>
          <w:p w14:paraId="410785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2,564.38</w:t>
            </w:r>
          </w:p>
        </w:tc>
      </w:tr>
      <w:tr w14:paraId="5A3445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D616A6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使用权资产</w:t>
            </w:r>
          </w:p>
        </w:tc>
        <w:tc>
          <w:tcPr>
            <w:tcW w:w="1928" w:type="dxa"/>
            <w:tcBorders>
              <w:top w:val="single" w:color="auto" w:sz="2" w:space="0"/>
              <w:left w:val="single" w:color="auto" w:sz="2" w:space="0"/>
              <w:bottom w:val="single" w:color="auto" w:sz="2" w:space="0"/>
              <w:right w:val="single" w:color="auto" w:sz="2" w:space="0"/>
            </w:tcBorders>
            <w:vAlign w:val="center"/>
          </w:tcPr>
          <w:p w14:paraId="1825D2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8,594,708.86</w:t>
            </w:r>
          </w:p>
        </w:tc>
        <w:tc>
          <w:tcPr>
            <w:tcW w:w="1928" w:type="dxa"/>
            <w:tcBorders>
              <w:top w:val="single" w:color="auto" w:sz="2" w:space="0"/>
              <w:left w:val="single" w:color="auto" w:sz="2" w:space="0"/>
              <w:bottom w:val="single" w:color="auto" w:sz="2" w:space="0"/>
              <w:right w:val="single" w:color="auto" w:sz="2" w:space="0"/>
            </w:tcBorders>
            <w:vAlign w:val="center"/>
          </w:tcPr>
          <w:p w14:paraId="2741522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1,372,625.36</w:t>
            </w:r>
          </w:p>
        </w:tc>
        <w:tc>
          <w:tcPr>
            <w:tcW w:w="1928" w:type="dxa"/>
            <w:tcBorders>
              <w:top w:val="single" w:color="auto" w:sz="2" w:space="0"/>
              <w:left w:val="single" w:color="auto" w:sz="2" w:space="0"/>
              <w:bottom w:val="single" w:color="auto" w:sz="2" w:space="0"/>
              <w:right w:val="single" w:color="auto" w:sz="2" w:space="0"/>
            </w:tcBorders>
            <w:vAlign w:val="center"/>
          </w:tcPr>
          <w:p w14:paraId="66BEF3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6,177,907.51</w:t>
            </w:r>
          </w:p>
        </w:tc>
        <w:tc>
          <w:tcPr>
            <w:tcW w:w="1928" w:type="dxa"/>
            <w:tcBorders>
              <w:top w:val="single" w:color="auto" w:sz="2" w:space="0"/>
              <w:left w:val="single" w:color="auto" w:sz="2" w:space="0"/>
              <w:bottom w:val="single" w:color="auto" w:sz="2" w:space="0"/>
              <w:right w:val="single" w:color="auto" w:sz="2" w:space="0"/>
            </w:tcBorders>
            <w:vAlign w:val="center"/>
          </w:tcPr>
          <w:p w14:paraId="2F66DD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1,407,570.25</w:t>
            </w:r>
          </w:p>
        </w:tc>
      </w:tr>
      <w:tr w14:paraId="775074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CE197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053D3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47,322,277.20</w:t>
            </w:r>
          </w:p>
        </w:tc>
        <w:tc>
          <w:tcPr>
            <w:tcW w:w="1928" w:type="dxa"/>
            <w:tcBorders>
              <w:top w:val="single" w:color="auto" w:sz="2" w:space="0"/>
              <w:left w:val="single" w:color="auto" w:sz="2" w:space="0"/>
              <w:bottom w:val="single" w:color="auto" w:sz="2" w:space="0"/>
              <w:right w:val="single" w:color="auto" w:sz="2" w:space="0"/>
            </w:tcBorders>
            <w:vAlign w:val="center"/>
          </w:tcPr>
          <w:p w14:paraId="4E4717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7,181,760.61</w:t>
            </w:r>
          </w:p>
        </w:tc>
        <w:tc>
          <w:tcPr>
            <w:tcW w:w="1928" w:type="dxa"/>
            <w:tcBorders>
              <w:top w:val="single" w:color="auto" w:sz="2" w:space="0"/>
              <w:left w:val="single" w:color="auto" w:sz="2" w:space="0"/>
              <w:bottom w:val="single" w:color="auto" w:sz="2" w:space="0"/>
              <w:right w:val="single" w:color="auto" w:sz="2" w:space="0"/>
            </w:tcBorders>
            <w:vAlign w:val="center"/>
          </w:tcPr>
          <w:p w14:paraId="337D0C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36,861,443.12</w:t>
            </w:r>
          </w:p>
        </w:tc>
        <w:tc>
          <w:tcPr>
            <w:tcW w:w="1928" w:type="dxa"/>
            <w:tcBorders>
              <w:top w:val="single" w:color="auto" w:sz="2" w:space="0"/>
              <w:left w:val="single" w:color="auto" w:sz="2" w:space="0"/>
              <w:bottom w:val="single" w:color="auto" w:sz="2" w:space="0"/>
              <w:right w:val="single" w:color="auto" w:sz="2" w:space="0"/>
            </w:tcBorders>
            <w:vAlign w:val="center"/>
          </w:tcPr>
          <w:p w14:paraId="1B9972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6,886,088.19</w:t>
            </w:r>
          </w:p>
        </w:tc>
      </w:tr>
    </w:tbl>
    <w:p w14:paraId="475D372B">
      <w:pPr>
        <w:keepNext/>
        <w:keepLines/>
        <w:spacing w:before="300" w:after="300" w:line="280" w:lineRule="exact"/>
        <w:outlineLvl w:val="3"/>
        <w:rPr>
          <w:rFonts w:ascii="Times New Roman" w:hAnsi="Times New Roman" w:cs="Times New Roman" w:eastAsiaTheme="majorEastAsia"/>
          <w:b/>
          <w:bCs/>
          <w:szCs w:val="21"/>
        </w:rPr>
      </w:pPr>
      <w:bookmarkStart w:id="312" w:name="_Toc989201"/>
      <w:r>
        <w:rPr>
          <w:rFonts w:ascii="Times New Roman" w:hAnsi="Times New Roman" w:cs="Times New Roman" w:eastAsiaTheme="majorEastAsia"/>
          <w:b/>
          <w:bCs/>
          <w:szCs w:val="21"/>
        </w:rPr>
        <w:t>（3） 以抵销后净额列示的递延所得税资产或负债</w:t>
      </w:r>
      <w:bookmarkEnd w:id="312"/>
    </w:p>
    <w:p w14:paraId="0660CFE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7D1A7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E404D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83DC51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递延所得税资产和负债期末互抵金额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A54D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抵销后递延所得税资产或负债期末余额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F1D76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递延所得税资产和负债期初互抵金额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1AD4A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抵销后递延所得税资产或负债期初余额</w:t>
            </w:r>
          </w:p>
        </w:tc>
      </w:tr>
      <w:tr w14:paraId="1A5019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1CDCE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w:t>
            </w:r>
          </w:p>
        </w:tc>
        <w:tc>
          <w:tcPr>
            <w:tcW w:w="1928" w:type="dxa"/>
            <w:tcBorders>
              <w:top w:val="single" w:color="auto" w:sz="2" w:space="0"/>
              <w:left w:val="single" w:color="auto" w:sz="2" w:space="0"/>
              <w:bottom w:val="single" w:color="auto" w:sz="2" w:space="0"/>
              <w:right w:val="single" w:color="auto" w:sz="2" w:space="0"/>
            </w:tcBorders>
            <w:vAlign w:val="center"/>
          </w:tcPr>
          <w:p w14:paraId="557105C7">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E00D7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31,824,528.08</w:t>
            </w:r>
          </w:p>
        </w:tc>
        <w:tc>
          <w:tcPr>
            <w:tcW w:w="1928" w:type="dxa"/>
            <w:tcBorders>
              <w:top w:val="single" w:color="auto" w:sz="2" w:space="0"/>
              <w:left w:val="single" w:color="auto" w:sz="2" w:space="0"/>
              <w:bottom w:val="single" w:color="auto" w:sz="2" w:space="0"/>
              <w:right w:val="single" w:color="auto" w:sz="2" w:space="0"/>
            </w:tcBorders>
            <w:vAlign w:val="center"/>
          </w:tcPr>
          <w:p w14:paraId="31360FDE">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E7C5DA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20,206,512.81</w:t>
            </w:r>
          </w:p>
        </w:tc>
      </w:tr>
      <w:tr w14:paraId="6B82E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86089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c>
          <w:tcPr>
            <w:tcW w:w="1928" w:type="dxa"/>
            <w:tcBorders>
              <w:top w:val="single" w:color="auto" w:sz="2" w:space="0"/>
              <w:left w:val="single" w:color="auto" w:sz="2" w:space="0"/>
              <w:bottom w:val="single" w:color="auto" w:sz="2" w:space="0"/>
              <w:right w:val="single" w:color="auto" w:sz="2" w:space="0"/>
            </w:tcBorders>
            <w:vAlign w:val="center"/>
          </w:tcPr>
          <w:p w14:paraId="012168D0">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8BB02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7,181,760.61</w:t>
            </w:r>
          </w:p>
        </w:tc>
        <w:tc>
          <w:tcPr>
            <w:tcW w:w="1928" w:type="dxa"/>
            <w:tcBorders>
              <w:top w:val="single" w:color="auto" w:sz="2" w:space="0"/>
              <w:left w:val="single" w:color="auto" w:sz="2" w:space="0"/>
              <w:bottom w:val="single" w:color="auto" w:sz="2" w:space="0"/>
              <w:right w:val="single" w:color="auto" w:sz="2" w:space="0"/>
            </w:tcBorders>
            <w:vAlign w:val="center"/>
          </w:tcPr>
          <w:p w14:paraId="691D307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B41D8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6,886,088.19</w:t>
            </w:r>
          </w:p>
        </w:tc>
      </w:tr>
    </w:tbl>
    <w:p w14:paraId="108CFECC">
      <w:pPr>
        <w:keepNext/>
        <w:keepLines/>
        <w:spacing w:before="300" w:after="300" w:line="280" w:lineRule="exact"/>
        <w:outlineLvl w:val="3"/>
        <w:rPr>
          <w:rFonts w:ascii="Times New Roman" w:hAnsi="Times New Roman" w:cs="Times New Roman" w:eastAsiaTheme="majorEastAsia"/>
          <w:b/>
          <w:bCs/>
          <w:szCs w:val="21"/>
        </w:rPr>
      </w:pPr>
      <w:bookmarkStart w:id="313" w:name="_Toc989202"/>
      <w:r>
        <w:rPr>
          <w:rFonts w:ascii="Times New Roman" w:hAnsi="Times New Roman" w:cs="Times New Roman" w:eastAsiaTheme="majorEastAsia"/>
          <w:b/>
          <w:bCs/>
          <w:szCs w:val="21"/>
        </w:rPr>
        <w:t>（4） 未确认递延所得税资产明细</w:t>
      </w:r>
      <w:bookmarkEnd w:id="313"/>
    </w:p>
    <w:p w14:paraId="2405217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B6201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CB96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CB28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482C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0621BD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DA7242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可抵扣暂时性差异</w:t>
            </w:r>
          </w:p>
        </w:tc>
        <w:tc>
          <w:tcPr>
            <w:tcW w:w="3213" w:type="dxa"/>
            <w:tcBorders>
              <w:top w:val="single" w:color="auto" w:sz="2" w:space="0"/>
              <w:left w:val="single" w:color="auto" w:sz="2" w:space="0"/>
              <w:bottom w:val="single" w:color="auto" w:sz="2" w:space="0"/>
              <w:right w:val="single" w:color="auto" w:sz="2" w:space="0"/>
            </w:tcBorders>
            <w:vAlign w:val="center"/>
          </w:tcPr>
          <w:p w14:paraId="566ED71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6742A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75.00</w:t>
            </w:r>
          </w:p>
        </w:tc>
      </w:tr>
      <w:tr w14:paraId="1C359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717DA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可抵扣亏损</w:t>
            </w:r>
          </w:p>
        </w:tc>
        <w:tc>
          <w:tcPr>
            <w:tcW w:w="3213" w:type="dxa"/>
            <w:tcBorders>
              <w:top w:val="single" w:color="auto" w:sz="2" w:space="0"/>
              <w:left w:val="single" w:color="auto" w:sz="2" w:space="0"/>
              <w:bottom w:val="single" w:color="auto" w:sz="2" w:space="0"/>
              <w:right w:val="single" w:color="auto" w:sz="2" w:space="0"/>
            </w:tcBorders>
            <w:vAlign w:val="center"/>
          </w:tcPr>
          <w:p w14:paraId="56C8DD7D">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8DF5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896,300.66</w:t>
            </w:r>
          </w:p>
        </w:tc>
      </w:tr>
      <w:tr w14:paraId="273024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AF6FA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24E31C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1B241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896,375.66</w:t>
            </w:r>
          </w:p>
        </w:tc>
      </w:tr>
    </w:tbl>
    <w:p w14:paraId="6C4716A5">
      <w:pPr>
        <w:keepNext/>
        <w:keepLines/>
        <w:spacing w:before="300" w:after="300" w:line="280" w:lineRule="exact"/>
        <w:outlineLvl w:val="3"/>
        <w:rPr>
          <w:rFonts w:ascii="Times New Roman" w:hAnsi="Times New Roman" w:cs="Times New Roman" w:eastAsiaTheme="majorEastAsia"/>
          <w:b/>
          <w:bCs/>
          <w:szCs w:val="21"/>
        </w:rPr>
      </w:pPr>
      <w:bookmarkStart w:id="314" w:name="_Toc989203"/>
      <w:r>
        <w:rPr>
          <w:rFonts w:ascii="Times New Roman" w:hAnsi="Times New Roman" w:cs="Times New Roman" w:eastAsiaTheme="majorEastAsia"/>
          <w:b/>
          <w:bCs/>
          <w:szCs w:val="21"/>
        </w:rPr>
        <w:t>（5） 未确认递延所得税资产的可抵扣亏损将于以下年度到期</w:t>
      </w:r>
      <w:bookmarkEnd w:id="314"/>
    </w:p>
    <w:p w14:paraId="664DD83B">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DD8C2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91D60D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年份</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F1971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B5B93A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198F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备注</w:t>
            </w:r>
          </w:p>
        </w:tc>
      </w:tr>
      <w:tr w14:paraId="61F7DB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92C8A7">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w:t>
            </w:r>
          </w:p>
        </w:tc>
        <w:tc>
          <w:tcPr>
            <w:tcW w:w="2410" w:type="dxa"/>
            <w:tcBorders>
              <w:top w:val="single" w:color="auto" w:sz="2" w:space="0"/>
              <w:left w:val="single" w:color="auto" w:sz="2" w:space="0"/>
              <w:bottom w:val="single" w:color="auto" w:sz="2" w:space="0"/>
              <w:right w:val="single" w:color="auto" w:sz="2" w:space="0"/>
            </w:tcBorders>
            <w:vAlign w:val="center"/>
          </w:tcPr>
          <w:p w14:paraId="435C6C6B">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F1B99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528,317.02</w:t>
            </w:r>
          </w:p>
        </w:tc>
        <w:tc>
          <w:tcPr>
            <w:tcW w:w="2410" w:type="dxa"/>
            <w:tcBorders>
              <w:top w:val="single" w:color="auto" w:sz="2" w:space="0"/>
              <w:left w:val="single" w:color="auto" w:sz="2" w:space="0"/>
              <w:bottom w:val="single" w:color="auto" w:sz="2" w:space="0"/>
              <w:right w:val="single" w:color="auto" w:sz="2" w:space="0"/>
            </w:tcBorders>
            <w:vAlign w:val="center"/>
          </w:tcPr>
          <w:p w14:paraId="32B7DC2A">
            <w:pPr>
              <w:spacing w:line="240" w:lineRule="exact"/>
              <w:rPr>
                <w:rFonts w:ascii="Times New Roman" w:hAnsi="Times New Roman" w:cs="Times New Roman" w:eastAsiaTheme="majorEastAsia"/>
                <w:sz w:val="18"/>
                <w:szCs w:val="18"/>
              </w:rPr>
            </w:pPr>
          </w:p>
        </w:tc>
      </w:tr>
      <w:tr w14:paraId="4B577E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C11691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w:t>
            </w:r>
          </w:p>
        </w:tc>
        <w:tc>
          <w:tcPr>
            <w:tcW w:w="2410" w:type="dxa"/>
            <w:tcBorders>
              <w:top w:val="single" w:color="auto" w:sz="2" w:space="0"/>
              <w:left w:val="single" w:color="auto" w:sz="2" w:space="0"/>
              <w:bottom w:val="single" w:color="auto" w:sz="2" w:space="0"/>
              <w:right w:val="single" w:color="auto" w:sz="2" w:space="0"/>
            </w:tcBorders>
            <w:vAlign w:val="center"/>
          </w:tcPr>
          <w:p w14:paraId="7A68BDE0">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A8F5E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297,940.01</w:t>
            </w:r>
          </w:p>
        </w:tc>
        <w:tc>
          <w:tcPr>
            <w:tcW w:w="2410" w:type="dxa"/>
            <w:tcBorders>
              <w:top w:val="single" w:color="auto" w:sz="2" w:space="0"/>
              <w:left w:val="single" w:color="auto" w:sz="2" w:space="0"/>
              <w:bottom w:val="single" w:color="auto" w:sz="2" w:space="0"/>
              <w:right w:val="single" w:color="auto" w:sz="2" w:space="0"/>
            </w:tcBorders>
            <w:vAlign w:val="center"/>
          </w:tcPr>
          <w:p w14:paraId="53F8693F">
            <w:pPr>
              <w:spacing w:line="240" w:lineRule="exact"/>
              <w:rPr>
                <w:rFonts w:ascii="Times New Roman" w:hAnsi="Times New Roman" w:cs="Times New Roman" w:eastAsiaTheme="majorEastAsia"/>
                <w:sz w:val="18"/>
                <w:szCs w:val="18"/>
              </w:rPr>
            </w:pPr>
          </w:p>
        </w:tc>
      </w:tr>
      <w:tr w14:paraId="4EFB38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9A1E564">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2026年</w:t>
            </w:r>
          </w:p>
        </w:tc>
        <w:tc>
          <w:tcPr>
            <w:tcW w:w="2410" w:type="dxa"/>
            <w:tcBorders>
              <w:top w:val="single" w:color="auto" w:sz="2" w:space="0"/>
              <w:left w:val="single" w:color="auto" w:sz="2" w:space="0"/>
              <w:bottom w:val="single" w:color="auto" w:sz="2" w:space="0"/>
              <w:right w:val="single" w:color="auto" w:sz="2" w:space="0"/>
            </w:tcBorders>
            <w:vAlign w:val="center"/>
          </w:tcPr>
          <w:p w14:paraId="56DBFD6F">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20EBD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59,847.18</w:t>
            </w:r>
          </w:p>
        </w:tc>
        <w:tc>
          <w:tcPr>
            <w:tcW w:w="2410" w:type="dxa"/>
            <w:tcBorders>
              <w:top w:val="single" w:color="auto" w:sz="2" w:space="0"/>
              <w:left w:val="single" w:color="auto" w:sz="2" w:space="0"/>
              <w:bottom w:val="single" w:color="auto" w:sz="2" w:space="0"/>
              <w:right w:val="single" w:color="auto" w:sz="2" w:space="0"/>
            </w:tcBorders>
            <w:vAlign w:val="center"/>
          </w:tcPr>
          <w:p w14:paraId="1B9555C2">
            <w:pPr>
              <w:spacing w:line="240" w:lineRule="exact"/>
              <w:rPr>
                <w:rFonts w:ascii="Times New Roman" w:hAnsi="Times New Roman" w:cs="Times New Roman" w:eastAsiaTheme="majorEastAsia"/>
                <w:sz w:val="18"/>
                <w:szCs w:val="18"/>
              </w:rPr>
            </w:pPr>
          </w:p>
        </w:tc>
      </w:tr>
      <w:tr w14:paraId="3A5DFE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7D0B1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2027年</w:t>
            </w:r>
          </w:p>
        </w:tc>
        <w:tc>
          <w:tcPr>
            <w:tcW w:w="2410" w:type="dxa"/>
            <w:tcBorders>
              <w:top w:val="single" w:color="auto" w:sz="2" w:space="0"/>
              <w:left w:val="single" w:color="auto" w:sz="2" w:space="0"/>
              <w:bottom w:val="single" w:color="auto" w:sz="2" w:space="0"/>
              <w:right w:val="single" w:color="auto" w:sz="2" w:space="0"/>
            </w:tcBorders>
            <w:vAlign w:val="center"/>
          </w:tcPr>
          <w:p w14:paraId="17A94246">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14A81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3,690.98</w:t>
            </w:r>
          </w:p>
        </w:tc>
        <w:tc>
          <w:tcPr>
            <w:tcW w:w="2410" w:type="dxa"/>
            <w:tcBorders>
              <w:top w:val="single" w:color="auto" w:sz="2" w:space="0"/>
              <w:left w:val="single" w:color="auto" w:sz="2" w:space="0"/>
              <w:bottom w:val="single" w:color="auto" w:sz="2" w:space="0"/>
              <w:right w:val="single" w:color="auto" w:sz="2" w:space="0"/>
            </w:tcBorders>
            <w:vAlign w:val="center"/>
          </w:tcPr>
          <w:p w14:paraId="21EB81C2">
            <w:pPr>
              <w:spacing w:line="240" w:lineRule="exact"/>
              <w:rPr>
                <w:rFonts w:ascii="Times New Roman" w:hAnsi="Times New Roman" w:cs="Times New Roman" w:eastAsiaTheme="majorEastAsia"/>
                <w:sz w:val="18"/>
                <w:szCs w:val="18"/>
              </w:rPr>
            </w:pPr>
          </w:p>
        </w:tc>
      </w:tr>
      <w:tr w14:paraId="60A391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C7A4DE6">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2028年</w:t>
            </w:r>
          </w:p>
        </w:tc>
        <w:tc>
          <w:tcPr>
            <w:tcW w:w="2410" w:type="dxa"/>
            <w:tcBorders>
              <w:top w:val="single" w:color="auto" w:sz="2" w:space="0"/>
              <w:left w:val="single" w:color="auto" w:sz="2" w:space="0"/>
              <w:bottom w:val="single" w:color="auto" w:sz="2" w:space="0"/>
              <w:right w:val="single" w:color="auto" w:sz="2" w:space="0"/>
            </w:tcBorders>
            <w:vAlign w:val="center"/>
          </w:tcPr>
          <w:p w14:paraId="08321660">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578B7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6,505.47</w:t>
            </w:r>
          </w:p>
        </w:tc>
        <w:tc>
          <w:tcPr>
            <w:tcW w:w="2410" w:type="dxa"/>
            <w:tcBorders>
              <w:top w:val="single" w:color="auto" w:sz="2" w:space="0"/>
              <w:left w:val="single" w:color="auto" w:sz="2" w:space="0"/>
              <w:bottom w:val="single" w:color="auto" w:sz="2" w:space="0"/>
              <w:right w:val="single" w:color="auto" w:sz="2" w:space="0"/>
            </w:tcBorders>
            <w:vAlign w:val="center"/>
          </w:tcPr>
          <w:p w14:paraId="08EF0C61">
            <w:pPr>
              <w:spacing w:line="240" w:lineRule="exact"/>
              <w:rPr>
                <w:rFonts w:ascii="Times New Roman" w:hAnsi="Times New Roman" w:cs="Times New Roman" w:eastAsiaTheme="majorEastAsia"/>
                <w:sz w:val="18"/>
                <w:szCs w:val="18"/>
              </w:rPr>
            </w:pPr>
          </w:p>
        </w:tc>
      </w:tr>
      <w:tr w14:paraId="17E016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0A29D81">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2029年</w:t>
            </w:r>
          </w:p>
        </w:tc>
        <w:tc>
          <w:tcPr>
            <w:tcW w:w="2410" w:type="dxa"/>
            <w:tcBorders>
              <w:top w:val="single" w:color="auto" w:sz="2" w:space="0"/>
              <w:left w:val="single" w:color="auto" w:sz="2" w:space="0"/>
              <w:bottom w:val="single" w:color="auto" w:sz="2" w:space="0"/>
              <w:right w:val="single" w:color="auto" w:sz="2" w:space="0"/>
            </w:tcBorders>
            <w:vAlign w:val="center"/>
          </w:tcPr>
          <w:p w14:paraId="41B14245">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A427DAE">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B1D8501">
            <w:pPr>
              <w:spacing w:line="240" w:lineRule="exact"/>
              <w:rPr>
                <w:rFonts w:ascii="Times New Roman" w:hAnsi="Times New Roman" w:cs="Times New Roman" w:eastAsiaTheme="majorEastAsia"/>
                <w:sz w:val="18"/>
                <w:szCs w:val="18"/>
              </w:rPr>
            </w:pPr>
          </w:p>
        </w:tc>
      </w:tr>
      <w:tr w14:paraId="5B779A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E65601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DA42193">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25403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896,300.66</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519758D">
            <w:pPr>
              <w:rPr>
                <w:rFonts w:ascii="Times New Roman" w:hAnsi="Times New Roman" w:cs="Times New Roman" w:eastAsiaTheme="majorEastAsia"/>
              </w:rPr>
            </w:pPr>
          </w:p>
        </w:tc>
      </w:tr>
    </w:tbl>
    <w:p w14:paraId="33B7139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7AD0B6B0">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本年度重庆子公司已注销，期末不存在未确认递延所得税资产的可抵扣亏损。</w:t>
      </w:r>
    </w:p>
    <w:p w14:paraId="5A3BC4D6">
      <w:pPr>
        <w:pStyle w:val="3"/>
        <w:spacing w:line="280" w:lineRule="exact"/>
        <w:jc w:val="left"/>
        <w:rPr>
          <w:rFonts w:ascii="Times New Roman" w:hAnsi="Times New Roman" w:cs="Times New Roman" w:eastAsiaTheme="majorEastAsia"/>
          <w:b/>
          <w:bCs/>
        </w:rPr>
      </w:pPr>
      <w:bookmarkStart w:id="315" w:name="_Toc989204"/>
      <w:r>
        <w:rPr>
          <w:rFonts w:ascii="Times New Roman" w:hAnsi="Times New Roman" w:cs="Times New Roman" w:eastAsiaTheme="majorEastAsia"/>
          <w:b/>
          <w:bCs/>
        </w:rPr>
        <w:t>25、其他非流动资产</w:t>
      </w:r>
      <w:bookmarkEnd w:id="315"/>
    </w:p>
    <w:p w14:paraId="5BE0359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2704E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1B190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02806C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131"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23E969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C35F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383B162">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4242E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F5E62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5456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86C4B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D226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AC10E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5B142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629B04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w:t>
            </w:r>
          </w:p>
        </w:tc>
        <w:tc>
          <w:tcPr>
            <w:tcW w:w="1377" w:type="dxa"/>
            <w:tcBorders>
              <w:top w:val="single" w:color="auto" w:sz="2" w:space="0"/>
              <w:left w:val="single" w:color="auto" w:sz="2" w:space="0"/>
              <w:bottom w:val="single" w:color="auto" w:sz="2" w:space="0"/>
              <w:right w:val="single" w:color="auto" w:sz="2" w:space="0"/>
            </w:tcBorders>
            <w:vAlign w:val="center"/>
          </w:tcPr>
          <w:p w14:paraId="1E0993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821,399.89</w:t>
            </w:r>
          </w:p>
        </w:tc>
        <w:tc>
          <w:tcPr>
            <w:tcW w:w="1377" w:type="dxa"/>
            <w:tcBorders>
              <w:top w:val="single" w:color="auto" w:sz="2" w:space="0"/>
              <w:left w:val="single" w:color="auto" w:sz="2" w:space="0"/>
              <w:bottom w:val="single" w:color="auto" w:sz="2" w:space="0"/>
              <w:right w:val="single" w:color="auto" w:sz="2" w:space="0"/>
            </w:tcBorders>
            <w:vAlign w:val="center"/>
          </w:tcPr>
          <w:p w14:paraId="3265B0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41,069.99</w:t>
            </w:r>
          </w:p>
        </w:tc>
        <w:tc>
          <w:tcPr>
            <w:tcW w:w="1377" w:type="dxa"/>
            <w:tcBorders>
              <w:top w:val="single" w:color="auto" w:sz="2" w:space="0"/>
              <w:left w:val="single" w:color="auto" w:sz="2" w:space="0"/>
              <w:bottom w:val="single" w:color="auto" w:sz="2" w:space="0"/>
              <w:right w:val="single" w:color="auto" w:sz="2" w:space="0"/>
            </w:tcBorders>
            <w:vAlign w:val="center"/>
          </w:tcPr>
          <w:p w14:paraId="25FF49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780,329.90</w:t>
            </w:r>
          </w:p>
        </w:tc>
        <w:tc>
          <w:tcPr>
            <w:tcW w:w="1377" w:type="dxa"/>
            <w:tcBorders>
              <w:top w:val="single" w:color="auto" w:sz="2" w:space="0"/>
              <w:left w:val="single" w:color="auto" w:sz="2" w:space="0"/>
              <w:bottom w:val="single" w:color="auto" w:sz="2" w:space="0"/>
              <w:right w:val="single" w:color="auto" w:sz="2" w:space="0"/>
            </w:tcBorders>
            <w:vAlign w:val="center"/>
          </w:tcPr>
          <w:p w14:paraId="320F42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8,024,901.58</w:t>
            </w:r>
          </w:p>
        </w:tc>
        <w:tc>
          <w:tcPr>
            <w:tcW w:w="1377" w:type="dxa"/>
            <w:tcBorders>
              <w:top w:val="single" w:color="auto" w:sz="2" w:space="0"/>
              <w:left w:val="single" w:color="auto" w:sz="2" w:space="0"/>
              <w:bottom w:val="single" w:color="auto" w:sz="2" w:space="0"/>
              <w:right w:val="single" w:color="auto" w:sz="2" w:space="0"/>
            </w:tcBorders>
            <w:vAlign w:val="center"/>
          </w:tcPr>
          <w:p w14:paraId="3C6C06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731,439.29</w:t>
            </w:r>
          </w:p>
        </w:tc>
        <w:tc>
          <w:tcPr>
            <w:tcW w:w="1377" w:type="dxa"/>
            <w:tcBorders>
              <w:top w:val="single" w:color="auto" w:sz="2" w:space="0"/>
              <w:left w:val="single" w:color="auto" w:sz="2" w:space="0"/>
              <w:bottom w:val="single" w:color="auto" w:sz="2" w:space="0"/>
              <w:right w:val="single" w:color="auto" w:sz="2" w:space="0"/>
            </w:tcBorders>
            <w:vAlign w:val="center"/>
          </w:tcPr>
          <w:p w14:paraId="2593C0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7,293,462.29</w:t>
            </w:r>
          </w:p>
        </w:tc>
      </w:tr>
      <w:tr w14:paraId="67C680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71F10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预付购房款</w:t>
            </w:r>
          </w:p>
        </w:tc>
        <w:tc>
          <w:tcPr>
            <w:tcW w:w="1377" w:type="dxa"/>
            <w:tcBorders>
              <w:top w:val="single" w:color="auto" w:sz="2" w:space="0"/>
              <w:left w:val="single" w:color="auto" w:sz="2" w:space="0"/>
              <w:bottom w:val="single" w:color="auto" w:sz="2" w:space="0"/>
              <w:right w:val="single" w:color="auto" w:sz="2" w:space="0"/>
            </w:tcBorders>
            <w:vAlign w:val="center"/>
          </w:tcPr>
          <w:p w14:paraId="12482D3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79B9B4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9C803E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FB7B8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11,888,888.00</w:t>
            </w:r>
          </w:p>
        </w:tc>
        <w:tc>
          <w:tcPr>
            <w:tcW w:w="1377" w:type="dxa"/>
            <w:tcBorders>
              <w:top w:val="single" w:color="auto" w:sz="2" w:space="0"/>
              <w:left w:val="single" w:color="auto" w:sz="2" w:space="0"/>
              <w:bottom w:val="single" w:color="auto" w:sz="2" w:space="0"/>
              <w:right w:val="single" w:color="auto" w:sz="2" w:space="0"/>
            </w:tcBorders>
            <w:vAlign w:val="center"/>
          </w:tcPr>
          <w:p w14:paraId="315CF5F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2708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11,888,888.00</w:t>
            </w:r>
          </w:p>
        </w:tc>
      </w:tr>
      <w:tr w14:paraId="07912A7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451628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软件实施成本</w:t>
            </w:r>
          </w:p>
        </w:tc>
        <w:tc>
          <w:tcPr>
            <w:tcW w:w="1377" w:type="dxa"/>
            <w:tcBorders>
              <w:top w:val="single" w:color="auto" w:sz="2" w:space="0"/>
              <w:left w:val="single" w:color="auto" w:sz="2" w:space="0"/>
              <w:bottom w:val="single" w:color="auto" w:sz="2" w:space="0"/>
              <w:right w:val="single" w:color="auto" w:sz="2" w:space="0"/>
            </w:tcBorders>
            <w:vAlign w:val="center"/>
          </w:tcPr>
          <w:p w14:paraId="38BA6DF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B0D0F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D6B618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78804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217,821.21</w:t>
            </w:r>
          </w:p>
        </w:tc>
        <w:tc>
          <w:tcPr>
            <w:tcW w:w="1377" w:type="dxa"/>
            <w:tcBorders>
              <w:top w:val="single" w:color="auto" w:sz="2" w:space="0"/>
              <w:left w:val="single" w:color="auto" w:sz="2" w:space="0"/>
              <w:bottom w:val="single" w:color="auto" w:sz="2" w:space="0"/>
              <w:right w:val="single" w:color="auto" w:sz="2" w:space="0"/>
            </w:tcBorders>
            <w:vAlign w:val="center"/>
          </w:tcPr>
          <w:p w14:paraId="4C6A6DB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43908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217,821.21</w:t>
            </w:r>
          </w:p>
        </w:tc>
      </w:tr>
      <w:tr w14:paraId="08157A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8D436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减：一年内到期的合同资产</w:t>
            </w:r>
          </w:p>
        </w:tc>
        <w:tc>
          <w:tcPr>
            <w:tcW w:w="1377" w:type="dxa"/>
            <w:tcBorders>
              <w:top w:val="single" w:color="auto" w:sz="2" w:space="0"/>
              <w:left w:val="single" w:color="auto" w:sz="2" w:space="0"/>
              <w:bottom w:val="single" w:color="auto" w:sz="2" w:space="0"/>
              <w:right w:val="single" w:color="auto" w:sz="2" w:space="0"/>
            </w:tcBorders>
            <w:vAlign w:val="center"/>
          </w:tcPr>
          <w:p w14:paraId="3FD9199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99B3BD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E1A61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FE4DC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-4,870,472.73</w:t>
            </w:r>
          </w:p>
        </w:tc>
        <w:tc>
          <w:tcPr>
            <w:tcW w:w="1377" w:type="dxa"/>
            <w:tcBorders>
              <w:top w:val="single" w:color="auto" w:sz="2" w:space="0"/>
              <w:left w:val="single" w:color="auto" w:sz="2" w:space="0"/>
              <w:bottom w:val="single" w:color="auto" w:sz="2" w:space="0"/>
              <w:right w:val="single" w:color="auto" w:sz="2" w:space="0"/>
            </w:tcBorders>
            <w:vAlign w:val="center"/>
          </w:tcPr>
          <w:p w14:paraId="4B6439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-373,750.65</w:t>
            </w:r>
          </w:p>
        </w:tc>
        <w:tc>
          <w:tcPr>
            <w:tcW w:w="1377" w:type="dxa"/>
            <w:tcBorders>
              <w:top w:val="single" w:color="auto" w:sz="2" w:space="0"/>
              <w:left w:val="single" w:color="auto" w:sz="2" w:space="0"/>
              <w:bottom w:val="single" w:color="auto" w:sz="2" w:space="0"/>
              <w:right w:val="single" w:color="auto" w:sz="2" w:space="0"/>
            </w:tcBorders>
            <w:vAlign w:val="center"/>
          </w:tcPr>
          <w:p w14:paraId="4FE45B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-4,496,722.08</w:t>
            </w:r>
          </w:p>
        </w:tc>
      </w:tr>
      <w:tr w14:paraId="57EDF8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E5D70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E1F2A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821,399.89</w:t>
            </w:r>
          </w:p>
        </w:tc>
        <w:tc>
          <w:tcPr>
            <w:tcW w:w="1377" w:type="dxa"/>
            <w:tcBorders>
              <w:top w:val="single" w:color="auto" w:sz="2" w:space="0"/>
              <w:left w:val="single" w:color="auto" w:sz="2" w:space="0"/>
              <w:bottom w:val="single" w:color="auto" w:sz="2" w:space="0"/>
              <w:right w:val="single" w:color="auto" w:sz="2" w:space="0"/>
            </w:tcBorders>
            <w:vAlign w:val="center"/>
          </w:tcPr>
          <w:p w14:paraId="412DBD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41,069.99</w:t>
            </w:r>
          </w:p>
        </w:tc>
        <w:tc>
          <w:tcPr>
            <w:tcW w:w="1377" w:type="dxa"/>
            <w:tcBorders>
              <w:top w:val="single" w:color="auto" w:sz="2" w:space="0"/>
              <w:left w:val="single" w:color="auto" w:sz="2" w:space="0"/>
              <w:bottom w:val="single" w:color="auto" w:sz="2" w:space="0"/>
              <w:right w:val="single" w:color="auto" w:sz="2" w:space="0"/>
            </w:tcBorders>
            <w:vAlign w:val="center"/>
          </w:tcPr>
          <w:p w14:paraId="60A6A7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780,329.90</w:t>
            </w:r>
          </w:p>
        </w:tc>
        <w:tc>
          <w:tcPr>
            <w:tcW w:w="1377" w:type="dxa"/>
            <w:tcBorders>
              <w:top w:val="single" w:color="auto" w:sz="2" w:space="0"/>
              <w:left w:val="single" w:color="auto" w:sz="2" w:space="0"/>
              <w:bottom w:val="single" w:color="auto" w:sz="2" w:space="0"/>
              <w:right w:val="single" w:color="auto" w:sz="2" w:space="0"/>
            </w:tcBorders>
            <w:vAlign w:val="center"/>
          </w:tcPr>
          <w:p w14:paraId="3C04A8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15,261,138.06</w:t>
            </w:r>
          </w:p>
        </w:tc>
        <w:tc>
          <w:tcPr>
            <w:tcW w:w="1377" w:type="dxa"/>
            <w:tcBorders>
              <w:top w:val="single" w:color="auto" w:sz="2" w:space="0"/>
              <w:left w:val="single" w:color="auto" w:sz="2" w:space="0"/>
              <w:bottom w:val="single" w:color="auto" w:sz="2" w:space="0"/>
              <w:right w:val="single" w:color="auto" w:sz="2" w:space="0"/>
            </w:tcBorders>
            <w:vAlign w:val="center"/>
          </w:tcPr>
          <w:p w14:paraId="448504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357,688.64</w:t>
            </w:r>
          </w:p>
        </w:tc>
        <w:tc>
          <w:tcPr>
            <w:tcW w:w="1377" w:type="dxa"/>
            <w:tcBorders>
              <w:top w:val="single" w:color="auto" w:sz="2" w:space="0"/>
              <w:left w:val="single" w:color="auto" w:sz="2" w:space="0"/>
              <w:bottom w:val="single" w:color="auto" w:sz="2" w:space="0"/>
              <w:right w:val="single" w:color="auto" w:sz="2" w:space="0"/>
            </w:tcBorders>
            <w:vAlign w:val="center"/>
          </w:tcPr>
          <w:p w14:paraId="694E81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14,903,449.42</w:t>
            </w:r>
          </w:p>
        </w:tc>
      </w:tr>
    </w:tbl>
    <w:p w14:paraId="1B7E6FA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45C8ACF7">
      <w:pPr>
        <w:pStyle w:val="3"/>
        <w:spacing w:line="280" w:lineRule="exact"/>
        <w:jc w:val="left"/>
        <w:rPr>
          <w:rFonts w:ascii="Times New Roman" w:hAnsi="Times New Roman" w:cs="Times New Roman" w:eastAsiaTheme="majorEastAsia"/>
          <w:b/>
          <w:bCs/>
        </w:rPr>
      </w:pPr>
      <w:bookmarkStart w:id="316" w:name="_Toc989205"/>
      <w:r>
        <w:rPr>
          <w:rFonts w:ascii="Times New Roman" w:hAnsi="Times New Roman" w:cs="Times New Roman" w:eastAsiaTheme="majorEastAsia"/>
          <w:b/>
          <w:bCs/>
        </w:rPr>
        <w:t>26、所有权或使用权受到限制的资产</w:t>
      </w:r>
      <w:bookmarkEnd w:id="316"/>
    </w:p>
    <w:p w14:paraId="419E7A0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1434A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3A3F6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0EBDC2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50D6416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w:t>
            </w:r>
          </w:p>
        </w:tc>
      </w:tr>
      <w:tr w14:paraId="4A7016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B6C968">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A5A0D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2D10E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5D565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BC413E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受限情况</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14C111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CFA38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56EF5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受限类型</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1B584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受限情况</w:t>
            </w:r>
          </w:p>
        </w:tc>
      </w:tr>
      <w:tr w14:paraId="1EDEF8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B8D2C1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1071" w:type="dxa"/>
            <w:tcBorders>
              <w:top w:val="single" w:color="auto" w:sz="2" w:space="0"/>
              <w:left w:val="single" w:color="auto" w:sz="2" w:space="0"/>
              <w:bottom w:val="single" w:color="auto" w:sz="2" w:space="0"/>
              <w:right w:val="single" w:color="auto" w:sz="2" w:space="0"/>
            </w:tcBorders>
            <w:vAlign w:val="center"/>
          </w:tcPr>
          <w:p w14:paraId="5C9EBE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1071" w:type="dxa"/>
            <w:tcBorders>
              <w:top w:val="single" w:color="auto" w:sz="2" w:space="0"/>
              <w:left w:val="single" w:color="auto" w:sz="2" w:space="0"/>
              <w:bottom w:val="single" w:color="auto" w:sz="2" w:space="0"/>
              <w:right w:val="single" w:color="auto" w:sz="2" w:space="0"/>
            </w:tcBorders>
            <w:vAlign w:val="center"/>
          </w:tcPr>
          <w:p w14:paraId="5995F6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1071" w:type="dxa"/>
            <w:tcBorders>
              <w:top w:val="single" w:color="auto" w:sz="2" w:space="0"/>
              <w:left w:val="single" w:color="auto" w:sz="2" w:space="0"/>
              <w:bottom w:val="single" w:color="auto" w:sz="2" w:space="0"/>
              <w:right w:val="single" w:color="auto" w:sz="2" w:space="0"/>
            </w:tcBorders>
            <w:vAlign w:val="center"/>
          </w:tcPr>
          <w:p w14:paraId="469A80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承兑保证金、保函保证金、质押存款、大额定期存单</w:t>
            </w:r>
          </w:p>
        </w:tc>
        <w:tc>
          <w:tcPr>
            <w:tcW w:w="1071" w:type="dxa"/>
            <w:tcBorders>
              <w:top w:val="single" w:color="auto" w:sz="2" w:space="0"/>
              <w:left w:val="single" w:color="auto" w:sz="2" w:space="0"/>
              <w:bottom w:val="single" w:color="auto" w:sz="2" w:space="0"/>
              <w:right w:val="single" w:color="auto" w:sz="2" w:space="0"/>
            </w:tcBorders>
            <w:vAlign w:val="center"/>
          </w:tcPr>
          <w:p w14:paraId="6D6724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承兑保证金、保函保证金、质押存款、大额定期存单</w:t>
            </w:r>
          </w:p>
        </w:tc>
        <w:tc>
          <w:tcPr>
            <w:tcW w:w="1071" w:type="dxa"/>
            <w:tcBorders>
              <w:top w:val="single" w:color="auto" w:sz="2" w:space="0"/>
              <w:left w:val="single" w:color="auto" w:sz="2" w:space="0"/>
              <w:bottom w:val="single" w:color="auto" w:sz="2" w:space="0"/>
              <w:right w:val="single" w:color="auto" w:sz="2" w:space="0"/>
            </w:tcBorders>
            <w:vAlign w:val="center"/>
          </w:tcPr>
          <w:p w14:paraId="0B70A0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1071" w:type="dxa"/>
            <w:tcBorders>
              <w:top w:val="single" w:color="auto" w:sz="2" w:space="0"/>
              <w:left w:val="single" w:color="auto" w:sz="2" w:space="0"/>
              <w:bottom w:val="single" w:color="auto" w:sz="2" w:space="0"/>
              <w:right w:val="single" w:color="auto" w:sz="2" w:space="0"/>
            </w:tcBorders>
            <w:vAlign w:val="center"/>
          </w:tcPr>
          <w:p w14:paraId="5AF264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1071" w:type="dxa"/>
            <w:tcBorders>
              <w:top w:val="single" w:color="auto" w:sz="2" w:space="0"/>
              <w:left w:val="single" w:color="auto" w:sz="2" w:space="0"/>
              <w:bottom w:val="single" w:color="auto" w:sz="2" w:space="0"/>
              <w:right w:val="single" w:color="auto" w:sz="2" w:space="0"/>
            </w:tcBorders>
            <w:vAlign w:val="center"/>
          </w:tcPr>
          <w:p w14:paraId="419612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承兑保证金、保函保证金、质押存款、大额定期存单</w:t>
            </w:r>
          </w:p>
        </w:tc>
        <w:tc>
          <w:tcPr>
            <w:tcW w:w="1071" w:type="dxa"/>
            <w:tcBorders>
              <w:top w:val="single" w:color="auto" w:sz="2" w:space="0"/>
              <w:left w:val="single" w:color="auto" w:sz="2" w:space="0"/>
              <w:bottom w:val="single" w:color="auto" w:sz="2" w:space="0"/>
              <w:right w:val="single" w:color="auto" w:sz="2" w:space="0"/>
            </w:tcBorders>
            <w:vAlign w:val="center"/>
          </w:tcPr>
          <w:p w14:paraId="6F4475C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承兑保证金、保函保证金、质押存款、大额定期存单</w:t>
            </w:r>
          </w:p>
        </w:tc>
      </w:tr>
      <w:tr w14:paraId="4600DE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6B6DA5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071" w:type="dxa"/>
            <w:tcBorders>
              <w:top w:val="single" w:color="auto" w:sz="2" w:space="0"/>
              <w:left w:val="single" w:color="auto" w:sz="2" w:space="0"/>
              <w:bottom w:val="single" w:color="auto" w:sz="2" w:space="0"/>
              <w:right w:val="single" w:color="auto" w:sz="2" w:space="0"/>
            </w:tcBorders>
            <w:vAlign w:val="center"/>
          </w:tcPr>
          <w:p w14:paraId="45AF71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1071" w:type="dxa"/>
            <w:tcBorders>
              <w:top w:val="single" w:color="auto" w:sz="2" w:space="0"/>
              <w:left w:val="single" w:color="auto" w:sz="2" w:space="0"/>
              <w:bottom w:val="single" w:color="auto" w:sz="2" w:space="0"/>
              <w:right w:val="single" w:color="auto" w:sz="2" w:space="0"/>
            </w:tcBorders>
            <w:vAlign w:val="center"/>
          </w:tcPr>
          <w:p w14:paraId="672E956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0B905EC">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6E6402BC">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vAlign w:val="center"/>
          </w:tcPr>
          <w:p w14:paraId="05FA2D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1071" w:type="dxa"/>
            <w:tcBorders>
              <w:top w:val="single" w:color="auto" w:sz="2" w:space="0"/>
              <w:left w:val="single" w:color="auto" w:sz="2" w:space="0"/>
              <w:bottom w:val="single" w:color="auto" w:sz="2" w:space="0"/>
              <w:right w:val="single" w:color="auto" w:sz="2" w:space="0"/>
            </w:tcBorders>
            <w:vAlign w:val="center"/>
          </w:tcPr>
          <w:p w14:paraId="5E905A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D2F1877">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D4B674A">
            <w:pPr>
              <w:rPr>
                <w:rFonts w:ascii="Times New Roman" w:hAnsi="Times New Roman" w:cs="Times New Roman" w:eastAsiaTheme="majorEastAsia"/>
              </w:rPr>
            </w:pPr>
          </w:p>
        </w:tc>
      </w:tr>
    </w:tbl>
    <w:p w14:paraId="54BAF8C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47EC3EAC">
      <w:pPr>
        <w:pStyle w:val="3"/>
        <w:spacing w:line="280" w:lineRule="exact"/>
        <w:jc w:val="left"/>
        <w:rPr>
          <w:rFonts w:ascii="Times New Roman" w:hAnsi="Times New Roman" w:cs="Times New Roman" w:eastAsiaTheme="majorEastAsia"/>
          <w:b/>
          <w:bCs/>
        </w:rPr>
      </w:pPr>
      <w:bookmarkStart w:id="317" w:name="_Toc989206"/>
      <w:r>
        <w:rPr>
          <w:rFonts w:ascii="Times New Roman" w:hAnsi="Times New Roman" w:cs="Times New Roman" w:eastAsiaTheme="majorEastAsia"/>
          <w:b/>
          <w:bCs/>
        </w:rPr>
        <w:t>27、短期借款</w:t>
      </w:r>
      <w:bookmarkEnd w:id="317"/>
    </w:p>
    <w:p w14:paraId="5B793921">
      <w:pPr>
        <w:keepNext/>
        <w:keepLines/>
        <w:spacing w:before="300" w:after="300" w:line="280" w:lineRule="exact"/>
        <w:outlineLvl w:val="3"/>
        <w:rPr>
          <w:rFonts w:ascii="Times New Roman" w:hAnsi="Times New Roman" w:cs="Times New Roman" w:eastAsiaTheme="majorEastAsia"/>
          <w:b/>
          <w:bCs/>
          <w:szCs w:val="21"/>
        </w:rPr>
      </w:pPr>
      <w:bookmarkStart w:id="318" w:name="_Toc989207"/>
      <w:r>
        <w:rPr>
          <w:rFonts w:ascii="Times New Roman" w:hAnsi="Times New Roman" w:cs="Times New Roman" w:eastAsiaTheme="majorEastAsia"/>
          <w:b/>
          <w:bCs/>
          <w:szCs w:val="21"/>
        </w:rPr>
        <w:t>（1） 短期借款分类</w:t>
      </w:r>
      <w:bookmarkEnd w:id="318"/>
    </w:p>
    <w:p w14:paraId="4E137DD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0A5AD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DF8F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2BD83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D7FC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0AF0A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40D8A4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4E0497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46,223,781.13</w:t>
            </w:r>
          </w:p>
        </w:tc>
        <w:tc>
          <w:tcPr>
            <w:tcW w:w="3213" w:type="dxa"/>
            <w:tcBorders>
              <w:top w:val="single" w:color="auto" w:sz="2" w:space="0"/>
              <w:left w:val="single" w:color="auto" w:sz="2" w:space="0"/>
              <w:bottom w:val="single" w:color="auto" w:sz="2" w:space="0"/>
              <w:right w:val="single" w:color="auto" w:sz="2" w:space="0"/>
            </w:tcBorders>
            <w:vAlign w:val="center"/>
          </w:tcPr>
          <w:p w14:paraId="4644E8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10,922,480.70</w:t>
            </w:r>
          </w:p>
        </w:tc>
      </w:tr>
      <w:tr w14:paraId="7226F9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F4E4B7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924BB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46,223,781.13</w:t>
            </w:r>
          </w:p>
        </w:tc>
        <w:tc>
          <w:tcPr>
            <w:tcW w:w="3213" w:type="dxa"/>
            <w:tcBorders>
              <w:top w:val="single" w:color="auto" w:sz="2" w:space="0"/>
              <w:left w:val="single" w:color="auto" w:sz="2" w:space="0"/>
              <w:bottom w:val="single" w:color="auto" w:sz="2" w:space="0"/>
              <w:right w:val="single" w:color="auto" w:sz="2" w:space="0"/>
            </w:tcBorders>
            <w:vAlign w:val="center"/>
          </w:tcPr>
          <w:p w14:paraId="4B519A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10,922,480.70</w:t>
            </w:r>
          </w:p>
        </w:tc>
      </w:tr>
    </w:tbl>
    <w:p w14:paraId="22389A1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短期借款分类的说明：不适用。</w:t>
      </w:r>
    </w:p>
    <w:p w14:paraId="090E2970">
      <w:pPr>
        <w:keepNext/>
        <w:keepLines/>
        <w:spacing w:before="300" w:after="300" w:line="280" w:lineRule="exact"/>
        <w:outlineLvl w:val="3"/>
        <w:rPr>
          <w:rFonts w:ascii="Times New Roman" w:hAnsi="Times New Roman" w:cs="Times New Roman" w:eastAsiaTheme="majorEastAsia"/>
          <w:b/>
          <w:bCs/>
          <w:szCs w:val="21"/>
        </w:rPr>
      </w:pPr>
      <w:bookmarkStart w:id="319" w:name="_Toc989208"/>
      <w:r>
        <w:rPr>
          <w:rFonts w:ascii="Times New Roman" w:hAnsi="Times New Roman" w:cs="Times New Roman" w:eastAsiaTheme="majorEastAsia"/>
          <w:b/>
          <w:bCs/>
          <w:szCs w:val="21"/>
        </w:rPr>
        <w:t>（2） 已逾期未偿还的短期借款情况</w:t>
      </w:r>
      <w:bookmarkEnd w:id="319"/>
    </w:p>
    <w:p w14:paraId="7AB58E3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本期末已逾期未偿还的短期借款总额为0.00元，其中重要的已逾期未偿还的短期借款情况如下：</w:t>
      </w:r>
    </w:p>
    <w:p w14:paraId="615EA625">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16463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7AAB5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借款单位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2EFCFE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F957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借款利率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EDB1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逾期时间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AC7C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逾期利率</w:t>
            </w:r>
          </w:p>
        </w:tc>
      </w:tr>
      <w:tr w14:paraId="7E82C7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18401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928" w:type="dxa"/>
            <w:tcBorders>
              <w:top w:val="single" w:color="auto" w:sz="2" w:space="0"/>
              <w:left w:val="single" w:color="auto" w:sz="2" w:space="0"/>
              <w:bottom w:val="single" w:color="auto" w:sz="2" w:space="0"/>
              <w:right w:val="single" w:color="auto" w:sz="2" w:space="0"/>
            </w:tcBorders>
            <w:vAlign w:val="center"/>
          </w:tcPr>
          <w:p w14:paraId="56809784">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2074018">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D52B157">
            <w:pPr>
              <w:spacing w:line="240" w:lineRule="exac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6777A839">
            <w:pPr>
              <w:spacing w:line="240" w:lineRule="exact"/>
              <w:jc w:val="right"/>
              <w:rPr>
                <w:rFonts w:ascii="Times New Roman" w:hAnsi="Times New Roman" w:cs="Times New Roman" w:eastAsiaTheme="majorEastAsia"/>
                <w:sz w:val="18"/>
                <w:szCs w:val="18"/>
              </w:rPr>
            </w:pPr>
          </w:p>
        </w:tc>
      </w:tr>
    </w:tbl>
    <w:p w14:paraId="74AE270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0F271E3B">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776F5706">
      <w:pPr>
        <w:pStyle w:val="3"/>
        <w:spacing w:line="280" w:lineRule="exact"/>
        <w:jc w:val="left"/>
        <w:rPr>
          <w:rFonts w:ascii="Times New Roman" w:hAnsi="Times New Roman" w:cs="Times New Roman" w:eastAsiaTheme="majorEastAsia"/>
          <w:b/>
          <w:bCs/>
        </w:rPr>
      </w:pPr>
      <w:bookmarkStart w:id="320" w:name="_Toc989209"/>
      <w:r>
        <w:rPr>
          <w:rFonts w:ascii="Times New Roman" w:hAnsi="Times New Roman" w:cs="Times New Roman" w:eastAsiaTheme="majorEastAsia"/>
          <w:b/>
          <w:bCs/>
        </w:rPr>
        <w:t>28、应付票据</w:t>
      </w:r>
      <w:bookmarkEnd w:id="320"/>
    </w:p>
    <w:p w14:paraId="69BA9E6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2E4981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1B76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种类</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1393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C0EB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652BA7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4C2950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银行承兑汇票</w:t>
            </w:r>
          </w:p>
        </w:tc>
        <w:tc>
          <w:tcPr>
            <w:tcW w:w="3213" w:type="dxa"/>
            <w:tcBorders>
              <w:top w:val="single" w:color="auto" w:sz="2" w:space="0"/>
              <w:left w:val="single" w:color="auto" w:sz="2" w:space="0"/>
              <w:bottom w:val="single" w:color="auto" w:sz="2" w:space="0"/>
              <w:right w:val="single" w:color="auto" w:sz="2" w:space="0"/>
            </w:tcBorders>
            <w:vAlign w:val="center"/>
          </w:tcPr>
          <w:p w14:paraId="4ED949B8">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D21DC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11,078,266.00</w:t>
            </w:r>
          </w:p>
        </w:tc>
      </w:tr>
      <w:tr w14:paraId="30EB14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9D93B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0B79567">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81D0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11,078,266.00</w:t>
            </w:r>
          </w:p>
        </w:tc>
      </w:tr>
    </w:tbl>
    <w:p w14:paraId="321ED0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本期末已到期未支付的应付票据总额为0.00元，到期未付的原因为不适用。</w:t>
      </w:r>
    </w:p>
    <w:p w14:paraId="711C78DF">
      <w:pPr>
        <w:pStyle w:val="3"/>
        <w:spacing w:line="280" w:lineRule="exact"/>
        <w:jc w:val="left"/>
        <w:rPr>
          <w:rFonts w:ascii="Times New Roman" w:hAnsi="Times New Roman" w:cs="Times New Roman" w:eastAsiaTheme="majorEastAsia"/>
          <w:b/>
          <w:bCs/>
        </w:rPr>
      </w:pPr>
      <w:bookmarkStart w:id="321" w:name="_Toc989210"/>
      <w:r>
        <w:rPr>
          <w:rFonts w:ascii="Times New Roman" w:hAnsi="Times New Roman" w:cs="Times New Roman" w:eastAsiaTheme="majorEastAsia"/>
          <w:b/>
          <w:bCs/>
        </w:rPr>
        <w:t>29、应付账款</w:t>
      </w:r>
      <w:bookmarkEnd w:id="321"/>
    </w:p>
    <w:p w14:paraId="4BF92296">
      <w:pPr>
        <w:keepNext/>
        <w:keepLines/>
        <w:spacing w:before="300" w:after="300" w:line="280" w:lineRule="exact"/>
        <w:outlineLvl w:val="3"/>
        <w:rPr>
          <w:rFonts w:ascii="Times New Roman" w:hAnsi="Times New Roman" w:cs="Times New Roman" w:eastAsiaTheme="majorEastAsia"/>
          <w:b/>
          <w:bCs/>
          <w:sz w:val="18"/>
          <w:szCs w:val="18"/>
        </w:rPr>
      </w:pPr>
      <w:bookmarkStart w:id="322" w:name="_Toc989211"/>
      <w:r>
        <w:rPr>
          <w:rFonts w:ascii="Times New Roman" w:hAnsi="Times New Roman" w:cs="Times New Roman" w:eastAsiaTheme="majorEastAsia"/>
          <w:b/>
          <w:bCs/>
          <w:sz w:val="18"/>
          <w:szCs w:val="18"/>
        </w:rPr>
        <w:t>（1） 应付账款列示</w:t>
      </w:r>
      <w:bookmarkEnd w:id="322"/>
    </w:p>
    <w:p w14:paraId="07BA7C1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3970C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D5CF9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7188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F6BD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58242D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75F0B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3213" w:type="dxa"/>
            <w:tcBorders>
              <w:top w:val="single" w:color="auto" w:sz="2" w:space="0"/>
              <w:left w:val="single" w:color="auto" w:sz="2" w:space="0"/>
              <w:bottom w:val="single" w:color="auto" w:sz="2" w:space="0"/>
              <w:right w:val="single" w:color="auto" w:sz="2" w:space="0"/>
            </w:tcBorders>
            <w:vAlign w:val="center"/>
          </w:tcPr>
          <w:p w14:paraId="79B12A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284,195,157.30</w:t>
            </w:r>
          </w:p>
        </w:tc>
        <w:tc>
          <w:tcPr>
            <w:tcW w:w="3213" w:type="dxa"/>
            <w:tcBorders>
              <w:top w:val="single" w:color="auto" w:sz="2" w:space="0"/>
              <w:left w:val="single" w:color="auto" w:sz="2" w:space="0"/>
              <w:bottom w:val="single" w:color="auto" w:sz="2" w:space="0"/>
              <w:right w:val="single" w:color="auto" w:sz="2" w:space="0"/>
            </w:tcBorders>
            <w:vAlign w:val="center"/>
          </w:tcPr>
          <w:p w14:paraId="4B0FC6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59,589,893.54</w:t>
            </w:r>
          </w:p>
        </w:tc>
      </w:tr>
      <w:tr w14:paraId="15C8EB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9AA67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075E6D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15,183,821.09</w:t>
            </w:r>
          </w:p>
        </w:tc>
        <w:tc>
          <w:tcPr>
            <w:tcW w:w="3213" w:type="dxa"/>
            <w:tcBorders>
              <w:top w:val="single" w:color="auto" w:sz="2" w:space="0"/>
              <w:left w:val="single" w:color="auto" w:sz="2" w:space="0"/>
              <w:bottom w:val="single" w:color="auto" w:sz="2" w:space="0"/>
              <w:right w:val="single" w:color="auto" w:sz="2" w:space="0"/>
            </w:tcBorders>
            <w:vAlign w:val="center"/>
          </w:tcPr>
          <w:p w14:paraId="580F27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14,363,687.73</w:t>
            </w:r>
          </w:p>
        </w:tc>
      </w:tr>
      <w:tr w14:paraId="053911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CDF6C0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138C34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7,630,570.52</w:t>
            </w:r>
          </w:p>
        </w:tc>
        <w:tc>
          <w:tcPr>
            <w:tcW w:w="3213" w:type="dxa"/>
            <w:tcBorders>
              <w:top w:val="single" w:color="auto" w:sz="2" w:space="0"/>
              <w:left w:val="single" w:color="auto" w:sz="2" w:space="0"/>
              <w:bottom w:val="single" w:color="auto" w:sz="2" w:space="0"/>
              <w:right w:val="single" w:color="auto" w:sz="2" w:space="0"/>
            </w:tcBorders>
            <w:vAlign w:val="center"/>
          </w:tcPr>
          <w:p w14:paraId="061A5C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4,190,308.57</w:t>
            </w:r>
          </w:p>
        </w:tc>
      </w:tr>
      <w:tr w14:paraId="0D3D83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745B08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79DADD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3,088,569.55</w:t>
            </w:r>
          </w:p>
        </w:tc>
        <w:tc>
          <w:tcPr>
            <w:tcW w:w="3213" w:type="dxa"/>
            <w:tcBorders>
              <w:top w:val="single" w:color="auto" w:sz="2" w:space="0"/>
              <w:left w:val="single" w:color="auto" w:sz="2" w:space="0"/>
              <w:bottom w:val="single" w:color="auto" w:sz="2" w:space="0"/>
              <w:right w:val="single" w:color="auto" w:sz="2" w:space="0"/>
            </w:tcBorders>
            <w:vAlign w:val="center"/>
          </w:tcPr>
          <w:p w14:paraId="764CDB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143,246.50</w:t>
            </w:r>
          </w:p>
        </w:tc>
      </w:tr>
      <w:tr w14:paraId="5E4BC3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B3CC09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4年以上</w:t>
            </w:r>
          </w:p>
        </w:tc>
        <w:tc>
          <w:tcPr>
            <w:tcW w:w="3213" w:type="dxa"/>
            <w:tcBorders>
              <w:top w:val="single" w:color="auto" w:sz="2" w:space="0"/>
              <w:left w:val="single" w:color="auto" w:sz="2" w:space="0"/>
              <w:bottom w:val="single" w:color="auto" w:sz="2" w:space="0"/>
              <w:right w:val="single" w:color="auto" w:sz="2" w:space="0"/>
            </w:tcBorders>
            <w:vAlign w:val="center"/>
          </w:tcPr>
          <w:p w14:paraId="439DC4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130,869.11</w:t>
            </w:r>
          </w:p>
        </w:tc>
        <w:tc>
          <w:tcPr>
            <w:tcW w:w="3213" w:type="dxa"/>
            <w:tcBorders>
              <w:top w:val="single" w:color="auto" w:sz="2" w:space="0"/>
              <w:left w:val="single" w:color="auto" w:sz="2" w:space="0"/>
              <w:bottom w:val="single" w:color="auto" w:sz="2" w:space="0"/>
              <w:right w:val="single" w:color="auto" w:sz="2" w:space="0"/>
            </w:tcBorders>
            <w:vAlign w:val="center"/>
          </w:tcPr>
          <w:p w14:paraId="5800DB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1,555,931.51</w:t>
            </w:r>
          </w:p>
        </w:tc>
      </w:tr>
      <w:tr w14:paraId="0CEA64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6117A6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01DFEA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466,308.87</w:t>
            </w:r>
          </w:p>
        </w:tc>
        <w:tc>
          <w:tcPr>
            <w:tcW w:w="3213" w:type="dxa"/>
            <w:tcBorders>
              <w:top w:val="single" w:color="auto" w:sz="2" w:space="0"/>
              <w:left w:val="single" w:color="auto" w:sz="2" w:space="0"/>
              <w:bottom w:val="single" w:color="auto" w:sz="2" w:space="0"/>
              <w:right w:val="single" w:color="auto" w:sz="2" w:space="0"/>
            </w:tcBorders>
            <w:vAlign w:val="center"/>
          </w:tcPr>
          <w:p w14:paraId="7241CD52">
            <w:pPr>
              <w:spacing w:line="240" w:lineRule="exact"/>
              <w:jc w:val="right"/>
              <w:rPr>
                <w:rFonts w:ascii="Times New Roman" w:hAnsi="Times New Roman" w:cs="Times New Roman" w:eastAsiaTheme="majorEastAsia"/>
                <w:sz w:val="18"/>
                <w:szCs w:val="18"/>
              </w:rPr>
            </w:pPr>
          </w:p>
        </w:tc>
      </w:tr>
      <w:tr w14:paraId="0BB7B3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488B9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934AD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310,695,296.44</w:t>
            </w:r>
          </w:p>
        </w:tc>
        <w:tc>
          <w:tcPr>
            <w:tcW w:w="3213" w:type="dxa"/>
            <w:tcBorders>
              <w:top w:val="single" w:color="auto" w:sz="2" w:space="0"/>
              <w:left w:val="single" w:color="auto" w:sz="2" w:space="0"/>
              <w:bottom w:val="single" w:color="auto" w:sz="2" w:space="0"/>
              <w:right w:val="single" w:color="auto" w:sz="2" w:space="0"/>
            </w:tcBorders>
            <w:vAlign w:val="center"/>
          </w:tcPr>
          <w:p w14:paraId="51FA45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79,843,067.85</w:t>
            </w:r>
          </w:p>
        </w:tc>
      </w:tr>
    </w:tbl>
    <w:p w14:paraId="5C113054">
      <w:pPr>
        <w:keepNext/>
        <w:keepLines/>
        <w:spacing w:before="300" w:after="300" w:line="280" w:lineRule="exact"/>
        <w:outlineLvl w:val="3"/>
        <w:rPr>
          <w:rFonts w:ascii="Times New Roman" w:hAnsi="Times New Roman" w:cs="Times New Roman" w:eastAsiaTheme="majorEastAsia"/>
          <w:b/>
          <w:bCs/>
          <w:sz w:val="18"/>
          <w:szCs w:val="18"/>
        </w:rPr>
      </w:pPr>
      <w:bookmarkStart w:id="323" w:name="_Toc989212"/>
      <w:r>
        <w:rPr>
          <w:rFonts w:ascii="Times New Roman" w:hAnsi="Times New Roman" w:cs="Times New Roman" w:eastAsiaTheme="majorEastAsia"/>
          <w:b/>
          <w:bCs/>
          <w:sz w:val="18"/>
          <w:szCs w:val="18"/>
        </w:rPr>
        <w:t>（2） 账龄超过1年或逾期的重要应付账款</w:t>
      </w:r>
      <w:bookmarkEnd w:id="323"/>
    </w:p>
    <w:p w14:paraId="66BCF7C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BB5C6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C7F7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485E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B04B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未偿还或结转的原因</w:t>
            </w:r>
          </w:p>
        </w:tc>
      </w:tr>
      <w:tr w14:paraId="553EE4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D20CE0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同略科技有限公司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757859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3,996,443.47</w:t>
            </w:r>
          </w:p>
        </w:tc>
        <w:tc>
          <w:tcPr>
            <w:tcW w:w="3213" w:type="dxa"/>
            <w:tcBorders>
              <w:top w:val="single" w:color="auto" w:sz="2" w:space="0"/>
              <w:left w:val="single" w:color="auto" w:sz="2" w:space="0"/>
              <w:bottom w:val="single" w:color="auto" w:sz="2" w:space="0"/>
              <w:right w:val="single" w:color="auto" w:sz="2" w:space="0"/>
            </w:tcBorders>
            <w:vAlign w:val="center"/>
          </w:tcPr>
          <w:p w14:paraId="6A4CA8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1F6A39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894A7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联奕科技股份有限公司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5CBC1E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1,735,621.97</w:t>
            </w:r>
          </w:p>
        </w:tc>
        <w:tc>
          <w:tcPr>
            <w:tcW w:w="3213" w:type="dxa"/>
            <w:tcBorders>
              <w:top w:val="single" w:color="auto" w:sz="2" w:space="0"/>
              <w:left w:val="single" w:color="auto" w:sz="2" w:space="0"/>
              <w:bottom w:val="single" w:color="auto" w:sz="2" w:space="0"/>
              <w:right w:val="single" w:color="auto" w:sz="2" w:space="0"/>
            </w:tcBorders>
            <w:vAlign w:val="center"/>
          </w:tcPr>
          <w:p w14:paraId="279A33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18C59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055A11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江苏智通交通科技有限公司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538528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969,469.02</w:t>
            </w:r>
          </w:p>
        </w:tc>
        <w:tc>
          <w:tcPr>
            <w:tcW w:w="3213" w:type="dxa"/>
            <w:tcBorders>
              <w:top w:val="single" w:color="auto" w:sz="2" w:space="0"/>
              <w:left w:val="single" w:color="auto" w:sz="2" w:space="0"/>
              <w:bottom w:val="single" w:color="auto" w:sz="2" w:space="0"/>
              <w:right w:val="single" w:color="auto" w:sz="2" w:space="0"/>
            </w:tcBorders>
            <w:vAlign w:val="center"/>
          </w:tcPr>
          <w:p w14:paraId="76BECC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4AC7F1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BD10F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中国移动通信集团广东有限公司汕头分公司</w:t>
            </w:r>
          </w:p>
        </w:tc>
        <w:tc>
          <w:tcPr>
            <w:tcW w:w="3213" w:type="dxa"/>
            <w:tcBorders>
              <w:top w:val="single" w:color="auto" w:sz="2" w:space="0"/>
              <w:left w:val="single" w:color="auto" w:sz="2" w:space="0"/>
              <w:bottom w:val="single" w:color="auto" w:sz="2" w:space="0"/>
              <w:right w:val="single" w:color="auto" w:sz="2" w:space="0"/>
            </w:tcBorders>
            <w:vAlign w:val="center"/>
          </w:tcPr>
          <w:p w14:paraId="517460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873,022.53</w:t>
            </w:r>
          </w:p>
        </w:tc>
        <w:tc>
          <w:tcPr>
            <w:tcW w:w="3213" w:type="dxa"/>
            <w:tcBorders>
              <w:top w:val="single" w:color="auto" w:sz="2" w:space="0"/>
              <w:left w:val="single" w:color="auto" w:sz="2" w:space="0"/>
              <w:bottom w:val="single" w:color="auto" w:sz="2" w:space="0"/>
              <w:right w:val="single" w:color="auto" w:sz="2" w:space="0"/>
            </w:tcBorders>
            <w:vAlign w:val="center"/>
          </w:tcPr>
          <w:p w14:paraId="3EF6137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0C18DC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4CA1F0D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广州市品高软件股份有限公司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67BCAC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754,100.57</w:t>
            </w:r>
          </w:p>
        </w:tc>
        <w:tc>
          <w:tcPr>
            <w:tcW w:w="3213" w:type="dxa"/>
            <w:tcBorders>
              <w:top w:val="single" w:color="auto" w:sz="2" w:space="0"/>
              <w:left w:val="single" w:color="auto" w:sz="2" w:space="0"/>
              <w:bottom w:val="single" w:color="auto" w:sz="2" w:space="0"/>
              <w:right w:val="single" w:color="auto" w:sz="2" w:space="0"/>
            </w:tcBorders>
            <w:vAlign w:val="center"/>
          </w:tcPr>
          <w:p w14:paraId="63A5F9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1B2C29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16D058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深圳震有科技股份有限公司</w:t>
            </w:r>
          </w:p>
        </w:tc>
        <w:tc>
          <w:tcPr>
            <w:tcW w:w="3213" w:type="dxa"/>
            <w:tcBorders>
              <w:top w:val="single" w:color="auto" w:sz="2" w:space="0"/>
              <w:left w:val="single" w:color="auto" w:sz="2" w:space="0"/>
              <w:bottom w:val="single" w:color="auto" w:sz="2" w:space="0"/>
              <w:right w:val="single" w:color="auto" w:sz="2" w:space="0"/>
            </w:tcBorders>
            <w:vAlign w:val="center"/>
          </w:tcPr>
          <w:p w14:paraId="72C86F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588,000.00</w:t>
            </w:r>
          </w:p>
        </w:tc>
        <w:tc>
          <w:tcPr>
            <w:tcW w:w="3213" w:type="dxa"/>
            <w:tcBorders>
              <w:top w:val="single" w:color="auto" w:sz="2" w:space="0"/>
              <w:left w:val="single" w:color="auto" w:sz="2" w:space="0"/>
              <w:bottom w:val="single" w:color="auto" w:sz="2" w:space="0"/>
              <w:right w:val="single" w:color="auto" w:sz="2" w:space="0"/>
            </w:tcBorders>
            <w:vAlign w:val="center"/>
          </w:tcPr>
          <w:p w14:paraId="66056B7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合同未履行完毕</w:t>
            </w:r>
          </w:p>
        </w:tc>
      </w:tr>
      <w:tr w14:paraId="23F048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15FB7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FE6AF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8,916,657.56</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9BE55E">
            <w:pPr>
              <w:rPr>
                <w:rFonts w:ascii="Times New Roman" w:hAnsi="Times New Roman" w:cs="Times New Roman" w:eastAsiaTheme="majorEastAsia"/>
              </w:rPr>
            </w:pPr>
          </w:p>
        </w:tc>
      </w:tr>
    </w:tbl>
    <w:p w14:paraId="00A45AF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6A841760">
      <w:pPr>
        <w:pStyle w:val="3"/>
        <w:spacing w:line="280" w:lineRule="exact"/>
        <w:jc w:val="left"/>
        <w:rPr>
          <w:rFonts w:ascii="Times New Roman" w:hAnsi="Times New Roman" w:cs="Times New Roman" w:eastAsiaTheme="majorEastAsia"/>
          <w:b/>
          <w:bCs/>
        </w:rPr>
      </w:pPr>
      <w:bookmarkStart w:id="324" w:name="_Toc989213"/>
      <w:r>
        <w:rPr>
          <w:rFonts w:ascii="Times New Roman" w:hAnsi="Times New Roman" w:cs="Times New Roman" w:eastAsiaTheme="majorEastAsia"/>
          <w:b/>
          <w:bCs/>
        </w:rPr>
        <w:t>30、其他应付款</w:t>
      </w:r>
      <w:bookmarkEnd w:id="324"/>
    </w:p>
    <w:p w14:paraId="0993640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907B6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B151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06BB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48F08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27D20F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899664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其他应付款</w:t>
            </w:r>
          </w:p>
        </w:tc>
        <w:tc>
          <w:tcPr>
            <w:tcW w:w="3213" w:type="dxa"/>
            <w:tcBorders>
              <w:top w:val="single" w:color="auto" w:sz="2" w:space="0"/>
              <w:left w:val="single" w:color="auto" w:sz="2" w:space="0"/>
              <w:bottom w:val="single" w:color="auto" w:sz="2" w:space="0"/>
              <w:right w:val="single" w:color="auto" w:sz="2" w:space="0"/>
            </w:tcBorders>
            <w:vAlign w:val="center"/>
          </w:tcPr>
          <w:p w14:paraId="065CC72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29,616,531.12</w:t>
            </w:r>
          </w:p>
        </w:tc>
        <w:tc>
          <w:tcPr>
            <w:tcW w:w="3213" w:type="dxa"/>
            <w:tcBorders>
              <w:top w:val="single" w:color="auto" w:sz="2" w:space="0"/>
              <w:left w:val="single" w:color="auto" w:sz="2" w:space="0"/>
              <w:bottom w:val="single" w:color="auto" w:sz="2" w:space="0"/>
              <w:right w:val="single" w:color="auto" w:sz="2" w:space="0"/>
            </w:tcBorders>
            <w:vAlign w:val="center"/>
          </w:tcPr>
          <w:p w14:paraId="56647D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30,695,021.03</w:t>
            </w:r>
          </w:p>
        </w:tc>
      </w:tr>
      <w:tr w14:paraId="39D6FF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17DC8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EFEA9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29,616,531.12</w:t>
            </w:r>
          </w:p>
        </w:tc>
        <w:tc>
          <w:tcPr>
            <w:tcW w:w="3213" w:type="dxa"/>
            <w:tcBorders>
              <w:top w:val="single" w:color="auto" w:sz="2" w:space="0"/>
              <w:left w:val="single" w:color="auto" w:sz="2" w:space="0"/>
              <w:bottom w:val="single" w:color="auto" w:sz="2" w:space="0"/>
              <w:right w:val="single" w:color="auto" w:sz="2" w:space="0"/>
            </w:tcBorders>
            <w:vAlign w:val="center"/>
          </w:tcPr>
          <w:p w14:paraId="3A9895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30,695,021.03</w:t>
            </w:r>
          </w:p>
        </w:tc>
      </w:tr>
    </w:tbl>
    <w:p w14:paraId="14ADC321">
      <w:pPr>
        <w:keepNext/>
        <w:keepLines/>
        <w:spacing w:before="300" w:after="300" w:line="280" w:lineRule="exact"/>
        <w:outlineLvl w:val="3"/>
        <w:rPr>
          <w:rFonts w:ascii="Times New Roman" w:hAnsi="Times New Roman" w:cs="Times New Roman" w:eastAsiaTheme="majorEastAsia"/>
          <w:b/>
          <w:bCs/>
          <w:sz w:val="18"/>
          <w:szCs w:val="18"/>
        </w:rPr>
      </w:pPr>
      <w:bookmarkStart w:id="325" w:name="_Toc989214"/>
      <w:r>
        <w:rPr>
          <w:rFonts w:ascii="Times New Roman" w:hAnsi="Times New Roman" w:cs="Times New Roman" w:eastAsiaTheme="majorEastAsia"/>
          <w:b/>
          <w:bCs/>
          <w:sz w:val="18"/>
          <w:szCs w:val="18"/>
        </w:rPr>
        <w:t>（1） 应付利息</w:t>
      </w:r>
      <w:bookmarkEnd w:id="325"/>
    </w:p>
    <w:p w14:paraId="606B85E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A546D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AB99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110A43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F11E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bl>
    <w:p w14:paraId="16165CC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重要的已逾期未支付的利息情况：</w:t>
      </w:r>
    </w:p>
    <w:p w14:paraId="51416F33">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EC804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001C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借款单位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512D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25AA3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逾期原因</w:t>
            </w:r>
          </w:p>
        </w:tc>
      </w:tr>
    </w:tbl>
    <w:p w14:paraId="27A9BDD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42A65C69">
      <w:pPr>
        <w:keepNext/>
        <w:keepLines/>
        <w:spacing w:before="300" w:after="300" w:line="280" w:lineRule="exact"/>
        <w:outlineLvl w:val="3"/>
        <w:rPr>
          <w:rFonts w:ascii="Times New Roman" w:hAnsi="Times New Roman" w:cs="Times New Roman" w:eastAsiaTheme="majorEastAsia"/>
          <w:b/>
          <w:bCs/>
          <w:sz w:val="18"/>
          <w:szCs w:val="18"/>
        </w:rPr>
      </w:pPr>
      <w:bookmarkStart w:id="326" w:name="_Toc989215"/>
      <w:r>
        <w:rPr>
          <w:rFonts w:ascii="Times New Roman" w:hAnsi="Times New Roman" w:cs="Times New Roman" w:eastAsiaTheme="majorEastAsia"/>
          <w:b/>
          <w:bCs/>
          <w:sz w:val="18"/>
          <w:szCs w:val="18"/>
        </w:rPr>
        <w:t>（2） 应付股利</w:t>
      </w:r>
      <w:bookmarkEnd w:id="326"/>
    </w:p>
    <w:p w14:paraId="29C1B7D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DCB9D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4BB9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329C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B2BD8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bl>
    <w:p w14:paraId="1B9B7B7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其他说明，包括重要的超过1年未支付的应付股利，应披露未支付原因：不适用。</w:t>
      </w:r>
    </w:p>
    <w:p w14:paraId="347C6D82">
      <w:pPr>
        <w:keepNext/>
        <w:keepLines/>
        <w:spacing w:before="300" w:after="300" w:line="280" w:lineRule="exact"/>
        <w:outlineLvl w:val="3"/>
        <w:rPr>
          <w:rFonts w:ascii="Times New Roman" w:hAnsi="Times New Roman" w:cs="Times New Roman" w:eastAsiaTheme="majorEastAsia"/>
          <w:b/>
          <w:bCs/>
          <w:sz w:val="18"/>
          <w:szCs w:val="18"/>
        </w:rPr>
      </w:pPr>
      <w:bookmarkStart w:id="327" w:name="_Toc989216"/>
      <w:r>
        <w:rPr>
          <w:rFonts w:ascii="Times New Roman" w:hAnsi="Times New Roman" w:cs="Times New Roman" w:eastAsiaTheme="majorEastAsia"/>
          <w:b/>
          <w:bCs/>
          <w:sz w:val="18"/>
          <w:szCs w:val="18"/>
        </w:rPr>
        <w:t>（3） 其他应付款</w:t>
      </w:r>
      <w:bookmarkEnd w:id="327"/>
    </w:p>
    <w:p w14:paraId="67C47976">
      <w:pPr>
        <w:keepNext/>
        <w:keepLines/>
        <w:spacing w:before="300" w:after="300" w:line="280" w:lineRule="exact"/>
        <w:outlineLvl w:val="4"/>
        <w:rPr>
          <w:rFonts w:ascii="Times New Roman" w:hAnsi="Times New Roman" w:cs="Times New Roman" w:eastAsiaTheme="majorEastAsia"/>
          <w:b/>
          <w:bCs/>
          <w:sz w:val="18"/>
          <w:szCs w:val="18"/>
        </w:rPr>
      </w:pPr>
      <w:bookmarkStart w:id="328" w:name="_Toc989217"/>
      <w:r>
        <w:rPr>
          <w:rFonts w:ascii="Times New Roman" w:hAnsi="Times New Roman" w:cs="Times New Roman" w:eastAsiaTheme="majorEastAsia"/>
          <w:b/>
          <w:bCs/>
          <w:sz w:val="18"/>
          <w:szCs w:val="18"/>
        </w:rPr>
        <w:t>1） 按款项性质列示其他应付款</w:t>
      </w:r>
      <w:bookmarkEnd w:id="328"/>
    </w:p>
    <w:p w14:paraId="2F55044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E4380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21418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178F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99B2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5DF5E8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737C9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196CB8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115,166.78</w:t>
            </w:r>
          </w:p>
        </w:tc>
        <w:tc>
          <w:tcPr>
            <w:tcW w:w="3213" w:type="dxa"/>
            <w:tcBorders>
              <w:top w:val="single" w:color="auto" w:sz="2" w:space="0"/>
              <w:left w:val="single" w:color="auto" w:sz="2" w:space="0"/>
              <w:bottom w:val="single" w:color="auto" w:sz="2" w:space="0"/>
              <w:right w:val="single" w:color="auto" w:sz="2" w:space="0"/>
            </w:tcBorders>
            <w:vAlign w:val="center"/>
          </w:tcPr>
          <w:p w14:paraId="76F7C5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891,509.43</w:t>
            </w:r>
          </w:p>
        </w:tc>
      </w:tr>
      <w:tr w14:paraId="4217C9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D7B67B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往来款项</w:t>
            </w:r>
          </w:p>
        </w:tc>
        <w:tc>
          <w:tcPr>
            <w:tcW w:w="3213" w:type="dxa"/>
            <w:tcBorders>
              <w:top w:val="single" w:color="auto" w:sz="2" w:space="0"/>
              <w:left w:val="single" w:color="auto" w:sz="2" w:space="0"/>
              <w:bottom w:val="single" w:color="auto" w:sz="2" w:space="0"/>
              <w:right w:val="single" w:color="auto" w:sz="2" w:space="0"/>
            </w:tcBorders>
            <w:vAlign w:val="center"/>
          </w:tcPr>
          <w:p w14:paraId="45464E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2,274,624.99</w:t>
            </w:r>
          </w:p>
        </w:tc>
        <w:tc>
          <w:tcPr>
            <w:tcW w:w="3213" w:type="dxa"/>
            <w:tcBorders>
              <w:top w:val="single" w:color="auto" w:sz="2" w:space="0"/>
              <w:left w:val="single" w:color="auto" w:sz="2" w:space="0"/>
              <w:bottom w:val="single" w:color="auto" w:sz="2" w:space="0"/>
              <w:right w:val="single" w:color="auto" w:sz="2" w:space="0"/>
            </w:tcBorders>
            <w:vAlign w:val="center"/>
          </w:tcPr>
          <w:p w14:paraId="351827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1,132,221.15</w:t>
            </w:r>
          </w:p>
        </w:tc>
      </w:tr>
      <w:tr w14:paraId="0B38A4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15B8B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员工报销款</w:t>
            </w:r>
          </w:p>
        </w:tc>
        <w:tc>
          <w:tcPr>
            <w:tcW w:w="3213" w:type="dxa"/>
            <w:tcBorders>
              <w:top w:val="single" w:color="auto" w:sz="2" w:space="0"/>
              <w:left w:val="single" w:color="auto" w:sz="2" w:space="0"/>
              <w:bottom w:val="single" w:color="auto" w:sz="2" w:space="0"/>
              <w:right w:val="single" w:color="auto" w:sz="2" w:space="0"/>
            </w:tcBorders>
            <w:vAlign w:val="center"/>
          </w:tcPr>
          <w:p w14:paraId="319D9E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444,494.79</w:t>
            </w:r>
          </w:p>
        </w:tc>
        <w:tc>
          <w:tcPr>
            <w:tcW w:w="3213" w:type="dxa"/>
            <w:tcBorders>
              <w:top w:val="single" w:color="auto" w:sz="2" w:space="0"/>
              <w:left w:val="single" w:color="auto" w:sz="2" w:space="0"/>
              <w:bottom w:val="single" w:color="auto" w:sz="2" w:space="0"/>
              <w:right w:val="single" w:color="auto" w:sz="2" w:space="0"/>
            </w:tcBorders>
            <w:vAlign w:val="center"/>
          </w:tcPr>
          <w:p w14:paraId="780624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37,736.98</w:t>
            </w:r>
          </w:p>
        </w:tc>
      </w:tr>
      <w:tr w14:paraId="6BD59A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58147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股票回购款</w:t>
            </w:r>
          </w:p>
        </w:tc>
        <w:tc>
          <w:tcPr>
            <w:tcW w:w="3213" w:type="dxa"/>
            <w:tcBorders>
              <w:top w:val="single" w:color="auto" w:sz="2" w:space="0"/>
              <w:left w:val="single" w:color="auto" w:sz="2" w:space="0"/>
              <w:bottom w:val="single" w:color="auto" w:sz="2" w:space="0"/>
              <w:right w:val="single" w:color="auto" w:sz="2" w:space="0"/>
            </w:tcBorders>
            <w:vAlign w:val="center"/>
          </w:tcPr>
          <w:p w14:paraId="52E852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25,729,004.00</w:t>
            </w:r>
          </w:p>
        </w:tc>
        <w:tc>
          <w:tcPr>
            <w:tcW w:w="3213" w:type="dxa"/>
            <w:tcBorders>
              <w:top w:val="single" w:color="auto" w:sz="2" w:space="0"/>
              <w:left w:val="single" w:color="auto" w:sz="2" w:space="0"/>
              <w:bottom w:val="single" w:color="auto" w:sz="2" w:space="0"/>
              <w:right w:val="single" w:color="auto" w:sz="2" w:space="0"/>
            </w:tcBorders>
            <w:vAlign w:val="center"/>
          </w:tcPr>
          <w:p w14:paraId="3D29F2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27,880,684.00</w:t>
            </w:r>
          </w:p>
        </w:tc>
      </w:tr>
      <w:tr w14:paraId="2C57AE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5A45D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1729D8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1,053,240.56</w:t>
            </w:r>
          </w:p>
        </w:tc>
        <w:tc>
          <w:tcPr>
            <w:tcW w:w="3213" w:type="dxa"/>
            <w:tcBorders>
              <w:top w:val="single" w:color="auto" w:sz="2" w:space="0"/>
              <w:left w:val="single" w:color="auto" w:sz="2" w:space="0"/>
              <w:bottom w:val="single" w:color="auto" w:sz="2" w:space="0"/>
              <w:right w:val="single" w:color="auto" w:sz="2" w:space="0"/>
            </w:tcBorders>
            <w:vAlign w:val="center"/>
          </w:tcPr>
          <w:p w14:paraId="733765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752,869.47</w:t>
            </w:r>
          </w:p>
        </w:tc>
      </w:tr>
      <w:tr w14:paraId="303464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ADFC0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3E078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29,616,531.12</w:t>
            </w:r>
          </w:p>
        </w:tc>
        <w:tc>
          <w:tcPr>
            <w:tcW w:w="3213" w:type="dxa"/>
            <w:tcBorders>
              <w:top w:val="single" w:color="auto" w:sz="2" w:space="0"/>
              <w:left w:val="single" w:color="auto" w:sz="2" w:space="0"/>
              <w:bottom w:val="single" w:color="auto" w:sz="2" w:space="0"/>
              <w:right w:val="single" w:color="auto" w:sz="2" w:space="0"/>
            </w:tcBorders>
            <w:vAlign w:val="center"/>
          </w:tcPr>
          <w:p w14:paraId="49E2A3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30,695,021.03</w:t>
            </w:r>
          </w:p>
        </w:tc>
      </w:tr>
    </w:tbl>
    <w:p w14:paraId="0C58F970">
      <w:pPr>
        <w:keepNext/>
        <w:keepLines/>
        <w:spacing w:before="300" w:after="300" w:line="280" w:lineRule="exact"/>
        <w:outlineLvl w:val="4"/>
        <w:rPr>
          <w:rFonts w:ascii="Times New Roman" w:hAnsi="Times New Roman" w:cs="Times New Roman" w:eastAsiaTheme="majorEastAsia"/>
          <w:b/>
          <w:bCs/>
          <w:sz w:val="18"/>
          <w:szCs w:val="18"/>
        </w:rPr>
      </w:pPr>
      <w:bookmarkStart w:id="329" w:name="_Toc989218"/>
      <w:r>
        <w:rPr>
          <w:rFonts w:ascii="Times New Roman" w:hAnsi="Times New Roman" w:cs="Times New Roman" w:eastAsiaTheme="majorEastAsia"/>
          <w:b/>
          <w:bCs/>
          <w:sz w:val="18"/>
          <w:szCs w:val="18"/>
        </w:rPr>
        <w:t>2） 账龄超过1年或逾期的重要其他应付款</w:t>
      </w:r>
      <w:bookmarkEnd w:id="329"/>
    </w:p>
    <w:p w14:paraId="441E1FB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F3D5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B9575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83EB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A71F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未偿还或结转的原因</w:t>
            </w:r>
          </w:p>
        </w:tc>
      </w:tr>
    </w:tbl>
    <w:p w14:paraId="4AAF94D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68396E0F">
      <w:pPr>
        <w:pStyle w:val="3"/>
        <w:spacing w:line="280" w:lineRule="exact"/>
        <w:jc w:val="left"/>
        <w:rPr>
          <w:rFonts w:ascii="Times New Roman" w:hAnsi="Times New Roman" w:cs="Times New Roman" w:eastAsiaTheme="majorEastAsia"/>
          <w:b/>
          <w:bCs/>
        </w:rPr>
      </w:pPr>
      <w:bookmarkStart w:id="330" w:name="_Toc989219"/>
      <w:r>
        <w:rPr>
          <w:rFonts w:ascii="Times New Roman" w:hAnsi="Times New Roman" w:cs="Times New Roman" w:eastAsiaTheme="majorEastAsia"/>
          <w:b/>
          <w:bCs/>
        </w:rPr>
        <w:t>31、合同负债</w:t>
      </w:r>
      <w:bookmarkEnd w:id="330"/>
    </w:p>
    <w:p w14:paraId="2978ABB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9102C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3060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3E868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4690D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035586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31D28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销货合同相关的合同负债</w:t>
            </w:r>
          </w:p>
        </w:tc>
        <w:tc>
          <w:tcPr>
            <w:tcW w:w="3213" w:type="dxa"/>
            <w:tcBorders>
              <w:top w:val="single" w:color="auto" w:sz="2" w:space="0"/>
              <w:left w:val="single" w:color="auto" w:sz="2" w:space="0"/>
              <w:bottom w:val="single" w:color="auto" w:sz="2" w:space="0"/>
              <w:right w:val="single" w:color="auto" w:sz="2" w:space="0"/>
            </w:tcBorders>
            <w:vAlign w:val="center"/>
          </w:tcPr>
          <w:p w14:paraId="5D3B30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48,564,228.45</w:t>
            </w:r>
          </w:p>
        </w:tc>
        <w:tc>
          <w:tcPr>
            <w:tcW w:w="3213" w:type="dxa"/>
            <w:tcBorders>
              <w:top w:val="single" w:color="auto" w:sz="2" w:space="0"/>
              <w:left w:val="single" w:color="auto" w:sz="2" w:space="0"/>
              <w:bottom w:val="single" w:color="auto" w:sz="2" w:space="0"/>
              <w:right w:val="single" w:color="auto" w:sz="2" w:space="0"/>
            </w:tcBorders>
            <w:vAlign w:val="center"/>
          </w:tcPr>
          <w:p w14:paraId="04BDDA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9,777,778.67</w:t>
            </w:r>
          </w:p>
        </w:tc>
      </w:tr>
      <w:tr w14:paraId="5A91B4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B2930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6420C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48,564,228.45</w:t>
            </w:r>
          </w:p>
        </w:tc>
        <w:tc>
          <w:tcPr>
            <w:tcW w:w="3213" w:type="dxa"/>
            <w:tcBorders>
              <w:top w:val="single" w:color="auto" w:sz="2" w:space="0"/>
              <w:left w:val="single" w:color="auto" w:sz="2" w:space="0"/>
              <w:bottom w:val="single" w:color="auto" w:sz="2" w:space="0"/>
              <w:right w:val="single" w:color="auto" w:sz="2" w:space="0"/>
            </w:tcBorders>
            <w:vAlign w:val="center"/>
          </w:tcPr>
          <w:p w14:paraId="2D7570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9,777,778.67</w:t>
            </w:r>
          </w:p>
        </w:tc>
      </w:tr>
    </w:tbl>
    <w:p w14:paraId="2AA111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账龄超过1年的重要合同负债</w:t>
      </w:r>
    </w:p>
    <w:p w14:paraId="71DC2F3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BB824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810D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4022F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1328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未偿还或结转的原因</w:t>
            </w:r>
          </w:p>
        </w:tc>
      </w:tr>
    </w:tbl>
    <w:p w14:paraId="6657C9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报告期内账面价值发生重大变动的金额和原因</w:t>
      </w:r>
    </w:p>
    <w:p w14:paraId="1AA8ECD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01D43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34A26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2A5C2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9E7B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变动原因</w:t>
            </w:r>
          </w:p>
        </w:tc>
      </w:tr>
    </w:tbl>
    <w:p w14:paraId="4099EFE4">
      <w:pPr>
        <w:pStyle w:val="3"/>
        <w:spacing w:line="280" w:lineRule="exact"/>
        <w:jc w:val="left"/>
        <w:rPr>
          <w:rFonts w:ascii="Times New Roman" w:hAnsi="Times New Roman" w:cs="Times New Roman" w:eastAsiaTheme="majorEastAsia"/>
          <w:b/>
          <w:bCs/>
        </w:rPr>
      </w:pPr>
      <w:bookmarkStart w:id="331" w:name="_Toc989220"/>
      <w:r>
        <w:rPr>
          <w:rFonts w:ascii="Times New Roman" w:hAnsi="Times New Roman" w:cs="Times New Roman" w:eastAsiaTheme="majorEastAsia"/>
          <w:b/>
          <w:bCs/>
        </w:rPr>
        <w:t>32、应付职工薪酬</w:t>
      </w:r>
      <w:bookmarkEnd w:id="331"/>
    </w:p>
    <w:p w14:paraId="73B7D540">
      <w:pPr>
        <w:keepNext/>
        <w:keepLines/>
        <w:spacing w:before="300" w:after="300" w:line="280" w:lineRule="exact"/>
        <w:outlineLvl w:val="3"/>
        <w:rPr>
          <w:rFonts w:ascii="Times New Roman" w:hAnsi="Times New Roman" w:cs="Times New Roman" w:eastAsiaTheme="majorEastAsia"/>
          <w:b/>
          <w:bCs/>
          <w:szCs w:val="21"/>
        </w:rPr>
      </w:pPr>
      <w:bookmarkStart w:id="332" w:name="_Toc989221"/>
      <w:r>
        <w:rPr>
          <w:rFonts w:ascii="Times New Roman" w:hAnsi="Times New Roman" w:cs="Times New Roman" w:eastAsiaTheme="majorEastAsia"/>
          <w:b/>
          <w:bCs/>
          <w:szCs w:val="21"/>
        </w:rPr>
        <w:t>（1） 应付职工薪酬列示</w:t>
      </w:r>
      <w:bookmarkEnd w:id="332"/>
    </w:p>
    <w:p w14:paraId="3408117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DEF2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3F67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EEB6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C2C37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7EA9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5F167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64ACDF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06626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一、短期薪酬</w:t>
            </w:r>
          </w:p>
        </w:tc>
        <w:tc>
          <w:tcPr>
            <w:tcW w:w="1928" w:type="dxa"/>
            <w:tcBorders>
              <w:top w:val="single" w:color="auto" w:sz="2" w:space="0"/>
              <w:left w:val="single" w:color="auto" w:sz="2" w:space="0"/>
              <w:bottom w:val="single" w:color="auto" w:sz="2" w:space="0"/>
              <w:right w:val="single" w:color="auto" w:sz="2" w:space="0"/>
            </w:tcBorders>
            <w:vAlign w:val="center"/>
          </w:tcPr>
          <w:p w14:paraId="432556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8,869,383.87</w:t>
            </w:r>
          </w:p>
        </w:tc>
        <w:tc>
          <w:tcPr>
            <w:tcW w:w="1928" w:type="dxa"/>
            <w:tcBorders>
              <w:top w:val="single" w:color="auto" w:sz="2" w:space="0"/>
              <w:left w:val="single" w:color="auto" w:sz="2" w:space="0"/>
              <w:bottom w:val="single" w:color="auto" w:sz="2" w:space="0"/>
              <w:right w:val="single" w:color="auto" w:sz="2" w:space="0"/>
            </w:tcBorders>
            <w:vAlign w:val="center"/>
          </w:tcPr>
          <w:p w14:paraId="761D8D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49,098,748.45</w:t>
            </w:r>
          </w:p>
        </w:tc>
        <w:tc>
          <w:tcPr>
            <w:tcW w:w="1928" w:type="dxa"/>
            <w:tcBorders>
              <w:top w:val="single" w:color="auto" w:sz="2" w:space="0"/>
              <w:left w:val="single" w:color="auto" w:sz="2" w:space="0"/>
              <w:bottom w:val="single" w:color="auto" w:sz="2" w:space="0"/>
              <w:right w:val="single" w:color="auto" w:sz="2" w:space="0"/>
            </w:tcBorders>
            <w:vAlign w:val="center"/>
          </w:tcPr>
          <w:p w14:paraId="6312AD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46,627,787.08</w:t>
            </w:r>
          </w:p>
        </w:tc>
        <w:tc>
          <w:tcPr>
            <w:tcW w:w="1928" w:type="dxa"/>
            <w:tcBorders>
              <w:top w:val="single" w:color="auto" w:sz="2" w:space="0"/>
              <w:left w:val="single" w:color="auto" w:sz="2" w:space="0"/>
              <w:bottom w:val="single" w:color="auto" w:sz="2" w:space="0"/>
              <w:right w:val="single" w:color="auto" w:sz="2" w:space="0"/>
            </w:tcBorders>
            <w:vAlign w:val="center"/>
          </w:tcPr>
          <w:p w14:paraId="184434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11,340,345.24</w:t>
            </w:r>
          </w:p>
        </w:tc>
      </w:tr>
      <w:tr w14:paraId="57F53A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CF7CE2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二、离职后福利-设定提存计划</w:t>
            </w:r>
          </w:p>
        </w:tc>
        <w:tc>
          <w:tcPr>
            <w:tcW w:w="1928" w:type="dxa"/>
            <w:tcBorders>
              <w:top w:val="single" w:color="auto" w:sz="2" w:space="0"/>
              <w:left w:val="single" w:color="auto" w:sz="2" w:space="0"/>
              <w:bottom w:val="single" w:color="auto" w:sz="2" w:space="0"/>
              <w:right w:val="single" w:color="auto" w:sz="2" w:space="0"/>
            </w:tcBorders>
            <w:vAlign w:val="center"/>
          </w:tcPr>
          <w:p w14:paraId="60F5FB9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8,443.14</w:t>
            </w:r>
          </w:p>
        </w:tc>
        <w:tc>
          <w:tcPr>
            <w:tcW w:w="1928" w:type="dxa"/>
            <w:tcBorders>
              <w:top w:val="single" w:color="auto" w:sz="2" w:space="0"/>
              <w:left w:val="single" w:color="auto" w:sz="2" w:space="0"/>
              <w:bottom w:val="single" w:color="auto" w:sz="2" w:space="0"/>
              <w:right w:val="single" w:color="auto" w:sz="2" w:space="0"/>
            </w:tcBorders>
            <w:vAlign w:val="center"/>
          </w:tcPr>
          <w:p w14:paraId="3D0A08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2,953,413.15</w:t>
            </w:r>
          </w:p>
        </w:tc>
        <w:tc>
          <w:tcPr>
            <w:tcW w:w="1928" w:type="dxa"/>
            <w:tcBorders>
              <w:top w:val="single" w:color="auto" w:sz="2" w:space="0"/>
              <w:left w:val="single" w:color="auto" w:sz="2" w:space="0"/>
              <w:bottom w:val="single" w:color="auto" w:sz="2" w:space="0"/>
              <w:right w:val="single" w:color="auto" w:sz="2" w:space="0"/>
            </w:tcBorders>
            <w:vAlign w:val="center"/>
          </w:tcPr>
          <w:p w14:paraId="116A89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2,949,672.60</w:t>
            </w:r>
          </w:p>
        </w:tc>
        <w:tc>
          <w:tcPr>
            <w:tcW w:w="1928" w:type="dxa"/>
            <w:tcBorders>
              <w:top w:val="single" w:color="auto" w:sz="2" w:space="0"/>
              <w:left w:val="single" w:color="auto" w:sz="2" w:space="0"/>
              <w:bottom w:val="single" w:color="auto" w:sz="2" w:space="0"/>
              <w:right w:val="single" w:color="auto" w:sz="2" w:space="0"/>
            </w:tcBorders>
            <w:vAlign w:val="center"/>
          </w:tcPr>
          <w:p w14:paraId="0733B1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12,183.69</w:t>
            </w:r>
          </w:p>
        </w:tc>
      </w:tr>
      <w:tr w14:paraId="53A5DC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00360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73A63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8,877,827.01</w:t>
            </w:r>
          </w:p>
        </w:tc>
        <w:tc>
          <w:tcPr>
            <w:tcW w:w="1928" w:type="dxa"/>
            <w:tcBorders>
              <w:top w:val="single" w:color="auto" w:sz="2" w:space="0"/>
              <w:left w:val="single" w:color="auto" w:sz="2" w:space="0"/>
              <w:bottom w:val="single" w:color="auto" w:sz="2" w:space="0"/>
              <w:right w:val="single" w:color="auto" w:sz="2" w:space="0"/>
            </w:tcBorders>
            <w:vAlign w:val="center"/>
          </w:tcPr>
          <w:p w14:paraId="2F683B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52,052,161.60</w:t>
            </w:r>
          </w:p>
        </w:tc>
        <w:tc>
          <w:tcPr>
            <w:tcW w:w="1928" w:type="dxa"/>
            <w:tcBorders>
              <w:top w:val="single" w:color="auto" w:sz="2" w:space="0"/>
              <w:left w:val="single" w:color="auto" w:sz="2" w:space="0"/>
              <w:bottom w:val="single" w:color="auto" w:sz="2" w:space="0"/>
              <w:right w:val="single" w:color="auto" w:sz="2" w:space="0"/>
            </w:tcBorders>
            <w:vAlign w:val="center"/>
          </w:tcPr>
          <w:p w14:paraId="7D4606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49,577,459.68</w:t>
            </w:r>
          </w:p>
        </w:tc>
        <w:tc>
          <w:tcPr>
            <w:tcW w:w="1928" w:type="dxa"/>
            <w:tcBorders>
              <w:top w:val="single" w:color="auto" w:sz="2" w:space="0"/>
              <w:left w:val="single" w:color="auto" w:sz="2" w:space="0"/>
              <w:bottom w:val="single" w:color="auto" w:sz="2" w:space="0"/>
              <w:right w:val="single" w:color="auto" w:sz="2" w:space="0"/>
            </w:tcBorders>
            <w:vAlign w:val="center"/>
          </w:tcPr>
          <w:p w14:paraId="673BED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11,352,528.93</w:t>
            </w:r>
          </w:p>
        </w:tc>
      </w:tr>
    </w:tbl>
    <w:p w14:paraId="6D83847B">
      <w:pPr>
        <w:keepNext/>
        <w:keepLines/>
        <w:spacing w:before="300" w:after="300" w:line="280" w:lineRule="exact"/>
        <w:outlineLvl w:val="3"/>
        <w:rPr>
          <w:rFonts w:ascii="Times New Roman" w:hAnsi="Times New Roman" w:cs="Times New Roman" w:eastAsiaTheme="majorEastAsia"/>
          <w:b/>
          <w:bCs/>
          <w:szCs w:val="21"/>
        </w:rPr>
      </w:pPr>
      <w:bookmarkStart w:id="333" w:name="_Toc989222"/>
      <w:r>
        <w:rPr>
          <w:rFonts w:ascii="Times New Roman" w:hAnsi="Times New Roman" w:cs="Times New Roman" w:eastAsiaTheme="majorEastAsia"/>
          <w:b/>
          <w:bCs/>
          <w:szCs w:val="21"/>
        </w:rPr>
        <w:t>（2） 短期薪酬列示</w:t>
      </w:r>
      <w:bookmarkEnd w:id="333"/>
    </w:p>
    <w:p w14:paraId="2E9B044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73CEC1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3B0E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4D7A33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CBAD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67BF7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8C91E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5E6D82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DFEB6F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1、工资、奖金、津贴和补贴</w:t>
            </w:r>
          </w:p>
        </w:tc>
        <w:tc>
          <w:tcPr>
            <w:tcW w:w="1928" w:type="dxa"/>
            <w:tcBorders>
              <w:top w:val="single" w:color="auto" w:sz="2" w:space="0"/>
              <w:left w:val="single" w:color="auto" w:sz="2" w:space="0"/>
              <w:bottom w:val="single" w:color="auto" w:sz="2" w:space="0"/>
              <w:right w:val="single" w:color="auto" w:sz="2" w:space="0"/>
            </w:tcBorders>
            <w:vAlign w:val="center"/>
          </w:tcPr>
          <w:p w14:paraId="0EEDC1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8,432,408.53</w:t>
            </w:r>
          </w:p>
        </w:tc>
        <w:tc>
          <w:tcPr>
            <w:tcW w:w="1928" w:type="dxa"/>
            <w:tcBorders>
              <w:top w:val="single" w:color="auto" w:sz="2" w:space="0"/>
              <w:left w:val="single" w:color="auto" w:sz="2" w:space="0"/>
              <w:bottom w:val="single" w:color="auto" w:sz="2" w:space="0"/>
              <w:right w:val="single" w:color="auto" w:sz="2" w:space="0"/>
            </w:tcBorders>
            <w:vAlign w:val="center"/>
          </w:tcPr>
          <w:p w14:paraId="7C2C00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46,510,804.82</w:t>
            </w:r>
          </w:p>
        </w:tc>
        <w:tc>
          <w:tcPr>
            <w:tcW w:w="1928" w:type="dxa"/>
            <w:tcBorders>
              <w:top w:val="single" w:color="auto" w:sz="2" w:space="0"/>
              <w:left w:val="single" w:color="auto" w:sz="2" w:space="0"/>
              <w:bottom w:val="single" w:color="auto" w:sz="2" w:space="0"/>
              <w:right w:val="single" w:color="auto" w:sz="2" w:space="0"/>
            </w:tcBorders>
            <w:vAlign w:val="center"/>
          </w:tcPr>
          <w:p w14:paraId="2D964D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44,065,482.08</w:t>
            </w:r>
          </w:p>
        </w:tc>
        <w:tc>
          <w:tcPr>
            <w:tcW w:w="1928" w:type="dxa"/>
            <w:tcBorders>
              <w:top w:val="single" w:color="auto" w:sz="2" w:space="0"/>
              <w:left w:val="single" w:color="auto" w:sz="2" w:space="0"/>
              <w:bottom w:val="single" w:color="auto" w:sz="2" w:space="0"/>
              <w:right w:val="single" w:color="auto" w:sz="2" w:space="0"/>
            </w:tcBorders>
            <w:vAlign w:val="center"/>
          </w:tcPr>
          <w:p w14:paraId="2D8318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10,877,731.27</w:t>
            </w:r>
          </w:p>
        </w:tc>
      </w:tr>
      <w:tr w14:paraId="0615E3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D2123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2、职工福利费</w:t>
            </w:r>
          </w:p>
        </w:tc>
        <w:tc>
          <w:tcPr>
            <w:tcW w:w="1928" w:type="dxa"/>
            <w:tcBorders>
              <w:top w:val="single" w:color="auto" w:sz="2" w:space="0"/>
              <w:left w:val="single" w:color="auto" w:sz="2" w:space="0"/>
              <w:bottom w:val="single" w:color="auto" w:sz="2" w:space="0"/>
              <w:right w:val="single" w:color="auto" w:sz="2" w:space="0"/>
            </w:tcBorders>
            <w:vAlign w:val="center"/>
          </w:tcPr>
          <w:p w14:paraId="6EC1409D">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752A79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777,519.51</w:t>
            </w:r>
          </w:p>
        </w:tc>
        <w:tc>
          <w:tcPr>
            <w:tcW w:w="1928" w:type="dxa"/>
            <w:tcBorders>
              <w:top w:val="single" w:color="auto" w:sz="2" w:space="0"/>
              <w:left w:val="single" w:color="auto" w:sz="2" w:space="0"/>
              <w:bottom w:val="single" w:color="auto" w:sz="2" w:space="0"/>
              <w:right w:val="single" w:color="auto" w:sz="2" w:space="0"/>
            </w:tcBorders>
            <w:vAlign w:val="center"/>
          </w:tcPr>
          <w:p w14:paraId="622F42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738,319.51</w:t>
            </w:r>
          </w:p>
        </w:tc>
        <w:tc>
          <w:tcPr>
            <w:tcW w:w="1928" w:type="dxa"/>
            <w:tcBorders>
              <w:top w:val="single" w:color="auto" w:sz="2" w:space="0"/>
              <w:left w:val="single" w:color="auto" w:sz="2" w:space="0"/>
              <w:bottom w:val="single" w:color="auto" w:sz="2" w:space="0"/>
              <w:right w:val="single" w:color="auto" w:sz="2" w:space="0"/>
            </w:tcBorders>
            <w:vAlign w:val="center"/>
          </w:tcPr>
          <w:p w14:paraId="1B1ECD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39,200.00</w:t>
            </w:r>
          </w:p>
        </w:tc>
      </w:tr>
      <w:tr w14:paraId="54C01B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1B505A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3、社会保险费</w:t>
            </w:r>
          </w:p>
        </w:tc>
        <w:tc>
          <w:tcPr>
            <w:tcW w:w="1928" w:type="dxa"/>
            <w:tcBorders>
              <w:top w:val="single" w:color="auto" w:sz="2" w:space="0"/>
              <w:left w:val="single" w:color="auto" w:sz="2" w:space="0"/>
              <w:bottom w:val="single" w:color="auto" w:sz="2" w:space="0"/>
              <w:right w:val="single" w:color="auto" w:sz="2" w:space="0"/>
            </w:tcBorders>
            <w:vAlign w:val="center"/>
          </w:tcPr>
          <w:p w14:paraId="026C763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5,198.81</w:t>
            </w:r>
          </w:p>
        </w:tc>
        <w:tc>
          <w:tcPr>
            <w:tcW w:w="1928" w:type="dxa"/>
            <w:tcBorders>
              <w:top w:val="single" w:color="auto" w:sz="2" w:space="0"/>
              <w:left w:val="single" w:color="auto" w:sz="2" w:space="0"/>
              <w:bottom w:val="single" w:color="auto" w:sz="2" w:space="0"/>
              <w:right w:val="single" w:color="auto" w:sz="2" w:space="0"/>
            </w:tcBorders>
            <w:vAlign w:val="center"/>
          </w:tcPr>
          <w:p w14:paraId="3663C9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1,301,047.12</w:t>
            </w:r>
          </w:p>
        </w:tc>
        <w:tc>
          <w:tcPr>
            <w:tcW w:w="1928" w:type="dxa"/>
            <w:tcBorders>
              <w:top w:val="single" w:color="auto" w:sz="2" w:space="0"/>
              <w:left w:val="single" w:color="auto" w:sz="2" w:space="0"/>
              <w:bottom w:val="single" w:color="auto" w:sz="2" w:space="0"/>
              <w:right w:val="single" w:color="auto" w:sz="2" w:space="0"/>
            </w:tcBorders>
            <w:vAlign w:val="center"/>
          </w:tcPr>
          <w:p w14:paraId="4318EA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1,299,482.49</w:t>
            </w:r>
          </w:p>
        </w:tc>
        <w:tc>
          <w:tcPr>
            <w:tcW w:w="1928" w:type="dxa"/>
            <w:tcBorders>
              <w:top w:val="single" w:color="auto" w:sz="2" w:space="0"/>
              <w:left w:val="single" w:color="auto" w:sz="2" w:space="0"/>
              <w:bottom w:val="single" w:color="auto" w:sz="2" w:space="0"/>
              <w:right w:val="single" w:color="auto" w:sz="2" w:space="0"/>
            </w:tcBorders>
            <w:vAlign w:val="center"/>
          </w:tcPr>
          <w:p w14:paraId="457F73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6,763.44</w:t>
            </w:r>
          </w:p>
        </w:tc>
      </w:tr>
      <w:tr w14:paraId="230282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0438D8A">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其中：医疗保险费</w:t>
            </w:r>
          </w:p>
        </w:tc>
        <w:tc>
          <w:tcPr>
            <w:tcW w:w="1928" w:type="dxa"/>
            <w:tcBorders>
              <w:top w:val="single" w:color="auto" w:sz="2" w:space="0"/>
              <w:left w:val="single" w:color="auto" w:sz="2" w:space="0"/>
              <w:bottom w:val="single" w:color="auto" w:sz="2" w:space="0"/>
              <w:right w:val="single" w:color="auto" w:sz="2" w:space="0"/>
            </w:tcBorders>
            <w:vAlign w:val="center"/>
          </w:tcPr>
          <w:p w14:paraId="6F5B41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5,117.00</w:t>
            </w:r>
          </w:p>
        </w:tc>
        <w:tc>
          <w:tcPr>
            <w:tcW w:w="1928" w:type="dxa"/>
            <w:tcBorders>
              <w:top w:val="single" w:color="auto" w:sz="2" w:space="0"/>
              <w:left w:val="single" w:color="auto" w:sz="2" w:space="0"/>
              <w:bottom w:val="single" w:color="auto" w:sz="2" w:space="0"/>
              <w:right w:val="single" w:color="auto" w:sz="2" w:space="0"/>
            </w:tcBorders>
            <w:vAlign w:val="center"/>
          </w:tcPr>
          <w:p w14:paraId="51E09F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1,260,871.42</w:t>
            </w:r>
          </w:p>
        </w:tc>
        <w:tc>
          <w:tcPr>
            <w:tcW w:w="1928" w:type="dxa"/>
            <w:tcBorders>
              <w:top w:val="single" w:color="auto" w:sz="2" w:space="0"/>
              <w:left w:val="single" w:color="auto" w:sz="2" w:space="0"/>
              <w:bottom w:val="single" w:color="auto" w:sz="2" w:space="0"/>
              <w:right w:val="single" w:color="auto" w:sz="2" w:space="0"/>
            </w:tcBorders>
            <w:vAlign w:val="center"/>
          </w:tcPr>
          <w:p w14:paraId="570A49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1,259,342.82</w:t>
            </w:r>
          </w:p>
        </w:tc>
        <w:tc>
          <w:tcPr>
            <w:tcW w:w="1928" w:type="dxa"/>
            <w:tcBorders>
              <w:top w:val="single" w:color="auto" w:sz="2" w:space="0"/>
              <w:left w:val="single" w:color="auto" w:sz="2" w:space="0"/>
              <w:bottom w:val="single" w:color="auto" w:sz="2" w:space="0"/>
              <w:right w:val="single" w:color="auto" w:sz="2" w:space="0"/>
            </w:tcBorders>
            <w:vAlign w:val="center"/>
          </w:tcPr>
          <w:p w14:paraId="788054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6,645.60</w:t>
            </w:r>
          </w:p>
        </w:tc>
      </w:tr>
      <w:tr w14:paraId="4152D67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C2CDA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工伤保险费</w:t>
            </w:r>
          </w:p>
        </w:tc>
        <w:tc>
          <w:tcPr>
            <w:tcW w:w="1928" w:type="dxa"/>
            <w:tcBorders>
              <w:top w:val="single" w:color="auto" w:sz="2" w:space="0"/>
              <w:left w:val="single" w:color="auto" w:sz="2" w:space="0"/>
              <w:bottom w:val="single" w:color="auto" w:sz="2" w:space="0"/>
              <w:right w:val="single" w:color="auto" w:sz="2" w:space="0"/>
            </w:tcBorders>
            <w:vAlign w:val="center"/>
          </w:tcPr>
          <w:p w14:paraId="5688D2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81.81</w:t>
            </w:r>
          </w:p>
        </w:tc>
        <w:tc>
          <w:tcPr>
            <w:tcW w:w="1928" w:type="dxa"/>
            <w:tcBorders>
              <w:top w:val="single" w:color="auto" w:sz="2" w:space="0"/>
              <w:left w:val="single" w:color="auto" w:sz="2" w:space="0"/>
              <w:bottom w:val="single" w:color="auto" w:sz="2" w:space="0"/>
              <w:right w:val="single" w:color="auto" w:sz="2" w:space="0"/>
            </w:tcBorders>
            <w:vAlign w:val="center"/>
          </w:tcPr>
          <w:p w14:paraId="57F3AA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25,495.71</w:t>
            </w:r>
          </w:p>
        </w:tc>
        <w:tc>
          <w:tcPr>
            <w:tcW w:w="1928" w:type="dxa"/>
            <w:tcBorders>
              <w:top w:val="single" w:color="auto" w:sz="2" w:space="0"/>
              <w:left w:val="single" w:color="auto" w:sz="2" w:space="0"/>
              <w:bottom w:val="single" w:color="auto" w:sz="2" w:space="0"/>
              <w:right w:val="single" w:color="auto" w:sz="2" w:space="0"/>
            </w:tcBorders>
            <w:vAlign w:val="center"/>
          </w:tcPr>
          <w:p w14:paraId="52D148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25,459.68</w:t>
            </w:r>
          </w:p>
        </w:tc>
        <w:tc>
          <w:tcPr>
            <w:tcW w:w="1928" w:type="dxa"/>
            <w:tcBorders>
              <w:top w:val="single" w:color="auto" w:sz="2" w:space="0"/>
              <w:left w:val="single" w:color="auto" w:sz="2" w:space="0"/>
              <w:bottom w:val="single" w:color="auto" w:sz="2" w:space="0"/>
              <w:right w:val="single" w:color="auto" w:sz="2" w:space="0"/>
            </w:tcBorders>
            <w:vAlign w:val="center"/>
          </w:tcPr>
          <w:p w14:paraId="527B0D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117.84</w:t>
            </w:r>
          </w:p>
        </w:tc>
      </w:tr>
      <w:tr w14:paraId="05BC71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078E0C">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生育保险费</w:t>
            </w:r>
          </w:p>
        </w:tc>
        <w:tc>
          <w:tcPr>
            <w:tcW w:w="1928" w:type="dxa"/>
            <w:tcBorders>
              <w:top w:val="single" w:color="auto" w:sz="2" w:space="0"/>
              <w:left w:val="single" w:color="auto" w:sz="2" w:space="0"/>
              <w:bottom w:val="single" w:color="auto" w:sz="2" w:space="0"/>
              <w:right w:val="single" w:color="auto" w:sz="2" w:space="0"/>
            </w:tcBorders>
            <w:vAlign w:val="center"/>
          </w:tcPr>
          <w:p w14:paraId="5FC391BB">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2321CF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14,679.99</w:t>
            </w:r>
          </w:p>
        </w:tc>
        <w:tc>
          <w:tcPr>
            <w:tcW w:w="1928" w:type="dxa"/>
            <w:tcBorders>
              <w:top w:val="single" w:color="auto" w:sz="2" w:space="0"/>
              <w:left w:val="single" w:color="auto" w:sz="2" w:space="0"/>
              <w:bottom w:val="single" w:color="auto" w:sz="2" w:space="0"/>
              <w:right w:val="single" w:color="auto" w:sz="2" w:space="0"/>
            </w:tcBorders>
            <w:vAlign w:val="center"/>
          </w:tcPr>
          <w:p w14:paraId="2A3B03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14,679.99</w:t>
            </w:r>
          </w:p>
        </w:tc>
        <w:tc>
          <w:tcPr>
            <w:tcW w:w="1928" w:type="dxa"/>
            <w:tcBorders>
              <w:top w:val="single" w:color="auto" w:sz="2" w:space="0"/>
              <w:left w:val="single" w:color="auto" w:sz="2" w:space="0"/>
              <w:bottom w:val="single" w:color="auto" w:sz="2" w:space="0"/>
              <w:right w:val="single" w:color="auto" w:sz="2" w:space="0"/>
            </w:tcBorders>
            <w:vAlign w:val="center"/>
          </w:tcPr>
          <w:p w14:paraId="64A229BB">
            <w:pPr>
              <w:spacing w:line="240" w:lineRule="exact"/>
              <w:jc w:val="right"/>
              <w:rPr>
                <w:rFonts w:ascii="Times New Roman" w:hAnsi="Times New Roman" w:cs="Times New Roman" w:eastAsiaTheme="majorEastAsia"/>
                <w:sz w:val="18"/>
                <w:szCs w:val="18"/>
              </w:rPr>
            </w:pPr>
          </w:p>
        </w:tc>
      </w:tr>
      <w:tr w14:paraId="16CF6E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3722F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4、住房公积金</w:t>
            </w:r>
          </w:p>
        </w:tc>
        <w:tc>
          <w:tcPr>
            <w:tcW w:w="1928" w:type="dxa"/>
            <w:tcBorders>
              <w:top w:val="single" w:color="auto" w:sz="2" w:space="0"/>
              <w:left w:val="single" w:color="auto" w:sz="2" w:space="0"/>
              <w:bottom w:val="single" w:color="auto" w:sz="2" w:space="0"/>
              <w:right w:val="single" w:color="auto" w:sz="2" w:space="0"/>
            </w:tcBorders>
            <w:vAlign w:val="center"/>
          </w:tcPr>
          <w:p w14:paraId="6E1248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16,476.00</w:t>
            </w:r>
          </w:p>
        </w:tc>
        <w:tc>
          <w:tcPr>
            <w:tcW w:w="1928" w:type="dxa"/>
            <w:tcBorders>
              <w:top w:val="single" w:color="auto" w:sz="2" w:space="0"/>
              <w:left w:val="single" w:color="auto" w:sz="2" w:space="0"/>
              <w:bottom w:val="single" w:color="auto" w:sz="2" w:space="0"/>
              <w:right w:val="single" w:color="auto" w:sz="2" w:space="0"/>
            </w:tcBorders>
            <w:vAlign w:val="center"/>
          </w:tcPr>
          <w:p w14:paraId="120C92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407,347.00</w:t>
            </w:r>
          </w:p>
        </w:tc>
        <w:tc>
          <w:tcPr>
            <w:tcW w:w="1928" w:type="dxa"/>
            <w:tcBorders>
              <w:top w:val="single" w:color="auto" w:sz="2" w:space="0"/>
              <w:left w:val="single" w:color="auto" w:sz="2" w:space="0"/>
              <w:bottom w:val="single" w:color="auto" w:sz="2" w:space="0"/>
              <w:right w:val="single" w:color="auto" w:sz="2" w:space="0"/>
            </w:tcBorders>
            <w:vAlign w:val="center"/>
          </w:tcPr>
          <w:p w14:paraId="242283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422,473.00</w:t>
            </w:r>
          </w:p>
        </w:tc>
        <w:tc>
          <w:tcPr>
            <w:tcW w:w="1928" w:type="dxa"/>
            <w:tcBorders>
              <w:top w:val="single" w:color="auto" w:sz="2" w:space="0"/>
              <w:left w:val="single" w:color="auto" w:sz="2" w:space="0"/>
              <w:bottom w:val="single" w:color="auto" w:sz="2" w:space="0"/>
              <w:right w:val="single" w:color="auto" w:sz="2" w:space="0"/>
            </w:tcBorders>
            <w:vAlign w:val="center"/>
          </w:tcPr>
          <w:p w14:paraId="32F82B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1,350.00</w:t>
            </w:r>
          </w:p>
        </w:tc>
      </w:tr>
      <w:tr w14:paraId="7E4B96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FC487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5、工会经费和职工教育经费</w:t>
            </w:r>
          </w:p>
        </w:tc>
        <w:tc>
          <w:tcPr>
            <w:tcW w:w="1928" w:type="dxa"/>
            <w:tcBorders>
              <w:top w:val="single" w:color="auto" w:sz="2" w:space="0"/>
              <w:left w:val="single" w:color="auto" w:sz="2" w:space="0"/>
              <w:bottom w:val="single" w:color="auto" w:sz="2" w:space="0"/>
              <w:right w:val="single" w:color="auto" w:sz="2" w:space="0"/>
            </w:tcBorders>
            <w:vAlign w:val="center"/>
          </w:tcPr>
          <w:p w14:paraId="5F9BD8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415,300.53</w:t>
            </w:r>
          </w:p>
        </w:tc>
        <w:tc>
          <w:tcPr>
            <w:tcW w:w="1928" w:type="dxa"/>
            <w:tcBorders>
              <w:top w:val="single" w:color="auto" w:sz="2" w:space="0"/>
              <w:left w:val="single" w:color="auto" w:sz="2" w:space="0"/>
              <w:bottom w:val="single" w:color="auto" w:sz="2" w:space="0"/>
              <w:right w:val="single" w:color="auto" w:sz="2" w:space="0"/>
            </w:tcBorders>
            <w:vAlign w:val="center"/>
          </w:tcPr>
          <w:p w14:paraId="5FB2F7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102,030.00</w:t>
            </w:r>
          </w:p>
        </w:tc>
        <w:tc>
          <w:tcPr>
            <w:tcW w:w="1928" w:type="dxa"/>
            <w:tcBorders>
              <w:top w:val="single" w:color="auto" w:sz="2" w:space="0"/>
              <w:left w:val="single" w:color="auto" w:sz="2" w:space="0"/>
              <w:bottom w:val="single" w:color="auto" w:sz="2" w:space="0"/>
              <w:right w:val="single" w:color="auto" w:sz="2" w:space="0"/>
            </w:tcBorders>
            <w:vAlign w:val="center"/>
          </w:tcPr>
          <w:p w14:paraId="42B6FC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102,030.00</w:t>
            </w:r>
          </w:p>
        </w:tc>
        <w:tc>
          <w:tcPr>
            <w:tcW w:w="1928" w:type="dxa"/>
            <w:tcBorders>
              <w:top w:val="single" w:color="auto" w:sz="2" w:space="0"/>
              <w:left w:val="single" w:color="auto" w:sz="2" w:space="0"/>
              <w:bottom w:val="single" w:color="auto" w:sz="2" w:space="0"/>
              <w:right w:val="single" w:color="auto" w:sz="2" w:space="0"/>
            </w:tcBorders>
            <w:vAlign w:val="center"/>
          </w:tcPr>
          <w:p w14:paraId="3DFE5E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415,300.53</w:t>
            </w:r>
          </w:p>
        </w:tc>
      </w:tr>
      <w:tr w14:paraId="5761CB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B2917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200BA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8,869,383.87</w:t>
            </w:r>
          </w:p>
        </w:tc>
        <w:tc>
          <w:tcPr>
            <w:tcW w:w="1928" w:type="dxa"/>
            <w:tcBorders>
              <w:top w:val="single" w:color="auto" w:sz="2" w:space="0"/>
              <w:left w:val="single" w:color="auto" w:sz="2" w:space="0"/>
              <w:bottom w:val="single" w:color="auto" w:sz="2" w:space="0"/>
              <w:right w:val="single" w:color="auto" w:sz="2" w:space="0"/>
            </w:tcBorders>
            <w:vAlign w:val="center"/>
          </w:tcPr>
          <w:p w14:paraId="37FDDB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49,098,748.45</w:t>
            </w:r>
          </w:p>
        </w:tc>
        <w:tc>
          <w:tcPr>
            <w:tcW w:w="1928" w:type="dxa"/>
            <w:tcBorders>
              <w:top w:val="single" w:color="auto" w:sz="2" w:space="0"/>
              <w:left w:val="single" w:color="auto" w:sz="2" w:space="0"/>
              <w:bottom w:val="single" w:color="auto" w:sz="2" w:space="0"/>
              <w:right w:val="single" w:color="auto" w:sz="2" w:space="0"/>
            </w:tcBorders>
            <w:vAlign w:val="center"/>
          </w:tcPr>
          <w:p w14:paraId="65E62A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46,627,787.08</w:t>
            </w:r>
          </w:p>
        </w:tc>
        <w:tc>
          <w:tcPr>
            <w:tcW w:w="1928" w:type="dxa"/>
            <w:tcBorders>
              <w:top w:val="single" w:color="auto" w:sz="2" w:space="0"/>
              <w:left w:val="single" w:color="auto" w:sz="2" w:space="0"/>
              <w:bottom w:val="single" w:color="auto" w:sz="2" w:space="0"/>
              <w:right w:val="single" w:color="auto" w:sz="2" w:space="0"/>
            </w:tcBorders>
            <w:vAlign w:val="center"/>
          </w:tcPr>
          <w:p w14:paraId="05CF33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11,340,345.24</w:t>
            </w:r>
          </w:p>
        </w:tc>
      </w:tr>
    </w:tbl>
    <w:p w14:paraId="60CE63A1">
      <w:pPr>
        <w:keepNext/>
        <w:keepLines/>
        <w:spacing w:before="300" w:after="300" w:line="280" w:lineRule="exact"/>
        <w:outlineLvl w:val="3"/>
        <w:rPr>
          <w:rFonts w:ascii="Times New Roman" w:hAnsi="Times New Roman" w:cs="Times New Roman" w:eastAsiaTheme="majorEastAsia"/>
          <w:b/>
          <w:bCs/>
          <w:szCs w:val="21"/>
        </w:rPr>
      </w:pPr>
      <w:bookmarkStart w:id="334" w:name="_Toc989223"/>
      <w:r>
        <w:rPr>
          <w:rFonts w:ascii="Times New Roman" w:hAnsi="Times New Roman" w:cs="Times New Roman" w:eastAsiaTheme="majorEastAsia"/>
          <w:b/>
          <w:bCs/>
          <w:szCs w:val="21"/>
        </w:rPr>
        <w:t>（3） 设定提存计划列示</w:t>
      </w:r>
      <w:bookmarkEnd w:id="334"/>
    </w:p>
    <w:p w14:paraId="063286B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F2D3F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CC4CA2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E9609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079EA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D322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7745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62B242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2C1CD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1、基本养老保险</w:t>
            </w:r>
          </w:p>
        </w:tc>
        <w:tc>
          <w:tcPr>
            <w:tcW w:w="1928" w:type="dxa"/>
            <w:tcBorders>
              <w:top w:val="single" w:color="auto" w:sz="2" w:space="0"/>
              <w:left w:val="single" w:color="auto" w:sz="2" w:space="0"/>
              <w:bottom w:val="single" w:color="auto" w:sz="2" w:space="0"/>
              <w:right w:val="single" w:color="auto" w:sz="2" w:space="0"/>
            </w:tcBorders>
            <w:vAlign w:val="center"/>
          </w:tcPr>
          <w:p w14:paraId="048DE9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8,187.20</w:t>
            </w:r>
          </w:p>
        </w:tc>
        <w:tc>
          <w:tcPr>
            <w:tcW w:w="1928" w:type="dxa"/>
            <w:tcBorders>
              <w:top w:val="single" w:color="auto" w:sz="2" w:space="0"/>
              <w:left w:val="single" w:color="auto" w:sz="2" w:space="0"/>
              <w:bottom w:val="single" w:color="auto" w:sz="2" w:space="0"/>
              <w:right w:val="single" w:color="auto" w:sz="2" w:space="0"/>
            </w:tcBorders>
            <w:vAlign w:val="center"/>
          </w:tcPr>
          <w:p w14:paraId="134B85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2,840,718.46</w:t>
            </w:r>
          </w:p>
        </w:tc>
        <w:tc>
          <w:tcPr>
            <w:tcW w:w="1928" w:type="dxa"/>
            <w:tcBorders>
              <w:top w:val="single" w:color="auto" w:sz="2" w:space="0"/>
              <w:left w:val="single" w:color="auto" w:sz="2" w:space="0"/>
              <w:bottom w:val="single" w:color="auto" w:sz="2" w:space="0"/>
              <w:right w:val="single" w:color="auto" w:sz="2" w:space="0"/>
            </w:tcBorders>
            <w:vAlign w:val="center"/>
          </w:tcPr>
          <w:p w14:paraId="5C8349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2,837,091.26</w:t>
            </w:r>
          </w:p>
        </w:tc>
        <w:tc>
          <w:tcPr>
            <w:tcW w:w="1928" w:type="dxa"/>
            <w:tcBorders>
              <w:top w:val="single" w:color="auto" w:sz="2" w:space="0"/>
              <w:left w:val="single" w:color="auto" w:sz="2" w:space="0"/>
              <w:bottom w:val="single" w:color="auto" w:sz="2" w:space="0"/>
              <w:right w:val="single" w:color="auto" w:sz="2" w:space="0"/>
            </w:tcBorders>
            <w:vAlign w:val="center"/>
          </w:tcPr>
          <w:p w14:paraId="1E94BF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11,814.40</w:t>
            </w:r>
          </w:p>
        </w:tc>
      </w:tr>
      <w:tr w14:paraId="17F449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F5249B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2、失业保险费</w:t>
            </w:r>
          </w:p>
        </w:tc>
        <w:tc>
          <w:tcPr>
            <w:tcW w:w="1928" w:type="dxa"/>
            <w:tcBorders>
              <w:top w:val="single" w:color="auto" w:sz="2" w:space="0"/>
              <w:left w:val="single" w:color="auto" w:sz="2" w:space="0"/>
              <w:bottom w:val="single" w:color="auto" w:sz="2" w:space="0"/>
              <w:right w:val="single" w:color="auto" w:sz="2" w:space="0"/>
            </w:tcBorders>
            <w:vAlign w:val="center"/>
          </w:tcPr>
          <w:p w14:paraId="6F46FE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255.94</w:t>
            </w:r>
          </w:p>
        </w:tc>
        <w:tc>
          <w:tcPr>
            <w:tcW w:w="1928" w:type="dxa"/>
            <w:tcBorders>
              <w:top w:val="single" w:color="auto" w:sz="2" w:space="0"/>
              <w:left w:val="single" w:color="auto" w:sz="2" w:space="0"/>
              <w:bottom w:val="single" w:color="auto" w:sz="2" w:space="0"/>
              <w:right w:val="single" w:color="auto" w:sz="2" w:space="0"/>
            </w:tcBorders>
            <w:vAlign w:val="center"/>
          </w:tcPr>
          <w:p w14:paraId="06E1BA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112,694.69</w:t>
            </w:r>
          </w:p>
        </w:tc>
        <w:tc>
          <w:tcPr>
            <w:tcW w:w="1928" w:type="dxa"/>
            <w:tcBorders>
              <w:top w:val="single" w:color="auto" w:sz="2" w:space="0"/>
              <w:left w:val="single" w:color="auto" w:sz="2" w:space="0"/>
              <w:bottom w:val="single" w:color="auto" w:sz="2" w:space="0"/>
              <w:right w:val="single" w:color="auto" w:sz="2" w:space="0"/>
            </w:tcBorders>
            <w:vAlign w:val="center"/>
          </w:tcPr>
          <w:p w14:paraId="2BA351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112,581.34</w:t>
            </w:r>
          </w:p>
        </w:tc>
        <w:tc>
          <w:tcPr>
            <w:tcW w:w="1928" w:type="dxa"/>
            <w:tcBorders>
              <w:top w:val="single" w:color="auto" w:sz="2" w:space="0"/>
              <w:left w:val="single" w:color="auto" w:sz="2" w:space="0"/>
              <w:bottom w:val="single" w:color="auto" w:sz="2" w:space="0"/>
              <w:right w:val="single" w:color="auto" w:sz="2" w:space="0"/>
            </w:tcBorders>
            <w:vAlign w:val="center"/>
          </w:tcPr>
          <w:p w14:paraId="1E68D5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369.29</w:t>
            </w:r>
          </w:p>
        </w:tc>
      </w:tr>
      <w:tr w14:paraId="269582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B0454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57103F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8,443.14</w:t>
            </w:r>
          </w:p>
        </w:tc>
        <w:tc>
          <w:tcPr>
            <w:tcW w:w="1928" w:type="dxa"/>
            <w:tcBorders>
              <w:top w:val="single" w:color="auto" w:sz="2" w:space="0"/>
              <w:left w:val="single" w:color="auto" w:sz="2" w:space="0"/>
              <w:bottom w:val="single" w:color="auto" w:sz="2" w:space="0"/>
              <w:right w:val="single" w:color="auto" w:sz="2" w:space="0"/>
            </w:tcBorders>
            <w:vAlign w:val="center"/>
          </w:tcPr>
          <w:p w14:paraId="47EFE0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2,953,413.15</w:t>
            </w:r>
          </w:p>
        </w:tc>
        <w:tc>
          <w:tcPr>
            <w:tcW w:w="1928" w:type="dxa"/>
            <w:tcBorders>
              <w:top w:val="single" w:color="auto" w:sz="2" w:space="0"/>
              <w:left w:val="single" w:color="auto" w:sz="2" w:space="0"/>
              <w:bottom w:val="single" w:color="auto" w:sz="2" w:space="0"/>
              <w:right w:val="single" w:color="auto" w:sz="2" w:space="0"/>
            </w:tcBorders>
            <w:vAlign w:val="center"/>
          </w:tcPr>
          <w:p w14:paraId="7890EA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2,949,672.60</w:t>
            </w:r>
          </w:p>
        </w:tc>
        <w:tc>
          <w:tcPr>
            <w:tcW w:w="1928" w:type="dxa"/>
            <w:tcBorders>
              <w:top w:val="single" w:color="auto" w:sz="2" w:space="0"/>
              <w:left w:val="single" w:color="auto" w:sz="2" w:space="0"/>
              <w:bottom w:val="single" w:color="auto" w:sz="2" w:space="0"/>
              <w:right w:val="single" w:color="auto" w:sz="2" w:space="0"/>
            </w:tcBorders>
            <w:vAlign w:val="center"/>
          </w:tcPr>
          <w:p w14:paraId="126B0E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12,183.69</w:t>
            </w:r>
          </w:p>
        </w:tc>
      </w:tr>
    </w:tbl>
    <w:p w14:paraId="1306318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0BCDF755">
      <w:pPr>
        <w:pStyle w:val="3"/>
        <w:spacing w:line="280" w:lineRule="exact"/>
        <w:jc w:val="left"/>
        <w:rPr>
          <w:rFonts w:ascii="Times New Roman" w:hAnsi="Times New Roman" w:cs="Times New Roman" w:eastAsiaTheme="majorEastAsia"/>
          <w:b/>
          <w:bCs/>
        </w:rPr>
      </w:pPr>
      <w:bookmarkStart w:id="335" w:name="_Toc989224"/>
      <w:r>
        <w:rPr>
          <w:rFonts w:ascii="Times New Roman" w:hAnsi="Times New Roman" w:cs="Times New Roman" w:eastAsiaTheme="majorEastAsia"/>
          <w:b/>
          <w:bCs/>
        </w:rPr>
        <w:t>33、应交税费</w:t>
      </w:r>
      <w:bookmarkEnd w:id="335"/>
    </w:p>
    <w:p w14:paraId="50A5413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9C90F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B702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03F3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1E50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FA9FD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C2E65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增值税</w:t>
            </w:r>
          </w:p>
        </w:tc>
        <w:tc>
          <w:tcPr>
            <w:tcW w:w="3213" w:type="dxa"/>
            <w:tcBorders>
              <w:top w:val="single" w:color="auto" w:sz="2" w:space="0"/>
              <w:left w:val="single" w:color="auto" w:sz="2" w:space="0"/>
              <w:bottom w:val="single" w:color="auto" w:sz="2" w:space="0"/>
              <w:right w:val="single" w:color="auto" w:sz="2" w:space="0"/>
            </w:tcBorders>
            <w:vAlign w:val="center"/>
          </w:tcPr>
          <w:p w14:paraId="611C70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45,101,524.08</w:t>
            </w:r>
          </w:p>
        </w:tc>
        <w:tc>
          <w:tcPr>
            <w:tcW w:w="3213" w:type="dxa"/>
            <w:tcBorders>
              <w:top w:val="single" w:color="auto" w:sz="2" w:space="0"/>
              <w:left w:val="single" w:color="auto" w:sz="2" w:space="0"/>
              <w:bottom w:val="single" w:color="auto" w:sz="2" w:space="0"/>
              <w:right w:val="single" w:color="auto" w:sz="2" w:space="0"/>
            </w:tcBorders>
            <w:vAlign w:val="center"/>
          </w:tcPr>
          <w:p w14:paraId="1C4749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36,795,574.15</w:t>
            </w:r>
          </w:p>
        </w:tc>
      </w:tr>
      <w:tr w14:paraId="2E7BC5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74324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企业所得税</w:t>
            </w:r>
          </w:p>
        </w:tc>
        <w:tc>
          <w:tcPr>
            <w:tcW w:w="3213" w:type="dxa"/>
            <w:tcBorders>
              <w:top w:val="single" w:color="auto" w:sz="2" w:space="0"/>
              <w:left w:val="single" w:color="auto" w:sz="2" w:space="0"/>
              <w:bottom w:val="single" w:color="auto" w:sz="2" w:space="0"/>
              <w:right w:val="single" w:color="auto" w:sz="2" w:space="0"/>
            </w:tcBorders>
            <w:vAlign w:val="center"/>
          </w:tcPr>
          <w:p w14:paraId="4D677B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69,259.31</w:t>
            </w:r>
          </w:p>
        </w:tc>
        <w:tc>
          <w:tcPr>
            <w:tcW w:w="3213" w:type="dxa"/>
            <w:tcBorders>
              <w:top w:val="single" w:color="auto" w:sz="2" w:space="0"/>
              <w:left w:val="single" w:color="auto" w:sz="2" w:space="0"/>
              <w:bottom w:val="single" w:color="auto" w:sz="2" w:space="0"/>
              <w:right w:val="single" w:color="auto" w:sz="2" w:space="0"/>
            </w:tcBorders>
            <w:vAlign w:val="center"/>
          </w:tcPr>
          <w:p w14:paraId="4E6D82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2,558,583.31</w:t>
            </w:r>
          </w:p>
        </w:tc>
      </w:tr>
      <w:tr w14:paraId="347532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191C7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18F38F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2,282,817.93</w:t>
            </w:r>
          </w:p>
        </w:tc>
        <w:tc>
          <w:tcPr>
            <w:tcW w:w="3213" w:type="dxa"/>
            <w:tcBorders>
              <w:top w:val="single" w:color="auto" w:sz="2" w:space="0"/>
              <w:left w:val="single" w:color="auto" w:sz="2" w:space="0"/>
              <w:bottom w:val="single" w:color="auto" w:sz="2" w:space="0"/>
              <w:right w:val="single" w:color="auto" w:sz="2" w:space="0"/>
            </w:tcBorders>
            <w:vAlign w:val="center"/>
          </w:tcPr>
          <w:p w14:paraId="4489C9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2,322,058.65</w:t>
            </w:r>
          </w:p>
        </w:tc>
      </w:tr>
      <w:tr w14:paraId="20847A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D7D2B9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教育费附加（含地方教育费附加）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197FEA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1,630,562.83</w:t>
            </w:r>
          </w:p>
        </w:tc>
        <w:tc>
          <w:tcPr>
            <w:tcW w:w="3213" w:type="dxa"/>
            <w:tcBorders>
              <w:top w:val="single" w:color="auto" w:sz="2" w:space="0"/>
              <w:left w:val="single" w:color="auto" w:sz="2" w:space="0"/>
              <w:bottom w:val="single" w:color="auto" w:sz="2" w:space="0"/>
              <w:right w:val="single" w:color="auto" w:sz="2" w:space="0"/>
            </w:tcBorders>
            <w:vAlign w:val="center"/>
          </w:tcPr>
          <w:p w14:paraId="6AA4A0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1,658,568.32</w:t>
            </w:r>
          </w:p>
        </w:tc>
      </w:tr>
      <w:tr w14:paraId="62D2D8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29A98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564F83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262,896.66</w:t>
            </w:r>
          </w:p>
        </w:tc>
        <w:tc>
          <w:tcPr>
            <w:tcW w:w="3213" w:type="dxa"/>
            <w:tcBorders>
              <w:top w:val="single" w:color="auto" w:sz="2" w:space="0"/>
              <w:left w:val="single" w:color="auto" w:sz="2" w:space="0"/>
              <w:bottom w:val="single" w:color="auto" w:sz="2" w:space="0"/>
              <w:right w:val="single" w:color="auto" w:sz="2" w:space="0"/>
            </w:tcBorders>
            <w:vAlign w:val="center"/>
          </w:tcPr>
          <w:p w14:paraId="2D7701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91,171.77</w:t>
            </w:r>
          </w:p>
        </w:tc>
      </w:tr>
      <w:tr w14:paraId="7E6810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25668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其他税费</w:t>
            </w:r>
          </w:p>
        </w:tc>
        <w:tc>
          <w:tcPr>
            <w:tcW w:w="3213" w:type="dxa"/>
            <w:tcBorders>
              <w:top w:val="single" w:color="auto" w:sz="2" w:space="0"/>
              <w:left w:val="single" w:color="auto" w:sz="2" w:space="0"/>
              <w:bottom w:val="single" w:color="auto" w:sz="2" w:space="0"/>
              <w:right w:val="single" w:color="auto" w:sz="2" w:space="0"/>
            </w:tcBorders>
            <w:vAlign w:val="center"/>
          </w:tcPr>
          <w:p w14:paraId="19F06D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125,232.57</w:t>
            </w:r>
          </w:p>
        </w:tc>
        <w:tc>
          <w:tcPr>
            <w:tcW w:w="3213" w:type="dxa"/>
            <w:tcBorders>
              <w:top w:val="single" w:color="auto" w:sz="2" w:space="0"/>
              <w:left w:val="single" w:color="auto" w:sz="2" w:space="0"/>
              <w:bottom w:val="single" w:color="auto" w:sz="2" w:space="0"/>
              <w:right w:val="single" w:color="auto" w:sz="2" w:space="0"/>
            </w:tcBorders>
            <w:vAlign w:val="center"/>
          </w:tcPr>
          <w:p w14:paraId="1E0C68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98,026.06</w:t>
            </w:r>
          </w:p>
        </w:tc>
      </w:tr>
      <w:tr w14:paraId="20A681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7A49D3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B7666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49,472,293.38</w:t>
            </w:r>
          </w:p>
        </w:tc>
        <w:tc>
          <w:tcPr>
            <w:tcW w:w="3213" w:type="dxa"/>
            <w:tcBorders>
              <w:top w:val="single" w:color="auto" w:sz="2" w:space="0"/>
              <w:left w:val="single" w:color="auto" w:sz="2" w:space="0"/>
              <w:bottom w:val="single" w:color="auto" w:sz="2" w:space="0"/>
              <w:right w:val="single" w:color="auto" w:sz="2" w:space="0"/>
            </w:tcBorders>
            <w:vAlign w:val="center"/>
          </w:tcPr>
          <w:p w14:paraId="727E22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43,523,982.26</w:t>
            </w:r>
          </w:p>
        </w:tc>
      </w:tr>
    </w:tbl>
    <w:p w14:paraId="2B6B1FF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4681B15E">
      <w:pPr>
        <w:pStyle w:val="3"/>
        <w:spacing w:line="280" w:lineRule="exact"/>
        <w:jc w:val="left"/>
        <w:rPr>
          <w:rFonts w:ascii="Times New Roman" w:hAnsi="Times New Roman" w:cs="Times New Roman" w:eastAsiaTheme="majorEastAsia"/>
          <w:b/>
          <w:bCs/>
        </w:rPr>
      </w:pPr>
      <w:bookmarkStart w:id="336" w:name="_Toc989225"/>
      <w:r>
        <w:rPr>
          <w:rFonts w:ascii="Times New Roman" w:hAnsi="Times New Roman" w:cs="Times New Roman" w:eastAsiaTheme="majorEastAsia"/>
          <w:b/>
          <w:bCs/>
        </w:rPr>
        <w:t>34、持有待售负债</w:t>
      </w:r>
      <w:bookmarkEnd w:id="336"/>
    </w:p>
    <w:p w14:paraId="147953B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不适用。</w:t>
      </w:r>
    </w:p>
    <w:p w14:paraId="4A528B36">
      <w:pPr>
        <w:pStyle w:val="3"/>
        <w:spacing w:line="280" w:lineRule="exact"/>
        <w:jc w:val="left"/>
        <w:rPr>
          <w:rFonts w:ascii="Times New Roman" w:hAnsi="Times New Roman" w:cs="Times New Roman" w:eastAsiaTheme="majorEastAsia"/>
          <w:b/>
          <w:bCs/>
        </w:rPr>
      </w:pPr>
      <w:bookmarkStart w:id="337" w:name="_Toc989226"/>
      <w:r>
        <w:rPr>
          <w:rFonts w:ascii="Times New Roman" w:hAnsi="Times New Roman" w:cs="Times New Roman" w:eastAsiaTheme="majorEastAsia"/>
          <w:b/>
          <w:bCs/>
        </w:rPr>
        <w:t>35、一年内到期的非流动负债</w:t>
      </w:r>
      <w:bookmarkEnd w:id="337"/>
    </w:p>
    <w:p w14:paraId="79E440B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B2FA0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4483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8A8DE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514F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126E9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995A5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一年内到期的长期借款</w:t>
            </w:r>
          </w:p>
        </w:tc>
        <w:tc>
          <w:tcPr>
            <w:tcW w:w="3213" w:type="dxa"/>
            <w:tcBorders>
              <w:top w:val="single" w:color="auto" w:sz="2" w:space="0"/>
              <w:left w:val="single" w:color="auto" w:sz="2" w:space="0"/>
              <w:bottom w:val="single" w:color="auto" w:sz="2" w:space="0"/>
              <w:right w:val="single" w:color="auto" w:sz="2" w:space="0"/>
            </w:tcBorders>
            <w:vAlign w:val="center"/>
          </w:tcPr>
          <w:p w14:paraId="32C16E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2,755,899.35</w:t>
            </w:r>
          </w:p>
        </w:tc>
        <w:tc>
          <w:tcPr>
            <w:tcW w:w="3213" w:type="dxa"/>
            <w:tcBorders>
              <w:top w:val="single" w:color="auto" w:sz="2" w:space="0"/>
              <w:left w:val="single" w:color="auto" w:sz="2" w:space="0"/>
              <w:bottom w:val="single" w:color="auto" w:sz="2" w:space="0"/>
              <w:right w:val="single" w:color="auto" w:sz="2" w:space="0"/>
            </w:tcBorders>
            <w:vAlign w:val="center"/>
          </w:tcPr>
          <w:p w14:paraId="566FC6A4">
            <w:pPr>
              <w:spacing w:line="240" w:lineRule="exact"/>
              <w:jc w:val="right"/>
              <w:rPr>
                <w:rFonts w:ascii="Times New Roman" w:hAnsi="Times New Roman" w:cs="Times New Roman" w:eastAsiaTheme="majorEastAsia"/>
                <w:sz w:val="18"/>
                <w:szCs w:val="18"/>
              </w:rPr>
            </w:pPr>
          </w:p>
        </w:tc>
      </w:tr>
      <w:tr w14:paraId="2C01A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14B39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6DEE2A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1,725,937.50</w:t>
            </w:r>
          </w:p>
        </w:tc>
        <w:tc>
          <w:tcPr>
            <w:tcW w:w="3213" w:type="dxa"/>
            <w:tcBorders>
              <w:top w:val="single" w:color="auto" w:sz="2" w:space="0"/>
              <w:left w:val="single" w:color="auto" w:sz="2" w:space="0"/>
              <w:bottom w:val="single" w:color="auto" w:sz="2" w:space="0"/>
              <w:right w:val="single" w:color="auto" w:sz="2" w:space="0"/>
            </w:tcBorders>
            <w:vAlign w:val="center"/>
          </w:tcPr>
          <w:p w14:paraId="6A984685">
            <w:pPr>
              <w:spacing w:line="240" w:lineRule="exact"/>
              <w:jc w:val="right"/>
              <w:rPr>
                <w:rFonts w:ascii="Times New Roman" w:hAnsi="Times New Roman" w:cs="Times New Roman" w:eastAsiaTheme="majorEastAsia"/>
                <w:sz w:val="18"/>
                <w:szCs w:val="18"/>
              </w:rPr>
            </w:pPr>
          </w:p>
        </w:tc>
      </w:tr>
      <w:tr w14:paraId="5C897C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3EF69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CE549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2,731,671.29</w:t>
            </w:r>
          </w:p>
        </w:tc>
        <w:tc>
          <w:tcPr>
            <w:tcW w:w="3213" w:type="dxa"/>
            <w:tcBorders>
              <w:top w:val="single" w:color="auto" w:sz="2" w:space="0"/>
              <w:left w:val="single" w:color="auto" w:sz="2" w:space="0"/>
              <w:bottom w:val="single" w:color="auto" w:sz="2" w:space="0"/>
              <w:right w:val="single" w:color="auto" w:sz="2" w:space="0"/>
            </w:tcBorders>
            <w:vAlign w:val="center"/>
          </w:tcPr>
          <w:p w14:paraId="289139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3,428,662.84</w:t>
            </w:r>
          </w:p>
        </w:tc>
      </w:tr>
      <w:tr w14:paraId="3D9C9F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D8ADD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375E8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7,213,508.14</w:t>
            </w:r>
          </w:p>
        </w:tc>
        <w:tc>
          <w:tcPr>
            <w:tcW w:w="3213" w:type="dxa"/>
            <w:tcBorders>
              <w:top w:val="single" w:color="auto" w:sz="2" w:space="0"/>
              <w:left w:val="single" w:color="auto" w:sz="2" w:space="0"/>
              <w:bottom w:val="single" w:color="auto" w:sz="2" w:space="0"/>
              <w:right w:val="single" w:color="auto" w:sz="2" w:space="0"/>
            </w:tcBorders>
            <w:vAlign w:val="center"/>
          </w:tcPr>
          <w:p w14:paraId="4A9738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3,428,662.84</w:t>
            </w:r>
          </w:p>
        </w:tc>
      </w:tr>
    </w:tbl>
    <w:p w14:paraId="51B079A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r>
        <w:rPr>
          <w:rFonts w:ascii="Times New Roman" w:hAnsi="Times New Roman" w:cs="Times New Roman" w:eastAsiaTheme="majorEastAsia"/>
          <w:sz w:val="18"/>
          <w:szCs w:val="18"/>
        </w:rPr>
        <w:t>。</w:t>
      </w:r>
    </w:p>
    <w:p w14:paraId="50130C7F">
      <w:pPr>
        <w:pStyle w:val="3"/>
        <w:spacing w:line="280" w:lineRule="exact"/>
        <w:jc w:val="left"/>
        <w:rPr>
          <w:rFonts w:ascii="Times New Roman" w:hAnsi="Times New Roman" w:cs="Times New Roman" w:eastAsiaTheme="majorEastAsia"/>
          <w:b/>
          <w:bCs/>
        </w:rPr>
      </w:pPr>
      <w:bookmarkStart w:id="338" w:name="_Toc989227"/>
      <w:r>
        <w:rPr>
          <w:rFonts w:ascii="Times New Roman" w:hAnsi="Times New Roman" w:cs="Times New Roman" w:eastAsiaTheme="majorEastAsia"/>
          <w:b/>
          <w:bCs/>
        </w:rPr>
        <w:t>36、其他流动负债</w:t>
      </w:r>
      <w:bookmarkEnd w:id="338"/>
    </w:p>
    <w:p w14:paraId="207860C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1A3B183D">
      <w:pPr>
        <w:pStyle w:val="3"/>
        <w:spacing w:line="280" w:lineRule="exact"/>
        <w:jc w:val="left"/>
        <w:rPr>
          <w:rFonts w:ascii="Times New Roman" w:hAnsi="Times New Roman" w:cs="Times New Roman" w:eastAsiaTheme="majorEastAsia"/>
          <w:b/>
          <w:bCs/>
        </w:rPr>
      </w:pPr>
      <w:bookmarkStart w:id="339" w:name="_Toc989228"/>
      <w:r>
        <w:rPr>
          <w:rFonts w:ascii="Times New Roman" w:hAnsi="Times New Roman" w:cs="Times New Roman" w:eastAsiaTheme="majorEastAsia"/>
          <w:b/>
          <w:bCs/>
        </w:rPr>
        <w:t>37、长期借款</w:t>
      </w:r>
      <w:bookmarkEnd w:id="339"/>
    </w:p>
    <w:p w14:paraId="2CA85F82">
      <w:pPr>
        <w:keepNext/>
        <w:keepLines/>
        <w:spacing w:before="300" w:after="300" w:line="280" w:lineRule="exact"/>
        <w:outlineLvl w:val="3"/>
        <w:rPr>
          <w:rFonts w:ascii="Times New Roman" w:hAnsi="Times New Roman" w:cs="Times New Roman" w:eastAsiaTheme="majorEastAsia"/>
          <w:b/>
          <w:bCs/>
          <w:sz w:val="18"/>
          <w:szCs w:val="18"/>
        </w:rPr>
      </w:pPr>
      <w:bookmarkStart w:id="340" w:name="_Toc989229"/>
      <w:r>
        <w:rPr>
          <w:rFonts w:ascii="Times New Roman" w:hAnsi="Times New Roman" w:cs="Times New Roman" w:eastAsiaTheme="majorEastAsia"/>
          <w:b/>
          <w:bCs/>
          <w:sz w:val="18"/>
          <w:szCs w:val="18"/>
        </w:rPr>
        <w:t>（1） 长期借款分类</w:t>
      </w:r>
      <w:bookmarkEnd w:id="340"/>
    </w:p>
    <w:p w14:paraId="7BA5E84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03D8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314B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D14A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EE02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B7FB9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05459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质押及保证借款</w:t>
            </w:r>
          </w:p>
        </w:tc>
        <w:tc>
          <w:tcPr>
            <w:tcW w:w="3213" w:type="dxa"/>
            <w:tcBorders>
              <w:top w:val="single" w:color="auto" w:sz="2" w:space="0"/>
              <w:left w:val="single" w:color="auto" w:sz="2" w:space="0"/>
              <w:bottom w:val="single" w:color="auto" w:sz="2" w:space="0"/>
              <w:right w:val="single" w:color="auto" w:sz="2" w:space="0"/>
            </w:tcBorders>
            <w:vAlign w:val="center"/>
          </w:tcPr>
          <w:p w14:paraId="52D26D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31,937,786.17</w:t>
            </w:r>
          </w:p>
        </w:tc>
        <w:tc>
          <w:tcPr>
            <w:tcW w:w="3213" w:type="dxa"/>
            <w:tcBorders>
              <w:top w:val="single" w:color="auto" w:sz="2" w:space="0"/>
              <w:left w:val="single" w:color="auto" w:sz="2" w:space="0"/>
              <w:bottom w:val="single" w:color="auto" w:sz="2" w:space="0"/>
              <w:right w:val="single" w:color="auto" w:sz="2" w:space="0"/>
            </w:tcBorders>
            <w:vAlign w:val="center"/>
          </w:tcPr>
          <w:p w14:paraId="4AB2BD55">
            <w:pPr>
              <w:spacing w:line="240" w:lineRule="exact"/>
              <w:jc w:val="right"/>
              <w:rPr>
                <w:rFonts w:ascii="Times New Roman" w:hAnsi="Times New Roman" w:cs="Times New Roman" w:eastAsiaTheme="majorEastAsia"/>
                <w:sz w:val="18"/>
                <w:szCs w:val="18"/>
              </w:rPr>
            </w:pPr>
          </w:p>
        </w:tc>
      </w:tr>
      <w:tr w14:paraId="08E8B3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BFEF77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E7097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31,937,786.17</w:t>
            </w:r>
          </w:p>
        </w:tc>
        <w:tc>
          <w:tcPr>
            <w:tcW w:w="3213" w:type="dxa"/>
            <w:tcBorders>
              <w:top w:val="single" w:color="auto" w:sz="2" w:space="0"/>
              <w:left w:val="single" w:color="auto" w:sz="2" w:space="0"/>
              <w:bottom w:val="single" w:color="auto" w:sz="2" w:space="0"/>
              <w:right w:val="single" w:color="auto" w:sz="2" w:space="0"/>
            </w:tcBorders>
            <w:vAlign w:val="center"/>
          </w:tcPr>
          <w:p w14:paraId="6C89AFAC">
            <w:pPr>
              <w:spacing w:line="240" w:lineRule="exact"/>
              <w:jc w:val="right"/>
              <w:rPr>
                <w:rFonts w:ascii="Times New Roman" w:hAnsi="Times New Roman" w:cs="Times New Roman" w:eastAsiaTheme="majorEastAsia"/>
                <w:sz w:val="18"/>
                <w:szCs w:val="18"/>
              </w:rPr>
            </w:pPr>
          </w:p>
        </w:tc>
      </w:tr>
    </w:tbl>
    <w:p w14:paraId="22B6D6E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长期借款分类的说明：</w:t>
      </w:r>
    </w:p>
    <w:p w14:paraId="2A898E4B">
      <w:pPr>
        <w:pStyle w:val="10"/>
        <w:spacing w:before="156" w:beforeLines="50" w:beforeAutospacing="0" w:after="156" w:afterLines="5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其他说明：该借款单位系子公司湖南天晨新能源有限公司，保证人：广东天亿马信息产业股份有限公司。</w:t>
      </w:r>
    </w:p>
    <w:p w14:paraId="185E5F61">
      <w:pPr>
        <w:pStyle w:val="10"/>
        <w:spacing w:before="156" w:beforeLines="50" w:beforeAutospacing="0" w:after="156" w:afterLines="5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质押物：湖南天晨新能源有限公司应收账款-售电收费权。</w:t>
      </w:r>
    </w:p>
    <w:p w14:paraId="3129DF8F">
      <w:pPr>
        <w:spacing w:before="156" w:beforeLines="50" w:after="156" w:afterLines="5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其他说明，包括利率区间：</w:t>
      </w:r>
    </w:p>
    <w:p w14:paraId="5AC3CB36">
      <w:pPr>
        <w:pStyle w:val="10"/>
        <w:spacing w:before="156" w:beforeLines="50" w:beforeAutospacing="0" w:after="156" w:afterLines="50" w:afterAutospacing="0"/>
        <w:rPr>
          <w:rFonts w:ascii="Times New Roman" w:hAnsi="Times New Roman" w:cs="Times New Roman" w:eastAsiaTheme="majorEastAsia"/>
          <w:sz w:val="18"/>
          <w:szCs w:val="18"/>
        </w:rPr>
      </w:pPr>
      <w:r>
        <w:rPr>
          <w:rFonts w:ascii="Times New Roman" w:hAnsi="Times New Roman" w:cs="Times New Roman" w:eastAsiaTheme="majorEastAsia"/>
          <w:sz w:val="18"/>
          <w:szCs w:val="18"/>
        </w:rPr>
        <w:t>借款利率区间：3.15%—3.4%。</w:t>
      </w:r>
    </w:p>
    <w:p w14:paraId="367EE081">
      <w:pPr>
        <w:pStyle w:val="3"/>
        <w:spacing w:line="280" w:lineRule="exact"/>
        <w:jc w:val="left"/>
        <w:rPr>
          <w:rFonts w:ascii="Times New Roman" w:hAnsi="Times New Roman" w:cs="Times New Roman" w:eastAsiaTheme="majorEastAsia"/>
          <w:b/>
          <w:bCs/>
        </w:rPr>
      </w:pPr>
      <w:bookmarkStart w:id="341" w:name="_Toc989230"/>
      <w:r>
        <w:rPr>
          <w:rFonts w:ascii="Times New Roman" w:hAnsi="Times New Roman" w:cs="Times New Roman" w:eastAsiaTheme="majorEastAsia"/>
          <w:b/>
          <w:bCs/>
        </w:rPr>
        <w:t>38、租赁负债</w:t>
      </w:r>
      <w:bookmarkEnd w:id="341"/>
    </w:p>
    <w:p w14:paraId="00B7495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A9EC6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55A1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44A9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FB72B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164FA0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4F4F8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租赁付款额</w:t>
            </w:r>
          </w:p>
        </w:tc>
        <w:tc>
          <w:tcPr>
            <w:tcW w:w="3213" w:type="dxa"/>
            <w:tcBorders>
              <w:top w:val="single" w:color="auto" w:sz="2" w:space="0"/>
              <w:left w:val="single" w:color="auto" w:sz="2" w:space="0"/>
              <w:bottom w:val="single" w:color="auto" w:sz="2" w:space="0"/>
              <w:right w:val="single" w:color="auto" w:sz="2" w:space="0"/>
            </w:tcBorders>
            <w:vAlign w:val="center"/>
          </w:tcPr>
          <w:p w14:paraId="49916F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9,151,608.34</w:t>
            </w:r>
          </w:p>
        </w:tc>
        <w:tc>
          <w:tcPr>
            <w:tcW w:w="3213" w:type="dxa"/>
            <w:tcBorders>
              <w:top w:val="single" w:color="auto" w:sz="2" w:space="0"/>
              <w:left w:val="single" w:color="auto" w:sz="2" w:space="0"/>
              <w:bottom w:val="single" w:color="auto" w:sz="2" w:space="0"/>
              <w:right w:val="single" w:color="auto" w:sz="2" w:space="0"/>
            </w:tcBorders>
            <w:vAlign w:val="center"/>
          </w:tcPr>
          <w:p w14:paraId="243EA7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6,712,786.25</w:t>
            </w:r>
          </w:p>
        </w:tc>
      </w:tr>
      <w:tr w14:paraId="7867FC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E0BA64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减：未确认的融资费用</w:t>
            </w:r>
          </w:p>
        </w:tc>
        <w:tc>
          <w:tcPr>
            <w:tcW w:w="3213" w:type="dxa"/>
            <w:tcBorders>
              <w:top w:val="single" w:color="auto" w:sz="2" w:space="0"/>
              <w:left w:val="single" w:color="auto" w:sz="2" w:space="0"/>
              <w:bottom w:val="single" w:color="auto" w:sz="2" w:space="0"/>
              <w:right w:val="single" w:color="auto" w:sz="2" w:space="0"/>
            </w:tcBorders>
            <w:vAlign w:val="center"/>
          </w:tcPr>
          <w:p w14:paraId="641B8D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-633,863.97</w:t>
            </w:r>
          </w:p>
        </w:tc>
        <w:tc>
          <w:tcPr>
            <w:tcW w:w="3213" w:type="dxa"/>
            <w:tcBorders>
              <w:top w:val="single" w:color="auto" w:sz="2" w:space="0"/>
              <w:left w:val="single" w:color="auto" w:sz="2" w:space="0"/>
              <w:bottom w:val="single" w:color="auto" w:sz="2" w:space="0"/>
              <w:right w:val="single" w:color="auto" w:sz="2" w:space="0"/>
            </w:tcBorders>
            <w:vAlign w:val="center"/>
          </w:tcPr>
          <w:p w14:paraId="48AF83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-270,329.15</w:t>
            </w:r>
          </w:p>
        </w:tc>
      </w:tr>
      <w:tr w14:paraId="041E2B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69B28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减：一年内到期的租赁负债</w:t>
            </w:r>
          </w:p>
        </w:tc>
        <w:tc>
          <w:tcPr>
            <w:tcW w:w="3213" w:type="dxa"/>
            <w:tcBorders>
              <w:top w:val="single" w:color="auto" w:sz="2" w:space="0"/>
              <w:left w:val="single" w:color="auto" w:sz="2" w:space="0"/>
              <w:bottom w:val="single" w:color="auto" w:sz="2" w:space="0"/>
              <w:right w:val="single" w:color="auto" w:sz="2" w:space="0"/>
            </w:tcBorders>
            <w:vAlign w:val="center"/>
          </w:tcPr>
          <w:p w14:paraId="52FF57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-2,731,671.29</w:t>
            </w:r>
          </w:p>
        </w:tc>
        <w:tc>
          <w:tcPr>
            <w:tcW w:w="3213" w:type="dxa"/>
            <w:tcBorders>
              <w:top w:val="single" w:color="auto" w:sz="2" w:space="0"/>
              <w:left w:val="single" w:color="auto" w:sz="2" w:space="0"/>
              <w:bottom w:val="single" w:color="auto" w:sz="2" w:space="0"/>
              <w:right w:val="single" w:color="auto" w:sz="2" w:space="0"/>
            </w:tcBorders>
            <w:vAlign w:val="center"/>
          </w:tcPr>
          <w:p w14:paraId="31746CE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-3,428,662.84</w:t>
            </w:r>
          </w:p>
        </w:tc>
      </w:tr>
      <w:tr w14:paraId="4C2DF8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244936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CEB04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5,786,073.08</w:t>
            </w:r>
          </w:p>
        </w:tc>
        <w:tc>
          <w:tcPr>
            <w:tcW w:w="3213" w:type="dxa"/>
            <w:tcBorders>
              <w:top w:val="single" w:color="auto" w:sz="2" w:space="0"/>
              <w:left w:val="single" w:color="auto" w:sz="2" w:space="0"/>
              <w:bottom w:val="single" w:color="auto" w:sz="2" w:space="0"/>
              <w:right w:val="single" w:color="auto" w:sz="2" w:space="0"/>
            </w:tcBorders>
            <w:vAlign w:val="center"/>
          </w:tcPr>
          <w:p w14:paraId="43FF00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3,013,794.26</w:t>
            </w:r>
          </w:p>
        </w:tc>
      </w:tr>
    </w:tbl>
    <w:p w14:paraId="26A619B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4F816BD6">
      <w:pPr>
        <w:pStyle w:val="10"/>
        <w:spacing w:before="0" w:beforeAutospacing="0" w:after="0" w:afterAutospacing="0"/>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注：本集团对租赁负债的流动性风险管理措施，以及年末租赁负债的到期期限分析参见本节第十二 、1金融工具产生的各类风险。</w:t>
      </w:r>
    </w:p>
    <w:p w14:paraId="54014886">
      <w:pPr>
        <w:pStyle w:val="3"/>
        <w:spacing w:line="280" w:lineRule="exact"/>
        <w:jc w:val="left"/>
        <w:rPr>
          <w:rFonts w:ascii="Times New Roman" w:hAnsi="Times New Roman" w:cs="Times New Roman" w:eastAsiaTheme="majorEastAsia"/>
          <w:b/>
          <w:bCs/>
        </w:rPr>
      </w:pPr>
      <w:bookmarkStart w:id="342" w:name="_Toc989231"/>
      <w:r>
        <w:rPr>
          <w:rFonts w:ascii="Times New Roman" w:hAnsi="Times New Roman" w:cs="Times New Roman" w:eastAsiaTheme="majorEastAsia"/>
          <w:b/>
          <w:bCs/>
        </w:rPr>
        <w:t>39、长期应付款</w:t>
      </w:r>
      <w:bookmarkEnd w:id="342"/>
    </w:p>
    <w:p w14:paraId="38DA18C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9CC20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B736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FEE8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28A6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51096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EBBEE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5D6E31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19,306,145.83</w:t>
            </w:r>
          </w:p>
        </w:tc>
        <w:tc>
          <w:tcPr>
            <w:tcW w:w="3213" w:type="dxa"/>
            <w:tcBorders>
              <w:top w:val="single" w:color="auto" w:sz="2" w:space="0"/>
              <w:left w:val="single" w:color="auto" w:sz="2" w:space="0"/>
              <w:bottom w:val="single" w:color="auto" w:sz="2" w:space="0"/>
              <w:right w:val="single" w:color="auto" w:sz="2" w:space="0"/>
            </w:tcBorders>
            <w:vAlign w:val="center"/>
          </w:tcPr>
          <w:p w14:paraId="01B32C76">
            <w:pPr>
              <w:spacing w:line="240" w:lineRule="exact"/>
              <w:jc w:val="right"/>
              <w:rPr>
                <w:rFonts w:ascii="Times New Roman" w:hAnsi="Times New Roman" w:cs="Times New Roman" w:eastAsiaTheme="majorEastAsia"/>
                <w:sz w:val="18"/>
                <w:szCs w:val="18"/>
              </w:rPr>
            </w:pPr>
          </w:p>
        </w:tc>
      </w:tr>
      <w:tr w14:paraId="0341DD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AB11C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E9BEA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19,306,145.83</w:t>
            </w:r>
          </w:p>
        </w:tc>
        <w:tc>
          <w:tcPr>
            <w:tcW w:w="3213" w:type="dxa"/>
            <w:tcBorders>
              <w:top w:val="single" w:color="auto" w:sz="2" w:space="0"/>
              <w:left w:val="single" w:color="auto" w:sz="2" w:space="0"/>
              <w:bottom w:val="single" w:color="auto" w:sz="2" w:space="0"/>
              <w:right w:val="single" w:color="auto" w:sz="2" w:space="0"/>
            </w:tcBorders>
            <w:vAlign w:val="center"/>
          </w:tcPr>
          <w:p w14:paraId="7472A07D">
            <w:pPr>
              <w:spacing w:line="240" w:lineRule="exact"/>
              <w:jc w:val="right"/>
              <w:rPr>
                <w:rFonts w:ascii="Times New Roman" w:hAnsi="Times New Roman" w:cs="Times New Roman" w:eastAsiaTheme="majorEastAsia"/>
                <w:sz w:val="18"/>
                <w:szCs w:val="18"/>
              </w:rPr>
            </w:pPr>
          </w:p>
        </w:tc>
      </w:tr>
    </w:tbl>
    <w:p w14:paraId="582135C5">
      <w:pPr>
        <w:keepNext/>
        <w:keepLines/>
        <w:spacing w:before="300" w:after="300" w:line="280" w:lineRule="exact"/>
        <w:outlineLvl w:val="3"/>
        <w:rPr>
          <w:rFonts w:ascii="Times New Roman" w:hAnsi="Times New Roman" w:cs="Times New Roman" w:eastAsiaTheme="majorEastAsia"/>
          <w:b/>
          <w:bCs/>
          <w:sz w:val="18"/>
          <w:szCs w:val="18"/>
        </w:rPr>
      </w:pPr>
      <w:bookmarkStart w:id="343" w:name="_Toc989232"/>
      <w:r>
        <w:rPr>
          <w:rFonts w:ascii="Times New Roman" w:hAnsi="Times New Roman" w:cs="Times New Roman" w:eastAsiaTheme="majorEastAsia"/>
          <w:b/>
          <w:bCs/>
          <w:sz w:val="18"/>
          <w:szCs w:val="18"/>
        </w:rPr>
        <w:t>（1） 按款项性质列示长期应付款</w:t>
      </w:r>
      <w:bookmarkEnd w:id="343"/>
    </w:p>
    <w:p w14:paraId="4BADC2B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DBB61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3DF5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B08D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20AC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6C8654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76F57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本金及利息</w:t>
            </w:r>
          </w:p>
        </w:tc>
        <w:tc>
          <w:tcPr>
            <w:tcW w:w="3213" w:type="dxa"/>
            <w:tcBorders>
              <w:top w:val="single" w:color="auto" w:sz="2" w:space="0"/>
              <w:left w:val="single" w:color="auto" w:sz="2" w:space="0"/>
              <w:bottom w:val="single" w:color="auto" w:sz="2" w:space="0"/>
              <w:right w:val="single" w:color="auto" w:sz="2" w:space="0"/>
            </w:tcBorders>
            <w:vAlign w:val="center"/>
          </w:tcPr>
          <w:p w14:paraId="32B2C2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27,494,665.99</w:t>
            </w:r>
          </w:p>
        </w:tc>
        <w:tc>
          <w:tcPr>
            <w:tcW w:w="3213" w:type="dxa"/>
            <w:tcBorders>
              <w:top w:val="single" w:color="auto" w:sz="2" w:space="0"/>
              <w:left w:val="single" w:color="auto" w:sz="2" w:space="0"/>
              <w:bottom w:val="single" w:color="auto" w:sz="2" w:space="0"/>
              <w:right w:val="single" w:color="auto" w:sz="2" w:space="0"/>
            </w:tcBorders>
            <w:vAlign w:val="center"/>
          </w:tcPr>
          <w:p w14:paraId="22965462">
            <w:pPr>
              <w:spacing w:line="240" w:lineRule="exact"/>
              <w:jc w:val="right"/>
              <w:rPr>
                <w:rFonts w:ascii="Times New Roman" w:hAnsi="Times New Roman" w:cs="Times New Roman" w:eastAsiaTheme="majorEastAsia"/>
                <w:sz w:val="18"/>
                <w:szCs w:val="18"/>
              </w:rPr>
            </w:pPr>
          </w:p>
        </w:tc>
      </w:tr>
      <w:tr w14:paraId="42F26A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9F6CEF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未确认融资费用</w:t>
            </w:r>
          </w:p>
        </w:tc>
        <w:tc>
          <w:tcPr>
            <w:tcW w:w="3213" w:type="dxa"/>
            <w:tcBorders>
              <w:top w:val="single" w:color="auto" w:sz="2" w:space="0"/>
              <w:left w:val="single" w:color="auto" w:sz="2" w:space="0"/>
              <w:bottom w:val="single" w:color="auto" w:sz="2" w:space="0"/>
              <w:right w:val="single" w:color="auto" w:sz="2" w:space="0"/>
            </w:tcBorders>
            <w:vAlign w:val="center"/>
          </w:tcPr>
          <w:p w14:paraId="320640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-6,462,582.66</w:t>
            </w:r>
          </w:p>
        </w:tc>
        <w:tc>
          <w:tcPr>
            <w:tcW w:w="3213" w:type="dxa"/>
            <w:tcBorders>
              <w:top w:val="single" w:color="auto" w:sz="2" w:space="0"/>
              <w:left w:val="single" w:color="auto" w:sz="2" w:space="0"/>
              <w:bottom w:val="single" w:color="auto" w:sz="2" w:space="0"/>
              <w:right w:val="single" w:color="auto" w:sz="2" w:space="0"/>
            </w:tcBorders>
            <w:vAlign w:val="center"/>
          </w:tcPr>
          <w:p w14:paraId="151F33C5">
            <w:pPr>
              <w:spacing w:line="240" w:lineRule="exact"/>
              <w:jc w:val="right"/>
              <w:rPr>
                <w:rFonts w:ascii="Times New Roman" w:hAnsi="Times New Roman" w:cs="Times New Roman" w:eastAsiaTheme="majorEastAsia"/>
                <w:sz w:val="18"/>
                <w:szCs w:val="18"/>
              </w:rPr>
            </w:pPr>
          </w:p>
        </w:tc>
      </w:tr>
      <w:tr w14:paraId="1EC614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853A4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减：一年内到期的长期应付款</w:t>
            </w:r>
          </w:p>
        </w:tc>
        <w:tc>
          <w:tcPr>
            <w:tcW w:w="3213" w:type="dxa"/>
            <w:tcBorders>
              <w:top w:val="single" w:color="auto" w:sz="2" w:space="0"/>
              <w:left w:val="single" w:color="auto" w:sz="2" w:space="0"/>
              <w:bottom w:val="single" w:color="auto" w:sz="2" w:space="0"/>
              <w:right w:val="single" w:color="auto" w:sz="2" w:space="0"/>
            </w:tcBorders>
            <w:vAlign w:val="center"/>
          </w:tcPr>
          <w:p w14:paraId="3DFF15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1,725,937.50</w:t>
            </w:r>
          </w:p>
        </w:tc>
        <w:tc>
          <w:tcPr>
            <w:tcW w:w="3213" w:type="dxa"/>
            <w:tcBorders>
              <w:top w:val="single" w:color="auto" w:sz="2" w:space="0"/>
              <w:left w:val="single" w:color="auto" w:sz="2" w:space="0"/>
              <w:bottom w:val="single" w:color="auto" w:sz="2" w:space="0"/>
              <w:right w:val="single" w:color="auto" w:sz="2" w:space="0"/>
            </w:tcBorders>
            <w:vAlign w:val="center"/>
          </w:tcPr>
          <w:p w14:paraId="43572070">
            <w:pPr>
              <w:spacing w:line="240" w:lineRule="exact"/>
              <w:jc w:val="right"/>
              <w:rPr>
                <w:rFonts w:ascii="Times New Roman" w:hAnsi="Times New Roman" w:cs="Times New Roman" w:eastAsiaTheme="majorEastAsia"/>
                <w:sz w:val="18"/>
                <w:szCs w:val="18"/>
              </w:rPr>
            </w:pPr>
          </w:p>
        </w:tc>
      </w:tr>
      <w:tr w14:paraId="021CD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A8E340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77E4E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19,306,145.83</w:t>
            </w:r>
          </w:p>
        </w:tc>
        <w:tc>
          <w:tcPr>
            <w:tcW w:w="3213" w:type="dxa"/>
            <w:tcBorders>
              <w:top w:val="single" w:color="auto" w:sz="2" w:space="0"/>
              <w:left w:val="single" w:color="auto" w:sz="2" w:space="0"/>
              <w:bottom w:val="single" w:color="auto" w:sz="2" w:space="0"/>
              <w:right w:val="single" w:color="auto" w:sz="2" w:space="0"/>
            </w:tcBorders>
            <w:vAlign w:val="center"/>
          </w:tcPr>
          <w:p w14:paraId="58291BB8">
            <w:pPr>
              <w:spacing w:line="240" w:lineRule="exact"/>
              <w:jc w:val="right"/>
              <w:rPr>
                <w:rFonts w:ascii="Times New Roman" w:hAnsi="Times New Roman" w:cs="Times New Roman" w:eastAsiaTheme="majorEastAsia"/>
                <w:sz w:val="18"/>
                <w:szCs w:val="18"/>
              </w:rPr>
            </w:pPr>
          </w:p>
        </w:tc>
      </w:tr>
    </w:tbl>
    <w:p w14:paraId="3AD4A07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340C8C20">
      <w:pPr>
        <w:pStyle w:val="3"/>
        <w:spacing w:line="280" w:lineRule="exact"/>
        <w:jc w:val="left"/>
        <w:rPr>
          <w:rFonts w:ascii="Times New Roman" w:hAnsi="Times New Roman" w:cs="Times New Roman" w:eastAsiaTheme="majorEastAsia"/>
          <w:b/>
          <w:bCs/>
        </w:rPr>
      </w:pPr>
      <w:bookmarkStart w:id="344" w:name="_Toc989233"/>
      <w:r>
        <w:rPr>
          <w:rFonts w:ascii="Times New Roman" w:hAnsi="Times New Roman" w:cs="Times New Roman" w:eastAsiaTheme="majorEastAsia"/>
          <w:b/>
          <w:bCs/>
        </w:rPr>
        <w:t>40、股本</w:t>
      </w:r>
      <w:bookmarkEnd w:id="344"/>
    </w:p>
    <w:p w14:paraId="752650E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01"/>
        <w:gridCol w:w="1308"/>
        <w:gridCol w:w="1205"/>
        <w:gridCol w:w="1205"/>
        <w:gridCol w:w="1205"/>
        <w:gridCol w:w="1205"/>
        <w:gridCol w:w="1101"/>
        <w:gridCol w:w="1309"/>
      </w:tblGrid>
      <w:tr w14:paraId="0AF1C2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10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9FBD1F5">
            <w:pPr>
              <w:rPr>
                <w:rFonts w:ascii="Times New Roman" w:hAnsi="Times New Roman" w:cs="Times New Roman" w:eastAsiaTheme="majorEastAsia"/>
              </w:rPr>
            </w:pPr>
          </w:p>
        </w:tc>
        <w:tc>
          <w:tcPr>
            <w:tcW w:w="130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C07A5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92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7573E0A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本次变动增减（+、-）</w:t>
            </w:r>
          </w:p>
        </w:tc>
        <w:tc>
          <w:tcPr>
            <w:tcW w:w="1309"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73E50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3D7526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10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2487DB6">
            <w:pPr>
              <w:rPr>
                <w:rFonts w:ascii="Times New Roman" w:hAnsi="Times New Roman" w:cs="Times New Roman" w:eastAsiaTheme="majorEastAsia"/>
              </w:rPr>
            </w:pPr>
          </w:p>
        </w:tc>
        <w:tc>
          <w:tcPr>
            <w:tcW w:w="130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627442">
            <w:pPr>
              <w:rPr>
                <w:rFonts w:ascii="Times New Roman" w:hAnsi="Times New Roman" w:cs="Times New Roman" w:eastAsiaTheme="majorEastAsia"/>
              </w:rPr>
            </w:pP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8760B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发行新股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73F3411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送股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0D0076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公积金转股</w:t>
            </w:r>
          </w:p>
        </w:tc>
        <w:tc>
          <w:tcPr>
            <w:tcW w:w="1205" w:type="dxa"/>
            <w:tcBorders>
              <w:top w:val="single" w:color="auto" w:sz="2" w:space="0"/>
              <w:left w:val="single" w:color="auto" w:sz="2" w:space="0"/>
              <w:bottom w:val="single" w:color="auto" w:sz="2" w:space="0"/>
              <w:right w:val="single" w:color="auto" w:sz="2" w:space="0"/>
            </w:tcBorders>
            <w:shd w:val="clear" w:color="auto" w:fill="D3D3D3"/>
            <w:vAlign w:val="center"/>
          </w:tcPr>
          <w:p w14:paraId="154431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101" w:type="dxa"/>
            <w:tcBorders>
              <w:top w:val="single" w:color="auto" w:sz="2" w:space="0"/>
              <w:left w:val="single" w:color="auto" w:sz="2" w:space="0"/>
              <w:bottom w:val="single" w:color="auto" w:sz="2" w:space="0"/>
              <w:right w:val="single" w:color="auto" w:sz="2" w:space="0"/>
            </w:tcBorders>
            <w:shd w:val="clear" w:color="auto" w:fill="D3D3D3"/>
            <w:vAlign w:val="center"/>
          </w:tcPr>
          <w:p w14:paraId="2B9C4A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小计</w:t>
            </w:r>
          </w:p>
        </w:tc>
        <w:tc>
          <w:tcPr>
            <w:tcW w:w="1309"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C9ED14E">
            <w:pPr>
              <w:rPr>
                <w:rFonts w:ascii="Times New Roman" w:hAnsi="Times New Roman" w:cs="Times New Roman" w:eastAsiaTheme="majorEastAsia"/>
              </w:rPr>
            </w:pPr>
          </w:p>
        </w:tc>
      </w:tr>
      <w:tr w14:paraId="1D4D94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101" w:type="dxa"/>
            <w:tcBorders>
              <w:top w:val="single" w:color="auto" w:sz="2" w:space="0"/>
              <w:left w:val="single" w:color="auto" w:sz="2" w:space="0"/>
              <w:bottom w:val="single" w:color="auto" w:sz="2" w:space="0"/>
              <w:right w:val="single" w:color="auto" w:sz="2" w:space="0"/>
            </w:tcBorders>
            <w:shd w:val="clear" w:color="auto" w:fill="D3D3D3"/>
            <w:vAlign w:val="center"/>
          </w:tcPr>
          <w:p w14:paraId="7998A9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股份总数</w:t>
            </w:r>
          </w:p>
        </w:tc>
        <w:tc>
          <w:tcPr>
            <w:tcW w:w="1308" w:type="dxa"/>
            <w:tcBorders>
              <w:top w:val="single" w:color="auto" w:sz="2" w:space="0"/>
              <w:left w:val="single" w:color="auto" w:sz="2" w:space="0"/>
              <w:bottom w:val="single" w:color="auto" w:sz="2" w:space="0"/>
              <w:right w:val="single" w:color="auto" w:sz="2" w:space="0"/>
            </w:tcBorders>
            <w:vAlign w:val="center"/>
          </w:tcPr>
          <w:p w14:paraId="4A093C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67,236,800.00</w:t>
            </w:r>
          </w:p>
        </w:tc>
        <w:tc>
          <w:tcPr>
            <w:tcW w:w="1205" w:type="dxa"/>
            <w:tcBorders>
              <w:top w:val="single" w:color="auto" w:sz="2" w:space="0"/>
              <w:left w:val="single" w:color="auto" w:sz="2" w:space="0"/>
              <w:bottom w:val="single" w:color="auto" w:sz="2" w:space="0"/>
              <w:right w:val="single" w:color="auto" w:sz="2" w:space="0"/>
            </w:tcBorders>
            <w:vAlign w:val="center"/>
          </w:tcPr>
          <w:p w14:paraId="0187D553">
            <w:pPr>
              <w:spacing w:line="240" w:lineRule="exact"/>
              <w:jc w:val="right"/>
              <w:rPr>
                <w:rFonts w:ascii="Times New Roman" w:hAnsi="Times New Roman" w:cs="Times New Roman" w:eastAsiaTheme="majorEastAsia"/>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3703FD75">
            <w:pPr>
              <w:spacing w:line="240" w:lineRule="exact"/>
              <w:jc w:val="right"/>
              <w:rPr>
                <w:rFonts w:ascii="Times New Roman" w:hAnsi="Times New Roman" w:cs="Times New Roman" w:eastAsiaTheme="majorEastAsia"/>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187BCE46">
            <w:pPr>
              <w:spacing w:line="240" w:lineRule="exact"/>
              <w:jc w:val="right"/>
              <w:rPr>
                <w:rFonts w:ascii="Times New Roman" w:hAnsi="Times New Roman" w:cs="Times New Roman" w:eastAsiaTheme="majorEastAsia"/>
                <w:sz w:val="18"/>
                <w:szCs w:val="18"/>
              </w:rPr>
            </w:pPr>
          </w:p>
        </w:tc>
        <w:tc>
          <w:tcPr>
            <w:tcW w:w="1205" w:type="dxa"/>
            <w:tcBorders>
              <w:top w:val="single" w:color="auto" w:sz="2" w:space="0"/>
              <w:left w:val="single" w:color="auto" w:sz="2" w:space="0"/>
              <w:bottom w:val="single" w:color="auto" w:sz="2" w:space="0"/>
              <w:right w:val="single" w:color="auto" w:sz="2" w:space="0"/>
            </w:tcBorders>
            <w:vAlign w:val="center"/>
          </w:tcPr>
          <w:p w14:paraId="456A7E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-128,000.00</w:t>
            </w:r>
          </w:p>
        </w:tc>
        <w:tc>
          <w:tcPr>
            <w:tcW w:w="1101" w:type="dxa"/>
            <w:tcBorders>
              <w:top w:val="single" w:color="auto" w:sz="2" w:space="0"/>
              <w:left w:val="single" w:color="auto" w:sz="2" w:space="0"/>
              <w:bottom w:val="single" w:color="auto" w:sz="2" w:space="0"/>
              <w:right w:val="single" w:color="auto" w:sz="2" w:space="0"/>
            </w:tcBorders>
            <w:vAlign w:val="center"/>
          </w:tcPr>
          <w:p w14:paraId="7A3495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-128,000.00</w:t>
            </w:r>
          </w:p>
        </w:tc>
        <w:tc>
          <w:tcPr>
            <w:tcW w:w="1309" w:type="dxa"/>
            <w:tcBorders>
              <w:top w:val="single" w:color="auto" w:sz="2" w:space="0"/>
              <w:left w:val="single" w:color="auto" w:sz="2" w:space="0"/>
              <w:bottom w:val="single" w:color="auto" w:sz="2" w:space="0"/>
              <w:right w:val="single" w:color="auto" w:sz="2" w:space="0"/>
            </w:tcBorders>
            <w:vAlign w:val="center"/>
          </w:tcPr>
          <w:p w14:paraId="414F2D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67,108,800.00</w:t>
            </w:r>
          </w:p>
        </w:tc>
      </w:tr>
    </w:tbl>
    <w:p w14:paraId="540BCD9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72CF5AB7">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根据本公司2024年第三次临时股东会议通过的《关于减少公司注册资本、变更经营范围、修订章程并办理工商变更登记的议案》，以及公司第三届董事会第二十四次会议决议，因公司层面2023年业绩考核未达标，公司回购并注销首次授予林明玲、马学沛2名激励对象对应当年已获授但尚未解除限售的第一类限制性股票合计128,000股，每股面值1元，回购价格为15.81元/股，本公司减少注册资本人民币128,000.00元，减少资本公积（资本溢价）1,908,480.00元。</w:t>
      </w:r>
    </w:p>
    <w:p w14:paraId="2021BAB7">
      <w:pPr>
        <w:pStyle w:val="10"/>
        <w:spacing w:before="145" w:beforeAutospacing="0" w:after="0" w:afterAutospacing="0" w:line="360" w:lineRule="auto"/>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具体出资情况如下表：</w:t>
      </w:r>
    </w:p>
    <w:tbl>
      <w:tblPr>
        <w:tblStyle w:val="12"/>
        <w:tblW w:w="4884" w:type="pct"/>
        <w:tblInd w:w="0" w:type="dxa"/>
        <w:tblLayout w:type="autofit"/>
        <w:tblCellMar>
          <w:top w:w="15" w:type="dxa"/>
          <w:left w:w="15" w:type="dxa"/>
          <w:bottom w:w="15" w:type="dxa"/>
          <w:right w:w="15" w:type="dxa"/>
        </w:tblCellMar>
      </w:tblPr>
      <w:tblGrid>
        <w:gridCol w:w="780"/>
        <w:gridCol w:w="1474"/>
        <w:gridCol w:w="1965"/>
        <w:gridCol w:w="1638"/>
        <w:gridCol w:w="1637"/>
        <w:gridCol w:w="2130"/>
      </w:tblGrid>
      <w:tr w14:paraId="21D7C78C">
        <w:tblPrEx>
          <w:tblCellMar>
            <w:top w:w="15" w:type="dxa"/>
            <w:left w:w="15" w:type="dxa"/>
            <w:bottom w:w="15" w:type="dxa"/>
            <w:right w:w="15" w:type="dxa"/>
          </w:tblCellMar>
        </w:tblPrEx>
        <w:trPr>
          <w:trHeight w:val="303" w:hRule="atLeast"/>
        </w:trPr>
        <w:tc>
          <w:tcPr>
            <w:tcW w:w="675" w:type="dxa"/>
            <w:vMerge w:val="restar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0F21316">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18"/>
                <w:szCs w:val="18"/>
              </w:rPr>
              <w:t>序号</w:t>
            </w:r>
          </w:p>
        </w:tc>
        <w:tc>
          <w:tcPr>
            <w:tcW w:w="1276" w:type="dxa"/>
            <w:vMerge w:val="restar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DDBFB1F">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18"/>
                <w:szCs w:val="18"/>
              </w:rPr>
              <w:t>激励对象</w:t>
            </w:r>
          </w:p>
        </w:tc>
        <w:tc>
          <w:tcPr>
            <w:tcW w:w="1701" w:type="dxa"/>
            <w:vMerge w:val="restar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1AF8F75E">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18"/>
                <w:szCs w:val="18"/>
              </w:rPr>
              <w:t>认购数量（股）</w:t>
            </w:r>
          </w:p>
        </w:tc>
        <w:tc>
          <w:tcPr>
            <w:tcW w:w="1418" w:type="dxa"/>
            <w:vMerge w:val="restar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16360F8A">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18"/>
                <w:szCs w:val="18"/>
              </w:rPr>
              <w:t>回购数量（股）</w:t>
            </w:r>
          </w:p>
        </w:tc>
        <w:tc>
          <w:tcPr>
            <w:tcW w:w="3260" w:type="dxa"/>
            <w:gridSpan w:val="2"/>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0E97C049">
            <w:pPr>
              <w:pStyle w:val="10"/>
              <w:spacing w:before="0" w:beforeAutospacing="0" w:after="0" w:afterAutospacing="0"/>
              <w:jc w:val="center"/>
              <w:rPr>
                <w:rFonts w:ascii="Times New Roman" w:hAnsi="Times New Roman" w:cs="Times New Roman" w:eastAsiaTheme="majorEastAsia"/>
                <w:b/>
                <w:sz w:val="21"/>
                <w:szCs w:val="21"/>
              </w:rPr>
            </w:pPr>
            <w:r>
              <w:rPr>
                <w:rStyle w:val="14"/>
                <w:rFonts w:ascii="Times New Roman" w:hAnsi="Times New Roman" w:cs="Times New Roman" w:eastAsiaTheme="majorEastAsia"/>
                <w:b w:val="0"/>
                <w:color w:val="000000"/>
                <w:sz w:val="18"/>
                <w:szCs w:val="18"/>
              </w:rPr>
              <w:t>回购金额</w:t>
            </w:r>
          </w:p>
        </w:tc>
      </w:tr>
      <w:tr w14:paraId="78FD9A5A">
        <w:tblPrEx>
          <w:tblCellMar>
            <w:top w:w="15" w:type="dxa"/>
            <w:left w:w="15" w:type="dxa"/>
            <w:bottom w:w="15" w:type="dxa"/>
            <w:right w:w="15" w:type="dxa"/>
          </w:tblCellMar>
        </w:tblPrEx>
        <w:trPr>
          <w:trHeight w:val="303" w:hRule="atLeast"/>
        </w:trPr>
        <w:tc>
          <w:tcPr>
            <w:tcW w:w="0" w:type="auto"/>
            <w:vMerge w:val="continue"/>
            <w:tcBorders>
              <w:top w:val="single" w:color="auto" w:sz="8" w:space="0"/>
              <w:left w:val="single" w:color="auto" w:sz="8" w:space="0"/>
              <w:bottom w:val="single" w:color="auto" w:sz="8" w:space="0"/>
              <w:right w:val="single" w:color="auto" w:sz="8" w:space="0"/>
            </w:tcBorders>
            <w:shd w:val="clear" w:color="auto" w:fill="D8D8D8" w:themeFill="background1" w:themeFillShade="D9"/>
            <w:vAlign w:val="center"/>
          </w:tcPr>
          <w:p w14:paraId="0915369C">
            <w:pPr>
              <w:rPr>
                <w:rFonts w:ascii="Times New Roman" w:hAnsi="Times New Roman" w:cs="Times New Roman" w:eastAsiaTheme="majorEastAsia"/>
                <w:szCs w:val="21"/>
              </w:rPr>
            </w:pPr>
          </w:p>
        </w:tc>
        <w:tc>
          <w:tcPr>
            <w:tcW w:w="0" w:type="auto"/>
            <w:vMerge w:val="continue"/>
            <w:tcBorders>
              <w:top w:val="single" w:color="auto" w:sz="8" w:space="0"/>
              <w:left w:val="nil"/>
              <w:bottom w:val="single" w:color="auto" w:sz="8" w:space="0"/>
              <w:right w:val="single" w:color="auto" w:sz="8" w:space="0"/>
            </w:tcBorders>
            <w:shd w:val="clear" w:color="auto" w:fill="D8D8D8" w:themeFill="background1" w:themeFillShade="D9"/>
            <w:vAlign w:val="center"/>
          </w:tcPr>
          <w:p w14:paraId="12BE52C7">
            <w:pPr>
              <w:rPr>
                <w:rFonts w:ascii="Times New Roman" w:hAnsi="Times New Roman" w:cs="Times New Roman" w:eastAsiaTheme="majorEastAsia"/>
                <w:szCs w:val="21"/>
              </w:rPr>
            </w:pPr>
          </w:p>
        </w:tc>
        <w:tc>
          <w:tcPr>
            <w:tcW w:w="0" w:type="auto"/>
            <w:vMerge w:val="continue"/>
            <w:tcBorders>
              <w:top w:val="single" w:color="auto" w:sz="8" w:space="0"/>
              <w:left w:val="nil"/>
              <w:bottom w:val="single" w:color="auto" w:sz="8" w:space="0"/>
              <w:right w:val="single" w:color="auto" w:sz="8" w:space="0"/>
            </w:tcBorders>
            <w:shd w:val="clear" w:color="auto" w:fill="D8D8D8" w:themeFill="background1" w:themeFillShade="D9"/>
            <w:vAlign w:val="center"/>
          </w:tcPr>
          <w:p w14:paraId="14E4C872">
            <w:pPr>
              <w:rPr>
                <w:rFonts w:ascii="Times New Roman" w:hAnsi="Times New Roman" w:cs="Times New Roman" w:eastAsiaTheme="majorEastAsia"/>
                <w:szCs w:val="21"/>
              </w:rPr>
            </w:pPr>
          </w:p>
        </w:tc>
        <w:tc>
          <w:tcPr>
            <w:tcW w:w="0" w:type="auto"/>
            <w:vMerge w:val="continue"/>
            <w:tcBorders>
              <w:top w:val="single" w:color="auto" w:sz="8" w:space="0"/>
              <w:left w:val="nil"/>
              <w:bottom w:val="single" w:color="auto" w:sz="8" w:space="0"/>
              <w:right w:val="single" w:color="auto" w:sz="8" w:space="0"/>
            </w:tcBorders>
            <w:shd w:val="clear" w:color="auto" w:fill="D8D8D8" w:themeFill="background1" w:themeFillShade="D9"/>
            <w:vAlign w:val="center"/>
          </w:tcPr>
          <w:p w14:paraId="09B23476">
            <w:pPr>
              <w:rPr>
                <w:rFonts w:ascii="Times New Roman" w:hAnsi="Times New Roman" w:cs="Times New Roman" w:eastAsiaTheme="majorEastAsia"/>
                <w:szCs w:val="21"/>
              </w:rPr>
            </w:pPr>
          </w:p>
        </w:tc>
        <w:tc>
          <w:tcPr>
            <w:tcW w:w="1417" w:type="dxa"/>
            <w:tcBorders>
              <w:top w:val="nil"/>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6E66F0C5">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18"/>
                <w:szCs w:val="18"/>
              </w:rPr>
              <w:t>股本</w:t>
            </w:r>
          </w:p>
        </w:tc>
        <w:tc>
          <w:tcPr>
            <w:tcW w:w="1843" w:type="dxa"/>
            <w:tcBorders>
              <w:top w:val="nil"/>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2064D24B">
            <w:pPr>
              <w:pStyle w:val="10"/>
              <w:spacing w:before="0" w:beforeAutospacing="0" w:after="0" w:afterAutospacing="0"/>
              <w:jc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18"/>
                <w:szCs w:val="18"/>
              </w:rPr>
              <w:t>资本公积（股本溢价）</w:t>
            </w:r>
          </w:p>
        </w:tc>
      </w:tr>
      <w:tr w14:paraId="68E35991">
        <w:tblPrEx>
          <w:tblCellMar>
            <w:top w:w="15" w:type="dxa"/>
            <w:left w:w="15" w:type="dxa"/>
            <w:bottom w:w="15" w:type="dxa"/>
            <w:right w:w="15" w:type="dxa"/>
          </w:tblCellMar>
        </w:tblPrEx>
        <w:trPr>
          <w:trHeight w:val="288" w:hRule="atLeast"/>
        </w:trPr>
        <w:tc>
          <w:tcPr>
            <w:tcW w:w="67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1615CB1D">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1</w:t>
            </w:r>
          </w:p>
        </w:tc>
        <w:tc>
          <w:tcPr>
            <w:tcW w:w="1276" w:type="dxa"/>
            <w:tcBorders>
              <w:top w:val="nil"/>
              <w:left w:val="nil"/>
              <w:bottom w:val="single" w:color="auto" w:sz="8" w:space="0"/>
              <w:right w:val="single" w:color="auto" w:sz="8" w:space="0"/>
            </w:tcBorders>
            <w:tcMar>
              <w:top w:w="0" w:type="dxa"/>
              <w:left w:w="108" w:type="dxa"/>
              <w:bottom w:w="0" w:type="dxa"/>
              <w:right w:w="108" w:type="dxa"/>
            </w:tcMar>
            <w:vAlign w:val="center"/>
          </w:tcPr>
          <w:p w14:paraId="45160EED">
            <w:pPr>
              <w:pStyle w:val="10"/>
              <w:spacing w:before="0" w:beforeAutospacing="0" w:after="0" w:afterAutospacing="0"/>
              <w:jc w:val="center"/>
              <w:textAlignment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林明玲</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20B6A24C">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640,000.00</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3A545059">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14:paraId="35D99704">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w:t>
            </w:r>
          </w:p>
        </w:tc>
        <w:tc>
          <w:tcPr>
            <w:tcW w:w="1843" w:type="dxa"/>
            <w:tcBorders>
              <w:top w:val="nil"/>
              <w:left w:val="nil"/>
              <w:bottom w:val="single" w:color="auto" w:sz="8" w:space="0"/>
              <w:right w:val="single" w:color="auto" w:sz="8" w:space="0"/>
            </w:tcBorders>
            <w:tcMar>
              <w:top w:w="0" w:type="dxa"/>
              <w:left w:w="108" w:type="dxa"/>
              <w:bottom w:w="0" w:type="dxa"/>
              <w:right w:w="108" w:type="dxa"/>
            </w:tcMar>
            <w:vAlign w:val="center"/>
          </w:tcPr>
          <w:p w14:paraId="490A34CE">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-954,240.00</w:t>
            </w:r>
          </w:p>
        </w:tc>
      </w:tr>
      <w:tr w14:paraId="10FD3009">
        <w:tblPrEx>
          <w:tblCellMar>
            <w:top w:w="15" w:type="dxa"/>
            <w:left w:w="15" w:type="dxa"/>
            <w:bottom w:w="15" w:type="dxa"/>
            <w:right w:w="15" w:type="dxa"/>
          </w:tblCellMar>
        </w:tblPrEx>
        <w:trPr>
          <w:trHeight w:val="288" w:hRule="atLeast"/>
        </w:trPr>
        <w:tc>
          <w:tcPr>
            <w:tcW w:w="675"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0852FC1">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2</w:t>
            </w:r>
          </w:p>
        </w:tc>
        <w:tc>
          <w:tcPr>
            <w:tcW w:w="1276" w:type="dxa"/>
            <w:tcBorders>
              <w:top w:val="nil"/>
              <w:left w:val="nil"/>
              <w:bottom w:val="single" w:color="auto" w:sz="8" w:space="0"/>
              <w:right w:val="single" w:color="auto" w:sz="8" w:space="0"/>
            </w:tcBorders>
            <w:tcMar>
              <w:top w:w="0" w:type="dxa"/>
              <w:left w:w="108" w:type="dxa"/>
              <w:bottom w:w="0" w:type="dxa"/>
              <w:right w:w="108" w:type="dxa"/>
            </w:tcMar>
            <w:vAlign w:val="center"/>
          </w:tcPr>
          <w:p w14:paraId="2D7B36DD">
            <w:pPr>
              <w:pStyle w:val="10"/>
              <w:spacing w:before="0" w:beforeAutospacing="0" w:after="0" w:afterAutospacing="0"/>
              <w:jc w:val="center"/>
              <w:rPr>
                <w:rFonts w:ascii="Times New Roman" w:hAnsi="Times New Roman" w:cs="Times New Roman" w:eastAsiaTheme="majorEastAsia"/>
                <w:sz w:val="21"/>
                <w:szCs w:val="21"/>
              </w:rPr>
            </w:pPr>
            <w:r>
              <w:rPr>
                <w:rFonts w:ascii="Times New Roman" w:hAnsi="Times New Roman" w:cs="Times New Roman" w:eastAsiaTheme="majorEastAsia"/>
                <w:color w:val="000000"/>
                <w:sz w:val="18"/>
                <w:szCs w:val="18"/>
              </w:rPr>
              <w:t>马学沛</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5420B679">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640,000.00</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5C5CB2BC">
            <w:pPr>
              <w:pStyle w:val="10"/>
              <w:spacing w:before="0" w:beforeAutospacing="0" w:after="0" w:afterAutospacing="0"/>
              <w:jc w:val="right"/>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14:paraId="644C7E50">
            <w:pPr>
              <w:pStyle w:val="10"/>
              <w:spacing w:before="0" w:beforeAutospacing="0" w:after="0" w:afterAutospacing="0"/>
              <w:jc w:val="right"/>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-64,000.00</w:t>
            </w:r>
          </w:p>
        </w:tc>
        <w:tc>
          <w:tcPr>
            <w:tcW w:w="1843" w:type="dxa"/>
            <w:tcBorders>
              <w:top w:val="nil"/>
              <w:left w:val="nil"/>
              <w:bottom w:val="single" w:color="auto" w:sz="8" w:space="0"/>
              <w:right w:val="single" w:color="auto" w:sz="8" w:space="0"/>
            </w:tcBorders>
            <w:tcMar>
              <w:top w:w="0" w:type="dxa"/>
              <w:left w:w="108" w:type="dxa"/>
              <w:bottom w:w="0" w:type="dxa"/>
              <w:right w:w="108" w:type="dxa"/>
            </w:tcMar>
            <w:vAlign w:val="center"/>
          </w:tcPr>
          <w:p w14:paraId="70ACDF55">
            <w:pPr>
              <w:pStyle w:val="10"/>
              <w:spacing w:before="0" w:beforeAutospacing="0" w:after="0" w:afterAutospacing="0"/>
              <w:jc w:val="right"/>
              <w:rPr>
                <w:rFonts w:ascii="Times New Roman" w:hAnsi="Times New Roman" w:cs="Times New Roman" w:eastAsiaTheme="majorEastAsia"/>
                <w:sz w:val="20"/>
                <w:szCs w:val="21"/>
              </w:rPr>
            </w:pPr>
            <w:r>
              <w:rPr>
                <w:rFonts w:ascii="Times New Roman" w:hAnsi="Times New Roman" w:cs="Times New Roman" w:eastAsiaTheme="majorEastAsia"/>
                <w:color w:val="000000"/>
                <w:sz w:val="20"/>
                <w:szCs w:val="21"/>
              </w:rPr>
              <w:t>-954,240.00</w:t>
            </w:r>
          </w:p>
        </w:tc>
      </w:tr>
      <w:tr w14:paraId="53D2A150">
        <w:tblPrEx>
          <w:tblCellMar>
            <w:top w:w="15" w:type="dxa"/>
            <w:left w:w="15" w:type="dxa"/>
            <w:bottom w:w="15" w:type="dxa"/>
            <w:right w:w="15" w:type="dxa"/>
          </w:tblCellMar>
        </w:tblPrEx>
        <w:trPr>
          <w:trHeight w:val="303" w:hRule="atLeast"/>
        </w:trPr>
        <w:tc>
          <w:tcPr>
            <w:tcW w:w="1951" w:type="dxa"/>
            <w:gridSpan w:val="2"/>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60A43B9">
            <w:pPr>
              <w:pStyle w:val="10"/>
              <w:spacing w:before="0" w:beforeAutospacing="0" w:after="0" w:afterAutospacing="0"/>
              <w:ind w:firstLine="450" w:firstLineChars="250"/>
              <w:jc w:val="center"/>
              <w:textAlignment w:val="center"/>
              <w:rPr>
                <w:rFonts w:ascii="Times New Roman" w:hAnsi="Times New Roman" w:cs="Times New Roman" w:eastAsiaTheme="majorEastAsia"/>
                <w:sz w:val="21"/>
                <w:szCs w:val="21"/>
              </w:rPr>
            </w:pPr>
            <w:r>
              <w:rPr>
                <w:rStyle w:val="14"/>
                <w:rFonts w:ascii="Times New Roman" w:hAnsi="Times New Roman" w:cs="Times New Roman" w:eastAsiaTheme="majorEastAsia"/>
                <w:b w:val="0"/>
                <w:color w:val="000000"/>
                <w:sz w:val="18"/>
                <w:szCs w:val="18"/>
              </w:rPr>
              <w:t>合计</w:t>
            </w:r>
          </w:p>
        </w:tc>
        <w:tc>
          <w:tcPr>
            <w:tcW w:w="1701" w:type="dxa"/>
            <w:tcBorders>
              <w:top w:val="nil"/>
              <w:left w:val="nil"/>
              <w:bottom w:val="single" w:color="auto" w:sz="8" w:space="0"/>
              <w:right w:val="single" w:color="auto" w:sz="8" w:space="0"/>
            </w:tcBorders>
            <w:tcMar>
              <w:top w:w="0" w:type="dxa"/>
              <w:left w:w="108" w:type="dxa"/>
              <w:bottom w:w="0" w:type="dxa"/>
              <w:right w:w="108" w:type="dxa"/>
            </w:tcMar>
            <w:vAlign w:val="center"/>
          </w:tcPr>
          <w:p w14:paraId="375AC1B0">
            <w:pPr>
              <w:pStyle w:val="10"/>
              <w:spacing w:before="0" w:beforeAutospacing="0" w:after="0" w:afterAutospacing="0"/>
              <w:jc w:val="right"/>
              <w:textAlignment w:val="center"/>
              <w:rPr>
                <w:rFonts w:ascii="Times New Roman" w:hAnsi="Times New Roman" w:cs="Times New Roman" w:eastAsiaTheme="majorEastAsia"/>
                <w:sz w:val="20"/>
                <w:szCs w:val="21"/>
              </w:rPr>
            </w:pPr>
            <w:r>
              <w:rPr>
                <w:rStyle w:val="14"/>
                <w:rFonts w:ascii="Times New Roman" w:hAnsi="Times New Roman" w:cs="Times New Roman" w:eastAsiaTheme="majorEastAsia"/>
                <w:b w:val="0"/>
                <w:color w:val="000000"/>
                <w:sz w:val="20"/>
                <w:szCs w:val="21"/>
              </w:rPr>
              <w:t>1,280,000.00</w:t>
            </w:r>
          </w:p>
        </w:tc>
        <w:tc>
          <w:tcPr>
            <w:tcW w:w="1418" w:type="dxa"/>
            <w:tcBorders>
              <w:top w:val="nil"/>
              <w:left w:val="nil"/>
              <w:bottom w:val="single" w:color="auto" w:sz="8" w:space="0"/>
              <w:right w:val="single" w:color="auto" w:sz="8" w:space="0"/>
            </w:tcBorders>
            <w:tcMar>
              <w:top w:w="0" w:type="dxa"/>
              <w:left w:w="108" w:type="dxa"/>
              <w:bottom w:w="0" w:type="dxa"/>
              <w:right w:w="108" w:type="dxa"/>
            </w:tcMar>
            <w:vAlign w:val="center"/>
          </w:tcPr>
          <w:p w14:paraId="13D3BFE1">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bCs/>
                <w:color w:val="000000"/>
                <w:sz w:val="20"/>
                <w:szCs w:val="21"/>
              </w:rPr>
              <w:t>128,000</w:t>
            </w:r>
            <w:r>
              <w:rPr>
                <w:rStyle w:val="14"/>
                <w:rFonts w:ascii="Times New Roman" w:hAnsi="Times New Roman" w:cs="Times New Roman" w:eastAsiaTheme="majorEastAsia"/>
                <w:b w:val="0"/>
                <w:color w:val="000000"/>
                <w:sz w:val="20"/>
                <w:szCs w:val="21"/>
              </w:rPr>
              <w:t>.00</w:t>
            </w:r>
          </w:p>
        </w:tc>
        <w:tc>
          <w:tcPr>
            <w:tcW w:w="1417" w:type="dxa"/>
            <w:tcBorders>
              <w:top w:val="nil"/>
              <w:left w:val="nil"/>
              <w:bottom w:val="single" w:color="auto" w:sz="8" w:space="0"/>
              <w:right w:val="single" w:color="auto" w:sz="8" w:space="0"/>
            </w:tcBorders>
            <w:tcMar>
              <w:top w:w="0" w:type="dxa"/>
              <w:left w:w="108" w:type="dxa"/>
              <w:bottom w:w="0" w:type="dxa"/>
              <w:right w:w="108" w:type="dxa"/>
            </w:tcMar>
            <w:vAlign w:val="center"/>
          </w:tcPr>
          <w:p w14:paraId="1EAFB499">
            <w:pPr>
              <w:pStyle w:val="10"/>
              <w:spacing w:before="0" w:beforeAutospacing="0" w:after="0" w:afterAutospacing="0"/>
              <w:jc w:val="right"/>
              <w:textAlignment w:val="center"/>
              <w:rPr>
                <w:rFonts w:ascii="Times New Roman" w:hAnsi="Times New Roman" w:cs="Times New Roman" w:eastAsiaTheme="majorEastAsia"/>
                <w:sz w:val="20"/>
                <w:szCs w:val="21"/>
              </w:rPr>
            </w:pPr>
            <w:r>
              <w:rPr>
                <w:rFonts w:ascii="Times New Roman" w:hAnsi="Times New Roman" w:cs="Times New Roman" w:eastAsiaTheme="majorEastAsia"/>
                <w:bCs/>
                <w:color w:val="000000"/>
                <w:sz w:val="20"/>
                <w:szCs w:val="21"/>
              </w:rPr>
              <w:t>-128,000</w:t>
            </w:r>
            <w:r>
              <w:rPr>
                <w:rStyle w:val="14"/>
                <w:rFonts w:ascii="Times New Roman" w:hAnsi="Times New Roman" w:cs="Times New Roman" w:eastAsiaTheme="majorEastAsia"/>
                <w:b w:val="0"/>
                <w:color w:val="000000"/>
                <w:sz w:val="20"/>
                <w:szCs w:val="21"/>
              </w:rPr>
              <w:t>.00</w:t>
            </w:r>
          </w:p>
        </w:tc>
        <w:tc>
          <w:tcPr>
            <w:tcW w:w="1843" w:type="dxa"/>
            <w:tcBorders>
              <w:top w:val="nil"/>
              <w:left w:val="nil"/>
              <w:bottom w:val="single" w:color="auto" w:sz="8" w:space="0"/>
              <w:right w:val="single" w:color="auto" w:sz="8" w:space="0"/>
            </w:tcBorders>
            <w:tcMar>
              <w:top w:w="0" w:type="dxa"/>
              <w:left w:w="108" w:type="dxa"/>
              <w:bottom w:w="0" w:type="dxa"/>
              <w:right w:w="108" w:type="dxa"/>
            </w:tcMar>
            <w:vAlign w:val="center"/>
          </w:tcPr>
          <w:p w14:paraId="05266E69">
            <w:pPr>
              <w:pStyle w:val="10"/>
              <w:spacing w:before="0" w:beforeAutospacing="0" w:after="0" w:afterAutospacing="0"/>
              <w:jc w:val="right"/>
              <w:textAlignment w:val="center"/>
              <w:rPr>
                <w:rFonts w:ascii="Times New Roman" w:hAnsi="Times New Roman" w:cs="Times New Roman" w:eastAsiaTheme="majorEastAsia"/>
                <w:sz w:val="20"/>
                <w:szCs w:val="21"/>
              </w:rPr>
            </w:pPr>
            <w:r>
              <w:rPr>
                <w:rStyle w:val="14"/>
                <w:rFonts w:ascii="Times New Roman" w:hAnsi="Times New Roman" w:cs="Times New Roman" w:eastAsiaTheme="majorEastAsia"/>
                <w:b w:val="0"/>
                <w:color w:val="000000"/>
                <w:sz w:val="20"/>
                <w:szCs w:val="21"/>
              </w:rPr>
              <w:t>-</w:t>
            </w:r>
            <w:r>
              <w:rPr>
                <w:rFonts w:ascii="Times New Roman" w:hAnsi="Times New Roman" w:cs="Times New Roman" w:eastAsiaTheme="majorEastAsia"/>
                <w:bCs/>
                <w:color w:val="000000"/>
                <w:sz w:val="20"/>
                <w:szCs w:val="21"/>
              </w:rPr>
              <w:t>1,908,480</w:t>
            </w:r>
            <w:r>
              <w:rPr>
                <w:rStyle w:val="14"/>
                <w:rFonts w:ascii="Times New Roman" w:hAnsi="Times New Roman" w:cs="Times New Roman" w:eastAsiaTheme="majorEastAsia"/>
                <w:b w:val="0"/>
                <w:color w:val="000000"/>
                <w:sz w:val="20"/>
                <w:szCs w:val="21"/>
              </w:rPr>
              <w:t>.00</w:t>
            </w:r>
          </w:p>
        </w:tc>
      </w:tr>
    </w:tbl>
    <w:p w14:paraId="454F60B5">
      <w:pPr>
        <w:rPr>
          <w:rFonts w:ascii="Times New Roman" w:hAnsi="Times New Roman" w:cs="Times New Roman" w:eastAsiaTheme="majorEastAsia"/>
          <w:sz w:val="24"/>
          <w:szCs w:val="24"/>
        </w:rPr>
      </w:pPr>
    </w:p>
    <w:p w14:paraId="46DE1568">
      <w:pPr>
        <w:pStyle w:val="3"/>
        <w:spacing w:line="280" w:lineRule="exact"/>
        <w:jc w:val="left"/>
        <w:rPr>
          <w:rFonts w:ascii="Times New Roman" w:hAnsi="Times New Roman" w:cs="Times New Roman" w:eastAsiaTheme="majorEastAsia"/>
          <w:b/>
          <w:bCs/>
        </w:rPr>
      </w:pPr>
      <w:bookmarkStart w:id="345" w:name="_Toc989234"/>
      <w:r>
        <w:rPr>
          <w:rFonts w:ascii="Times New Roman" w:hAnsi="Times New Roman" w:cs="Times New Roman" w:eastAsiaTheme="majorEastAsia"/>
          <w:b/>
          <w:bCs/>
        </w:rPr>
        <w:t>41、资本公积</w:t>
      </w:r>
      <w:bookmarkEnd w:id="345"/>
    </w:p>
    <w:p w14:paraId="73716C4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760A1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24402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6F1F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9E8F2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24D1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A328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EFDE0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8E6D7F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资本溢价（股本溢价）</w:t>
            </w:r>
          </w:p>
        </w:tc>
        <w:tc>
          <w:tcPr>
            <w:tcW w:w="1928" w:type="dxa"/>
            <w:tcBorders>
              <w:top w:val="single" w:color="auto" w:sz="2" w:space="0"/>
              <w:left w:val="single" w:color="auto" w:sz="2" w:space="0"/>
              <w:bottom w:val="single" w:color="auto" w:sz="2" w:space="0"/>
              <w:right w:val="single" w:color="auto" w:sz="2" w:space="0"/>
            </w:tcBorders>
            <w:vAlign w:val="center"/>
          </w:tcPr>
          <w:p w14:paraId="3F55DB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585,528,455.81</w:t>
            </w:r>
          </w:p>
        </w:tc>
        <w:tc>
          <w:tcPr>
            <w:tcW w:w="1928" w:type="dxa"/>
            <w:tcBorders>
              <w:top w:val="single" w:color="auto" w:sz="2" w:space="0"/>
              <w:left w:val="single" w:color="auto" w:sz="2" w:space="0"/>
              <w:bottom w:val="single" w:color="auto" w:sz="2" w:space="0"/>
              <w:right w:val="single" w:color="auto" w:sz="2" w:space="0"/>
            </w:tcBorders>
            <w:vAlign w:val="center"/>
          </w:tcPr>
          <w:p w14:paraId="0A760531">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E3EAD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1,908,480.00</w:t>
            </w:r>
          </w:p>
        </w:tc>
        <w:tc>
          <w:tcPr>
            <w:tcW w:w="1928" w:type="dxa"/>
            <w:tcBorders>
              <w:top w:val="single" w:color="auto" w:sz="2" w:space="0"/>
              <w:left w:val="single" w:color="auto" w:sz="2" w:space="0"/>
              <w:bottom w:val="single" w:color="auto" w:sz="2" w:space="0"/>
              <w:right w:val="single" w:color="auto" w:sz="2" w:space="0"/>
            </w:tcBorders>
            <w:vAlign w:val="center"/>
          </w:tcPr>
          <w:p w14:paraId="45E87E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583,619,975.81</w:t>
            </w:r>
          </w:p>
        </w:tc>
      </w:tr>
      <w:tr w14:paraId="025627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56191B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其他资本公积</w:t>
            </w:r>
          </w:p>
        </w:tc>
        <w:tc>
          <w:tcPr>
            <w:tcW w:w="1928" w:type="dxa"/>
            <w:tcBorders>
              <w:top w:val="single" w:color="auto" w:sz="2" w:space="0"/>
              <w:left w:val="single" w:color="auto" w:sz="2" w:space="0"/>
              <w:bottom w:val="single" w:color="auto" w:sz="2" w:space="0"/>
              <w:right w:val="single" w:color="auto" w:sz="2" w:space="0"/>
            </w:tcBorders>
            <w:vAlign w:val="center"/>
          </w:tcPr>
          <w:p w14:paraId="739D99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5,165,633.96</w:t>
            </w:r>
          </w:p>
        </w:tc>
        <w:tc>
          <w:tcPr>
            <w:tcW w:w="1928" w:type="dxa"/>
            <w:tcBorders>
              <w:top w:val="single" w:color="auto" w:sz="2" w:space="0"/>
              <w:left w:val="single" w:color="auto" w:sz="2" w:space="0"/>
              <w:bottom w:val="single" w:color="auto" w:sz="2" w:space="0"/>
              <w:right w:val="single" w:color="auto" w:sz="2" w:space="0"/>
            </w:tcBorders>
            <w:vAlign w:val="center"/>
          </w:tcPr>
          <w:p w14:paraId="107BD2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c>
          <w:tcPr>
            <w:tcW w:w="1928" w:type="dxa"/>
            <w:tcBorders>
              <w:top w:val="single" w:color="auto" w:sz="2" w:space="0"/>
              <w:left w:val="single" w:color="auto" w:sz="2" w:space="0"/>
              <w:bottom w:val="single" w:color="auto" w:sz="2" w:space="0"/>
              <w:right w:val="single" w:color="auto" w:sz="2" w:space="0"/>
            </w:tcBorders>
            <w:vAlign w:val="center"/>
          </w:tcPr>
          <w:p w14:paraId="4AD4EC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244.83</w:t>
            </w:r>
          </w:p>
        </w:tc>
        <w:tc>
          <w:tcPr>
            <w:tcW w:w="1928" w:type="dxa"/>
            <w:tcBorders>
              <w:top w:val="single" w:color="auto" w:sz="2" w:space="0"/>
              <w:left w:val="single" w:color="auto" w:sz="2" w:space="0"/>
              <w:bottom w:val="single" w:color="auto" w:sz="2" w:space="0"/>
              <w:right w:val="single" w:color="auto" w:sz="2" w:space="0"/>
            </w:tcBorders>
            <w:vAlign w:val="center"/>
          </w:tcPr>
          <w:p w14:paraId="25C659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14,677,226.92</w:t>
            </w:r>
          </w:p>
        </w:tc>
      </w:tr>
      <w:tr w14:paraId="4C58B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B6454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其中：以权益结算的股份支付</w:t>
            </w:r>
          </w:p>
        </w:tc>
        <w:tc>
          <w:tcPr>
            <w:tcW w:w="1928" w:type="dxa"/>
            <w:tcBorders>
              <w:top w:val="single" w:color="auto" w:sz="2" w:space="0"/>
              <w:left w:val="single" w:color="auto" w:sz="2" w:space="0"/>
              <w:bottom w:val="single" w:color="auto" w:sz="2" w:space="0"/>
              <w:right w:val="single" w:color="auto" w:sz="2" w:space="0"/>
            </w:tcBorders>
            <w:vAlign w:val="center"/>
          </w:tcPr>
          <w:p w14:paraId="21DCCE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5,165,633.96</w:t>
            </w:r>
          </w:p>
        </w:tc>
        <w:tc>
          <w:tcPr>
            <w:tcW w:w="1928" w:type="dxa"/>
            <w:tcBorders>
              <w:top w:val="single" w:color="auto" w:sz="2" w:space="0"/>
              <w:left w:val="single" w:color="auto" w:sz="2" w:space="0"/>
              <w:bottom w:val="single" w:color="auto" w:sz="2" w:space="0"/>
              <w:right w:val="single" w:color="auto" w:sz="2" w:space="0"/>
            </w:tcBorders>
            <w:vAlign w:val="center"/>
          </w:tcPr>
          <w:p w14:paraId="265326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c>
          <w:tcPr>
            <w:tcW w:w="1928" w:type="dxa"/>
            <w:tcBorders>
              <w:top w:val="single" w:color="auto" w:sz="2" w:space="0"/>
              <w:left w:val="single" w:color="auto" w:sz="2" w:space="0"/>
              <w:bottom w:val="single" w:color="auto" w:sz="2" w:space="0"/>
              <w:right w:val="single" w:color="auto" w:sz="2" w:space="0"/>
            </w:tcBorders>
            <w:vAlign w:val="center"/>
          </w:tcPr>
          <w:p w14:paraId="6F539395">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CD0CC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14,677,471.75</w:t>
            </w:r>
          </w:p>
        </w:tc>
      </w:tr>
      <w:tr w14:paraId="7DD6C2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87B7C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928" w:type="dxa"/>
            <w:tcBorders>
              <w:top w:val="single" w:color="auto" w:sz="2" w:space="0"/>
              <w:left w:val="single" w:color="auto" w:sz="2" w:space="0"/>
              <w:bottom w:val="single" w:color="auto" w:sz="2" w:space="0"/>
              <w:right w:val="single" w:color="auto" w:sz="2" w:space="0"/>
            </w:tcBorders>
            <w:vAlign w:val="center"/>
          </w:tcPr>
          <w:p w14:paraId="1DFD471F">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D324709">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B42C4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244.83</w:t>
            </w:r>
          </w:p>
        </w:tc>
        <w:tc>
          <w:tcPr>
            <w:tcW w:w="1928" w:type="dxa"/>
            <w:tcBorders>
              <w:top w:val="single" w:color="auto" w:sz="2" w:space="0"/>
              <w:left w:val="single" w:color="auto" w:sz="2" w:space="0"/>
              <w:bottom w:val="single" w:color="auto" w:sz="2" w:space="0"/>
              <w:right w:val="single" w:color="auto" w:sz="2" w:space="0"/>
            </w:tcBorders>
            <w:vAlign w:val="center"/>
          </w:tcPr>
          <w:p w14:paraId="47B02C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-244.83</w:t>
            </w:r>
          </w:p>
        </w:tc>
      </w:tr>
      <w:tr w14:paraId="64E5E9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8B6F2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800ED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590,694,089.77</w:t>
            </w:r>
          </w:p>
        </w:tc>
        <w:tc>
          <w:tcPr>
            <w:tcW w:w="1928" w:type="dxa"/>
            <w:tcBorders>
              <w:top w:val="single" w:color="auto" w:sz="2" w:space="0"/>
              <w:left w:val="single" w:color="auto" w:sz="2" w:space="0"/>
              <w:bottom w:val="single" w:color="auto" w:sz="2" w:space="0"/>
              <w:right w:val="single" w:color="auto" w:sz="2" w:space="0"/>
            </w:tcBorders>
            <w:vAlign w:val="center"/>
          </w:tcPr>
          <w:p w14:paraId="04B2E3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c>
          <w:tcPr>
            <w:tcW w:w="1928" w:type="dxa"/>
            <w:tcBorders>
              <w:top w:val="single" w:color="auto" w:sz="2" w:space="0"/>
              <w:left w:val="single" w:color="auto" w:sz="2" w:space="0"/>
              <w:bottom w:val="single" w:color="auto" w:sz="2" w:space="0"/>
              <w:right w:val="single" w:color="auto" w:sz="2" w:space="0"/>
            </w:tcBorders>
            <w:vAlign w:val="center"/>
          </w:tcPr>
          <w:p w14:paraId="64D8A0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1,908,724.83</w:t>
            </w:r>
          </w:p>
        </w:tc>
        <w:tc>
          <w:tcPr>
            <w:tcW w:w="1928" w:type="dxa"/>
            <w:tcBorders>
              <w:top w:val="single" w:color="auto" w:sz="2" w:space="0"/>
              <w:left w:val="single" w:color="auto" w:sz="2" w:space="0"/>
              <w:bottom w:val="single" w:color="auto" w:sz="2" w:space="0"/>
              <w:right w:val="single" w:color="auto" w:sz="2" w:space="0"/>
            </w:tcBorders>
            <w:vAlign w:val="center"/>
          </w:tcPr>
          <w:p w14:paraId="58912F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598,297,202.73</w:t>
            </w:r>
          </w:p>
        </w:tc>
      </w:tr>
    </w:tbl>
    <w:p w14:paraId="25FFA93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其他说明，包括本期增减变动情况、变动原因说明：</w:t>
      </w:r>
    </w:p>
    <w:p w14:paraId="0558EC4D">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根据本公司2024年第三次临时股东会议通过的《关于减少公司注册资本、变更经营范围、修订章程并办理工商变更登记的议案》，以及公司第三届董事会第二十四次会议决议，因公司层面2023年业绩考核未达标，公司回购并注销首次授予林明玲、马学沛2名激励对象对应当年已获授但尚未解除限售的第一类限制性股票合计128,000股，每股面值1元，回购价格为15.81元/股，本公司减少注册资本人民币128,000.00元，减少资本公积（资本溢价）1,908,480.00元。</w:t>
      </w:r>
    </w:p>
    <w:p w14:paraId="56C9221A">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根据本公司2023年第四次临时股东大会决议通过的《关于〈广东天亿马信息产业股份有限公司2023年限制性股票激励计划（草案修订稿）〉及其摘要的议案》以及本公司第三届董事会第十五次会议决议、第十七次会议决议，公司按照审议通过的限制性股票激励计划，本报告期内确认股份支付等待期费用9,511,837.79元，计入资本公积（其他资本公积）9,511,837.79元。</w:t>
      </w:r>
    </w:p>
    <w:p w14:paraId="29BDBFE6">
      <w:pPr>
        <w:pStyle w:val="3"/>
        <w:spacing w:line="280" w:lineRule="exact"/>
        <w:jc w:val="left"/>
        <w:rPr>
          <w:rFonts w:ascii="Times New Roman" w:hAnsi="Times New Roman" w:cs="Times New Roman" w:eastAsiaTheme="majorEastAsia"/>
          <w:b/>
          <w:bCs/>
        </w:rPr>
      </w:pPr>
      <w:bookmarkStart w:id="346" w:name="_Toc989235"/>
      <w:r>
        <w:rPr>
          <w:rFonts w:ascii="Times New Roman" w:hAnsi="Times New Roman" w:cs="Times New Roman" w:eastAsiaTheme="majorEastAsia"/>
          <w:b/>
          <w:bCs/>
        </w:rPr>
        <w:t>42、库存股</w:t>
      </w:r>
      <w:bookmarkEnd w:id="346"/>
    </w:p>
    <w:p w14:paraId="4735B0B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5DC09D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F3FF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F44B3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3CD7B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5A3A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94DF4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26753A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A3D54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股票回购义务</w:t>
            </w:r>
          </w:p>
        </w:tc>
        <w:tc>
          <w:tcPr>
            <w:tcW w:w="1928" w:type="dxa"/>
            <w:tcBorders>
              <w:top w:val="single" w:color="auto" w:sz="2" w:space="0"/>
              <w:left w:val="single" w:color="auto" w:sz="2" w:space="0"/>
              <w:bottom w:val="single" w:color="auto" w:sz="2" w:space="0"/>
              <w:right w:val="single" w:color="auto" w:sz="2" w:space="0"/>
            </w:tcBorders>
            <w:vAlign w:val="center"/>
          </w:tcPr>
          <w:p w14:paraId="6C2436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27,880,684.00</w:t>
            </w:r>
          </w:p>
        </w:tc>
        <w:tc>
          <w:tcPr>
            <w:tcW w:w="1928" w:type="dxa"/>
            <w:tcBorders>
              <w:top w:val="single" w:color="auto" w:sz="2" w:space="0"/>
              <w:left w:val="single" w:color="auto" w:sz="2" w:space="0"/>
              <w:bottom w:val="single" w:color="auto" w:sz="2" w:space="0"/>
              <w:right w:val="single" w:color="auto" w:sz="2" w:space="0"/>
            </w:tcBorders>
            <w:vAlign w:val="center"/>
          </w:tcPr>
          <w:p w14:paraId="79C5E3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27,011,568.07</w:t>
            </w:r>
          </w:p>
        </w:tc>
        <w:tc>
          <w:tcPr>
            <w:tcW w:w="1928" w:type="dxa"/>
            <w:tcBorders>
              <w:top w:val="single" w:color="auto" w:sz="2" w:space="0"/>
              <w:left w:val="single" w:color="auto" w:sz="2" w:space="0"/>
              <w:bottom w:val="single" w:color="auto" w:sz="2" w:space="0"/>
              <w:right w:val="single" w:color="auto" w:sz="2" w:space="0"/>
            </w:tcBorders>
            <w:vAlign w:val="center"/>
          </w:tcPr>
          <w:p w14:paraId="353E14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2,151,680.00</w:t>
            </w:r>
          </w:p>
        </w:tc>
        <w:tc>
          <w:tcPr>
            <w:tcW w:w="1928" w:type="dxa"/>
            <w:tcBorders>
              <w:top w:val="single" w:color="auto" w:sz="2" w:space="0"/>
              <w:left w:val="single" w:color="auto" w:sz="2" w:space="0"/>
              <w:bottom w:val="single" w:color="auto" w:sz="2" w:space="0"/>
              <w:right w:val="single" w:color="auto" w:sz="2" w:space="0"/>
            </w:tcBorders>
            <w:vAlign w:val="center"/>
          </w:tcPr>
          <w:p w14:paraId="272666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52,740,572.07</w:t>
            </w:r>
          </w:p>
        </w:tc>
      </w:tr>
      <w:tr w14:paraId="767B23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28BD9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200337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27,880,684.00</w:t>
            </w:r>
          </w:p>
        </w:tc>
        <w:tc>
          <w:tcPr>
            <w:tcW w:w="1928" w:type="dxa"/>
            <w:tcBorders>
              <w:top w:val="single" w:color="auto" w:sz="2" w:space="0"/>
              <w:left w:val="single" w:color="auto" w:sz="2" w:space="0"/>
              <w:bottom w:val="single" w:color="auto" w:sz="2" w:space="0"/>
              <w:right w:val="single" w:color="auto" w:sz="2" w:space="0"/>
            </w:tcBorders>
            <w:vAlign w:val="center"/>
          </w:tcPr>
          <w:p w14:paraId="06E2BD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27,011,568.07</w:t>
            </w:r>
          </w:p>
        </w:tc>
        <w:tc>
          <w:tcPr>
            <w:tcW w:w="1928" w:type="dxa"/>
            <w:tcBorders>
              <w:top w:val="single" w:color="auto" w:sz="2" w:space="0"/>
              <w:left w:val="single" w:color="auto" w:sz="2" w:space="0"/>
              <w:bottom w:val="single" w:color="auto" w:sz="2" w:space="0"/>
              <w:right w:val="single" w:color="auto" w:sz="2" w:space="0"/>
            </w:tcBorders>
            <w:vAlign w:val="center"/>
          </w:tcPr>
          <w:p w14:paraId="746D55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2,151,680.00</w:t>
            </w:r>
          </w:p>
        </w:tc>
        <w:tc>
          <w:tcPr>
            <w:tcW w:w="1928" w:type="dxa"/>
            <w:tcBorders>
              <w:top w:val="single" w:color="auto" w:sz="2" w:space="0"/>
              <w:left w:val="single" w:color="auto" w:sz="2" w:space="0"/>
              <w:bottom w:val="single" w:color="auto" w:sz="2" w:space="0"/>
              <w:right w:val="single" w:color="auto" w:sz="2" w:space="0"/>
            </w:tcBorders>
            <w:vAlign w:val="center"/>
          </w:tcPr>
          <w:p w14:paraId="0AEA9E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52,740,572.07</w:t>
            </w:r>
          </w:p>
        </w:tc>
      </w:tr>
    </w:tbl>
    <w:p w14:paraId="4DB098A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其他说明，包括本期增减变动情况、变动原因说明：</w:t>
      </w:r>
    </w:p>
    <w:p w14:paraId="7806D20B">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1、根据本公司2023年第四次临时股东大会决议通过的《关于〈广东天亿马信息产业股份有限公司2023年限制性股票激励计划（草案修订稿）〉及其摘要的议案》、《关于〈广东天亿马信息产业股份有限公司2023年员工持股计划（草案修订稿）〉及其摘要的议案》以及本公司第三届董事会第十五次会议决议、第十七次会议决议，公司按照限制性股票激励计划、员工持股计划，收到的股票认购款存在回购义务，本报告期内确认限制性股票回购义务27,011,568.07元。</w:t>
      </w:r>
    </w:p>
    <w:p w14:paraId="64FEF591">
      <w:pPr>
        <w:pStyle w:val="10"/>
        <w:spacing w:before="156" w:beforeLines="50" w:beforeAutospacing="0" w:after="156" w:afterLines="50" w:afterAutospacing="0"/>
        <w:ind w:firstLine="420" w:firstLineChars="20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2、本公司报告期内回购1,224,140.00股，支出27,011,568.07元；回购林明玲、马学沛128,000股，减少2,036,480.00元；派发2023年度现金红利（每10股派现金股利1.00元），减少115,200.00元。</w:t>
      </w:r>
    </w:p>
    <w:p w14:paraId="1606A3A0">
      <w:pPr>
        <w:pStyle w:val="3"/>
        <w:spacing w:line="280" w:lineRule="exact"/>
        <w:jc w:val="left"/>
        <w:rPr>
          <w:rFonts w:ascii="Times New Roman" w:hAnsi="Times New Roman" w:cs="Times New Roman" w:eastAsiaTheme="majorEastAsia"/>
          <w:b/>
          <w:bCs/>
        </w:rPr>
      </w:pPr>
      <w:bookmarkStart w:id="347" w:name="_Toc989236"/>
      <w:r>
        <w:rPr>
          <w:rFonts w:ascii="Times New Roman" w:hAnsi="Times New Roman" w:cs="Times New Roman" w:eastAsiaTheme="majorEastAsia"/>
          <w:b/>
          <w:bCs/>
        </w:rPr>
        <w:t>43、其他综合收益</w:t>
      </w:r>
      <w:bookmarkEnd w:id="347"/>
    </w:p>
    <w:p w14:paraId="024F04A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81"/>
        <w:gridCol w:w="916"/>
        <w:gridCol w:w="1088"/>
        <w:gridCol w:w="1355"/>
        <w:gridCol w:w="1452"/>
        <w:gridCol w:w="819"/>
        <w:gridCol w:w="1039"/>
        <w:gridCol w:w="786"/>
        <w:gridCol w:w="917"/>
      </w:tblGrid>
      <w:tr w14:paraId="3CB052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063D08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FC2A1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0" w:type="auto"/>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1B33B7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A3F9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78B684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84B273B">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97FE8D8">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9D7E4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本期所得税前发生额</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A037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减：前期计入其他综合收益当期转入损益</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6A98E21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减：前期计入其他综合收益当期转入留存收益</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B8BDC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减：所得税费用</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EAC440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税后归属于母公司</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CF6F7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税后归属于少数股东</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A012926">
            <w:pPr>
              <w:rPr>
                <w:rFonts w:ascii="Times New Roman" w:hAnsi="Times New Roman" w:cs="Times New Roman" w:eastAsiaTheme="majorEastAsia"/>
              </w:rPr>
            </w:pPr>
          </w:p>
        </w:tc>
      </w:tr>
      <w:tr w14:paraId="04F729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959ACF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一、不能重分类进损益的其他综合收益</w:t>
            </w:r>
          </w:p>
        </w:tc>
        <w:tc>
          <w:tcPr>
            <w:tcW w:w="0" w:type="auto"/>
            <w:tcBorders>
              <w:top w:val="single" w:color="auto" w:sz="2" w:space="0"/>
              <w:left w:val="single" w:color="auto" w:sz="2" w:space="0"/>
              <w:bottom w:val="single" w:color="auto" w:sz="2" w:space="0"/>
              <w:right w:val="single" w:color="auto" w:sz="2" w:space="0"/>
            </w:tcBorders>
            <w:vAlign w:val="center"/>
          </w:tcPr>
          <w:p w14:paraId="2E26B2F9">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7FABF98B">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6046A08">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8A8018D">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5C2D2D0">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42C8C03">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0317025">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C64C9F3">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r>
      <w:tr w14:paraId="6741B9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28F4FE6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其他权益工具投资公允价值变动</w:t>
            </w:r>
          </w:p>
        </w:tc>
        <w:tc>
          <w:tcPr>
            <w:tcW w:w="0" w:type="auto"/>
            <w:tcBorders>
              <w:top w:val="single" w:color="auto" w:sz="2" w:space="0"/>
              <w:left w:val="single" w:color="auto" w:sz="2" w:space="0"/>
              <w:bottom w:val="single" w:color="auto" w:sz="2" w:space="0"/>
              <w:right w:val="single" w:color="auto" w:sz="2" w:space="0"/>
            </w:tcBorders>
            <w:vAlign w:val="center"/>
          </w:tcPr>
          <w:p w14:paraId="5CC4F7F6">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c>
          <w:tcPr>
            <w:tcW w:w="0" w:type="auto"/>
            <w:tcBorders>
              <w:top w:val="single" w:color="auto" w:sz="2" w:space="0"/>
              <w:left w:val="single" w:color="auto" w:sz="2" w:space="0"/>
              <w:bottom w:val="single" w:color="auto" w:sz="2" w:space="0"/>
              <w:right w:val="single" w:color="auto" w:sz="2" w:space="0"/>
            </w:tcBorders>
            <w:vAlign w:val="center"/>
          </w:tcPr>
          <w:p w14:paraId="6EFA2643">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17861DF">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C0828C3">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73ED421">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EA8FFC2">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669EBD8">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43F4B64">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-269,110.00</w:t>
            </w:r>
          </w:p>
        </w:tc>
      </w:tr>
      <w:tr w14:paraId="21506E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04E5896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二、将重分类进损益的其他综合收益</w:t>
            </w:r>
          </w:p>
        </w:tc>
        <w:tc>
          <w:tcPr>
            <w:tcW w:w="0" w:type="auto"/>
            <w:tcBorders>
              <w:top w:val="single" w:color="auto" w:sz="2" w:space="0"/>
              <w:left w:val="single" w:color="auto" w:sz="2" w:space="0"/>
              <w:bottom w:val="single" w:color="auto" w:sz="2" w:space="0"/>
              <w:right w:val="single" w:color="auto" w:sz="2" w:space="0"/>
            </w:tcBorders>
            <w:vAlign w:val="center"/>
          </w:tcPr>
          <w:p w14:paraId="480BAA43">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-403,966.93</w:t>
            </w:r>
          </w:p>
        </w:tc>
        <w:tc>
          <w:tcPr>
            <w:tcW w:w="0" w:type="auto"/>
            <w:tcBorders>
              <w:top w:val="single" w:color="auto" w:sz="2" w:space="0"/>
              <w:left w:val="single" w:color="auto" w:sz="2" w:space="0"/>
              <w:bottom w:val="single" w:color="auto" w:sz="2" w:space="0"/>
              <w:right w:val="single" w:color="auto" w:sz="2" w:space="0"/>
            </w:tcBorders>
            <w:vAlign w:val="center"/>
          </w:tcPr>
          <w:p w14:paraId="3A5D6B0F">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601C3DD9">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3C35962">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E11E18C">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1168801">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52233807">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527F43A">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-333,931.44</w:t>
            </w:r>
          </w:p>
        </w:tc>
      </w:tr>
      <w:tr w14:paraId="70F36D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DA657B6">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外币财务报表折算差额</w:t>
            </w:r>
          </w:p>
        </w:tc>
        <w:tc>
          <w:tcPr>
            <w:tcW w:w="0" w:type="auto"/>
            <w:tcBorders>
              <w:top w:val="single" w:color="auto" w:sz="2" w:space="0"/>
              <w:left w:val="single" w:color="auto" w:sz="2" w:space="0"/>
              <w:bottom w:val="single" w:color="auto" w:sz="2" w:space="0"/>
              <w:right w:val="single" w:color="auto" w:sz="2" w:space="0"/>
            </w:tcBorders>
            <w:vAlign w:val="center"/>
          </w:tcPr>
          <w:p w14:paraId="7840330E">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-403,966.93</w:t>
            </w:r>
          </w:p>
        </w:tc>
        <w:tc>
          <w:tcPr>
            <w:tcW w:w="0" w:type="auto"/>
            <w:tcBorders>
              <w:top w:val="single" w:color="auto" w:sz="2" w:space="0"/>
              <w:left w:val="single" w:color="auto" w:sz="2" w:space="0"/>
              <w:bottom w:val="single" w:color="auto" w:sz="2" w:space="0"/>
              <w:right w:val="single" w:color="auto" w:sz="2" w:space="0"/>
            </w:tcBorders>
            <w:vAlign w:val="center"/>
          </w:tcPr>
          <w:p w14:paraId="028A59D6">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2179FBAE">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5BF7904">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C5D4F6A">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C645983">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052A47DA">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9D2CEB2">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-333,931.44</w:t>
            </w:r>
          </w:p>
        </w:tc>
      </w:tr>
      <w:tr w14:paraId="2E57EF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5BFDE1D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其他综合收益合计</w:t>
            </w:r>
          </w:p>
        </w:tc>
        <w:tc>
          <w:tcPr>
            <w:tcW w:w="0" w:type="auto"/>
            <w:tcBorders>
              <w:top w:val="single" w:color="auto" w:sz="2" w:space="0"/>
              <w:left w:val="single" w:color="auto" w:sz="2" w:space="0"/>
              <w:bottom w:val="single" w:color="auto" w:sz="2" w:space="0"/>
              <w:right w:val="single" w:color="auto" w:sz="2" w:space="0"/>
            </w:tcBorders>
            <w:vAlign w:val="center"/>
          </w:tcPr>
          <w:p w14:paraId="2EF0902D">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-673,076.93</w:t>
            </w:r>
          </w:p>
        </w:tc>
        <w:tc>
          <w:tcPr>
            <w:tcW w:w="0" w:type="auto"/>
            <w:tcBorders>
              <w:top w:val="single" w:color="auto" w:sz="2" w:space="0"/>
              <w:left w:val="single" w:color="auto" w:sz="2" w:space="0"/>
              <w:bottom w:val="single" w:color="auto" w:sz="2" w:space="0"/>
              <w:right w:val="single" w:color="auto" w:sz="2" w:space="0"/>
            </w:tcBorders>
            <w:vAlign w:val="center"/>
          </w:tcPr>
          <w:p w14:paraId="04F80E73">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2A01C7DA">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C2391CD">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E9FB227">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5516AAB">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70,035.49</w:t>
            </w:r>
          </w:p>
        </w:tc>
        <w:tc>
          <w:tcPr>
            <w:tcW w:w="0" w:type="auto"/>
            <w:tcBorders>
              <w:top w:val="single" w:color="auto" w:sz="2" w:space="0"/>
              <w:left w:val="single" w:color="auto" w:sz="2" w:space="0"/>
              <w:bottom w:val="single" w:color="auto" w:sz="2" w:space="0"/>
              <w:right w:val="single" w:color="auto" w:sz="2" w:space="0"/>
            </w:tcBorders>
            <w:vAlign w:val="center"/>
          </w:tcPr>
          <w:p w14:paraId="79115BB9">
            <w:pPr>
              <w:spacing w:line="240" w:lineRule="exact"/>
              <w:ind w:left="-63" w:leftChars="-30" w:right="-63" w:rightChars="-30"/>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5E608117">
            <w:pPr>
              <w:spacing w:line="240" w:lineRule="exact"/>
              <w:ind w:left="-63" w:leftChars="-30" w:right="-63" w:rightChars="-30"/>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-603,041.44</w:t>
            </w:r>
          </w:p>
        </w:tc>
      </w:tr>
    </w:tbl>
    <w:p w14:paraId="4216A15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其他说明，包括对现金流量套期损益的有效部分转为被套期项目初始确认金额调整：无。</w:t>
      </w:r>
    </w:p>
    <w:p w14:paraId="753EBC7F">
      <w:pPr>
        <w:pStyle w:val="3"/>
        <w:spacing w:line="280" w:lineRule="exact"/>
        <w:jc w:val="left"/>
        <w:rPr>
          <w:rFonts w:ascii="Times New Roman" w:hAnsi="Times New Roman" w:cs="Times New Roman" w:eastAsiaTheme="majorEastAsia"/>
          <w:b/>
          <w:bCs/>
        </w:rPr>
      </w:pPr>
      <w:bookmarkStart w:id="348" w:name="_Toc989237"/>
      <w:r>
        <w:rPr>
          <w:rFonts w:ascii="Times New Roman" w:hAnsi="Times New Roman" w:cs="Times New Roman" w:eastAsiaTheme="majorEastAsia"/>
          <w:b/>
          <w:bCs/>
        </w:rPr>
        <w:t>44、盈余公积</w:t>
      </w:r>
      <w:bookmarkEnd w:id="348"/>
    </w:p>
    <w:p w14:paraId="544F6A1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67B94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C90E7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B45C55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54E8D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D9FE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439FCD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04ECDB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10FEB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法定盈余公积</w:t>
            </w:r>
          </w:p>
        </w:tc>
        <w:tc>
          <w:tcPr>
            <w:tcW w:w="1928" w:type="dxa"/>
            <w:tcBorders>
              <w:top w:val="single" w:color="auto" w:sz="2" w:space="0"/>
              <w:left w:val="single" w:color="auto" w:sz="2" w:space="0"/>
              <w:bottom w:val="single" w:color="auto" w:sz="2" w:space="0"/>
              <w:right w:val="single" w:color="auto" w:sz="2" w:space="0"/>
            </w:tcBorders>
            <w:vAlign w:val="center"/>
          </w:tcPr>
          <w:p w14:paraId="5C6C8C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c>
          <w:tcPr>
            <w:tcW w:w="1928" w:type="dxa"/>
            <w:tcBorders>
              <w:top w:val="single" w:color="auto" w:sz="2" w:space="0"/>
              <w:left w:val="single" w:color="auto" w:sz="2" w:space="0"/>
              <w:bottom w:val="single" w:color="auto" w:sz="2" w:space="0"/>
              <w:right w:val="single" w:color="auto" w:sz="2" w:space="0"/>
            </w:tcBorders>
            <w:vAlign w:val="center"/>
          </w:tcPr>
          <w:p w14:paraId="03E5DF6B">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7A7259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ED23B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r>
      <w:tr w14:paraId="1B408C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10B11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425205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c>
          <w:tcPr>
            <w:tcW w:w="1928" w:type="dxa"/>
            <w:tcBorders>
              <w:top w:val="single" w:color="auto" w:sz="2" w:space="0"/>
              <w:left w:val="single" w:color="auto" w:sz="2" w:space="0"/>
              <w:bottom w:val="single" w:color="auto" w:sz="2" w:space="0"/>
              <w:right w:val="single" w:color="auto" w:sz="2" w:space="0"/>
            </w:tcBorders>
            <w:vAlign w:val="center"/>
          </w:tcPr>
          <w:p w14:paraId="4FADB50E">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56EDD5D">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75884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25,904,440.33</w:t>
            </w:r>
          </w:p>
        </w:tc>
      </w:tr>
    </w:tbl>
    <w:p w14:paraId="4CC048D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盈余公积说明，包括本期增减变动情况、变动原因说明：不适用。</w:t>
      </w:r>
    </w:p>
    <w:p w14:paraId="56F17716">
      <w:pPr>
        <w:pStyle w:val="3"/>
        <w:spacing w:line="280" w:lineRule="exact"/>
        <w:jc w:val="left"/>
        <w:rPr>
          <w:rFonts w:ascii="Times New Roman" w:hAnsi="Times New Roman" w:cs="Times New Roman" w:eastAsiaTheme="majorEastAsia"/>
          <w:b/>
          <w:bCs/>
        </w:rPr>
      </w:pPr>
      <w:bookmarkStart w:id="349" w:name="_Toc989238"/>
      <w:r>
        <w:rPr>
          <w:rFonts w:ascii="Times New Roman" w:hAnsi="Times New Roman" w:cs="Times New Roman" w:eastAsiaTheme="majorEastAsia"/>
          <w:b/>
          <w:bCs/>
        </w:rPr>
        <w:t>45、未分配利润</w:t>
      </w:r>
      <w:bookmarkEnd w:id="349"/>
    </w:p>
    <w:p w14:paraId="30F73FC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3DD0A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2EBF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36960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6BFA4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w:t>
            </w:r>
          </w:p>
        </w:tc>
      </w:tr>
      <w:tr w14:paraId="0A03437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D8C84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调整前上期末未分配利润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1F2E8D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176,446,442.34</w:t>
            </w:r>
          </w:p>
        </w:tc>
        <w:tc>
          <w:tcPr>
            <w:tcW w:w="3213" w:type="dxa"/>
            <w:tcBorders>
              <w:top w:val="single" w:color="auto" w:sz="2" w:space="0"/>
              <w:left w:val="single" w:color="auto" w:sz="2" w:space="0"/>
              <w:bottom w:val="single" w:color="auto" w:sz="2" w:space="0"/>
              <w:right w:val="single" w:color="auto" w:sz="2" w:space="0"/>
            </w:tcBorders>
            <w:vAlign w:val="center"/>
          </w:tcPr>
          <w:p w14:paraId="03B13A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175,333,930.42</w:t>
            </w:r>
          </w:p>
        </w:tc>
      </w:tr>
      <w:tr w14:paraId="276A6F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3629D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调整后期初未分配利润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0E07F8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176,446,442.34</w:t>
            </w:r>
          </w:p>
        </w:tc>
        <w:tc>
          <w:tcPr>
            <w:tcW w:w="3213" w:type="dxa"/>
            <w:tcBorders>
              <w:top w:val="single" w:color="auto" w:sz="2" w:space="0"/>
              <w:left w:val="single" w:color="auto" w:sz="2" w:space="0"/>
              <w:bottom w:val="single" w:color="auto" w:sz="2" w:space="0"/>
              <w:right w:val="single" w:color="auto" w:sz="2" w:space="0"/>
            </w:tcBorders>
            <w:vAlign w:val="center"/>
          </w:tcPr>
          <w:p w14:paraId="064D4A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175,333,930.42</w:t>
            </w:r>
          </w:p>
        </w:tc>
      </w:tr>
      <w:tr w14:paraId="1935A2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53E64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加：本期归属于母公司所有者的净利润</w:t>
            </w:r>
          </w:p>
        </w:tc>
        <w:tc>
          <w:tcPr>
            <w:tcW w:w="3213" w:type="dxa"/>
            <w:tcBorders>
              <w:top w:val="single" w:color="auto" w:sz="2" w:space="0"/>
              <w:left w:val="single" w:color="auto" w:sz="2" w:space="0"/>
              <w:bottom w:val="single" w:color="auto" w:sz="2" w:space="0"/>
              <w:right w:val="single" w:color="auto" w:sz="2" w:space="0"/>
            </w:tcBorders>
            <w:vAlign w:val="center"/>
          </w:tcPr>
          <w:p w14:paraId="3B6814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-49,552,838.46</w:t>
            </w:r>
          </w:p>
        </w:tc>
        <w:tc>
          <w:tcPr>
            <w:tcW w:w="3213" w:type="dxa"/>
            <w:tcBorders>
              <w:top w:val="single" w:color="auto" w:sz="2" w:space="0"/>
              <w:left w:val="single" w:color="auto" w:sz="2" w:space="0"/>
              <w:bottom w:val="single" w:color="auto" w:sz="2" w:space="0"/>
              <w:right w:val="single" w:color="auto" w:sz="2" w:space="0"/>
            </w:tcBorders>
            <w:vAlign w:val="center"/>
          </w:tcPr>
          <w:p w14:paraId="1BFF75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6,389,000.49</w:t>
            </w:r>
          </w:p>
        </w:tc>
      </w:tr>
      <w:tr w14:paraId="014B13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71ABEF2">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应付普通股股利</w:t>
            </w:r>
          </w:p>
        </w:tc>
        <w:tc>
          <w:tcPr>
            <w:tcW w:w="3213" w:type="dxa"/>
            <w:tcBorders>
              <w:top w:val="single" w:color="auto" w:sz="2" w:space="0"/>
              <w:left w:val="single" w:color="auto" w:sz="2" w:space="0"/>
              <w:bottom w:val="single" w:color="auto" w:sz="2" w:space="0"/>
              <w:right w:val="single" w:color="auto" w:sz="2" w:space="0"/>
            </w:tcBorders>
            <w:vAlign w:val="center"/>
          </w:tcPr>
          <w:p w14:paraId="2D0EDA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6,610,266.00</w:t>
            </w:r>
          </w:p>
        </w:tc>
        <w:tc>
          <w:tcPr>
            <w:tcW w:w="3213" w:type="dxa"/>
            <w:tcBorders>
              <w:top w:val="single" w:color="auto" w:sz="2" w:space="0"/>
              <w:left w:val="single" w:color="auto" w:sz="2" w:space="0"/>
              <w:bottom w:val="single" w:color="auto" w:sz="2" w:space="0"/>
              <w:right w:val="single" w:color="auto" w:sz="2" w:space="0"/>
            </w:tcBorders>
            <w:vAlign w:val="center"/>
          </w:tcPr>
          <w:p w14:paraId="60EC86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5,276,488.57</w:t>
            </w:r>
          </w:p>
        </w:tc>
      </w:tr>
      <w:tr w14:paraId="1C0FA8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9F81A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期末未分配利润</w:t>
            </w:r>
          </w:p>
        </w:tc>
        <w:tc>
          <w:tcPr>
            <w:tcW w:w="3213" w:type="dxa"/>
            <w:tcBorders>
              <w:top w:val="single" w:color="auto" w:sz="2" w:space="0"/>
              <w:left w:val="single" w:color="auto" w:sz="2" w:space="0"/>
              <w:bottom w:val="single" w:color="auto" w:sz="2" w:space="0"/>
              <w:right w:val="single" w:color="auto" w:sz="2" w:space="0"/>
            </w:tcBorders>
            <w:vAlign w:val="center"/>
          </w:tcPr>
          <w:p w14:paraId="207309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120,283,337.88</w:t>
            </w:r>
          </w:p>
        </w:tc>
        <w:tc>
          <w:tcPr>
            <w:tcW w:w="3213" w:type="dxa"/>
            <w:tcBorders>
              <w:top w:val="single" w:color="auto" w:sz="2" w:space="0"/>
              <w:left w:val="single" w:color="auto" w:sz="2" w:space="0"/>
              <w:bottom w:val="single" w:color="auto" w:sz="2" w:space="0"/>
              <w:right w:val="single" w:color="auto" w:sz="2" w:space="0"/>
            </w:tcBorders>
            <w:vAlign w:val="center"/>
          </w:tcPr>
          <w:p w14:paraId="0E4C08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176,446,442.34</w:t>
            </w:r>
          </w:p>
        </w:tc>
      </w:tr>
    </w:tbl>
    <w:p w14:paraId="69DDE94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调整期初未分配利润明细：</w:t>
      </w:r>
    </w:p>
    <w:p w14:paraId="0FFB038F">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1）由于《企业会计准则》及其相关新规定进行追溯调整，影响期初未分配利润0.00元。</w:t>
      </w:r>
    </w:p>
    <w:p w14:paraId="06F2CC34">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2）由于会计政策变更，影响期初未分配利润0.00元。</w:t>
      </w:r>
    </w:p>
    <w:p w14:paraId="3E9FC7B0">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3）由于重大会计差错更正，影响期初未分配利润0.00元。</w:t>
      </w:r>
    </w:p>
    <w:p w14:paraId="5B9C8CE1">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4）由于同一控制导致的合并范围变更，影响期初未分配利润0.00元。</w:t>
      </w:r>
    </w:p>
    <w:p w14:paraId="686CAC2F">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5）其他调整合计影响期初未分配利润0.00元。</w:t>
      </w:r>
    </w:p>
    <w:p w14:paraId="68FCD4C1">
      <w:pPr>
        <w:pStyle w:val="3"/>
        <w:spacing w:line="280" w:lineRule="exact"/>
        <w:jc w:val="left"/>
        <w:rPr>
          <w:rFonts w:ascii="Times New Roman" w:hAnsi="Times New Roman" w:cs="Times New Roman" w:eastAsiaTheme="majorEastAsia"/>
          <w:b/>
          <w:bCs/>
        </w:rPr>
      </w:pPr>
      <w:bookmarkStart w:id="350" w:name="_Toc989239"/>
      <w:r>
        <w:rPr>
          <w:rFonts w:ascii="Times New Roman" w:hAnsi="Times New Roman" w:cs="Times New Roman" w:eastAsiaTheme="majorEastAsia"/>
          <w:b/>
          <w:bCs/>
        </w:rPr>
        <w:t>46、营业收入和营业成本</w:t>
      </w:r>
      <w:bookmarkEnd w:id="350"/>
    </w:p>
    <w:p w14:paraId="7FFC383B">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1A89C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9F59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1339B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22C1A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6B994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EA0A5EF">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63A19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D705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6A56B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1608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成本</w:t>
            </w:r>
          </w:p>
        </w:tc>
      </w:tr>
      <w:tr w14:paraId="4CE3A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86EAB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78B517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222,149,039.25</w:t>
            </w:r>
          </w:p>
        </w:tc>
        <w:tc>
          <w:tcPr>
            <w:tcW w:w="1928" w:type="dxa"/>
            <w:tcBorders>
              <w:top w:val="single" w:color="auto" w:sz="2" w:space="0"/>
              <w:left w:val="single" w:color="auto" w:sz="2" w:space="0"/>
              <w:bottom w:val="single" w:color="auto" w:sz="2" w:space="0"/>
              <w:right w:val="single" w:color="auto" w:sz="2" w:space="0"/>
            </w:tcBorders>
            <w:vAlign w:val="center"/>
          </w:tcPr>
          <w:p w14:paraId="600AEC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194,156,829.92</w:t>
            </w:r>
          </w:p>
        </w:tc>
        <w:tc>
          <w:tcPr>
            <w:tcW w:w="1928" w:type="dxa"/>
            <w:tcBorders>
              <w:top w:val="single" w:color="auto" w:sz="2" w:space="0"/>
              <w:left w:val="single" w:color="auto" w:sz="2" w:space="0"/>
              <w:bottom w:val="single" w:color="auto" w:sz="2" w:space="0"/>
              <w:right w:val="single" w:color="auto" w:sz="2" w:space="0"/>
            </w:tcBorders>
            <w:vAlign w:val="center"/>
          </w:tcPr>
          <w:p w14:paraId="5D773F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407,374,161.93</w:t>
            </w:r>
          </w:p>
        </w:tc>
        <w:tc>
          <w:tcPr>
            <w:tcW w:w="1928" w:type="dxa"/>
            <w:tcBorders>
              <w:top w:val="single" w:color="auto" w:sz="2" w:space="0"/>
              <w:left w:val="single" w:color="auto" w:sz="2" w:space="0"/>
              <w:bottom w:val="single" w:color="auto" w:sz="2" w:space="0"/>
              <w:right w:val="single" w:color="auto" w:sz="2" w:space="0"/>
            </w:tcBorders>
            <w:vAlign w:val="center"/>
          </w:tcPr>
          <w:p w14:paraId="347430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327,026,981.17</w:t>
            </w:r>
          </w:p>
        </w:tc>
      </w:tr>
      <w:tr w14:paraId="1F7006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371177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6E6DBC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928" w:type="dxa"/>
            <w:tcBorders>
              <w:top w:val="single" w:color="auto" w:sz="2" w:space="0"/>
              <w:left w:val="single" w:color="auto" w:sz="2" w:space="0"/>
              <w:bottom w:val="single" w:color="auto" w:sz="2" w:space="0"/>
              <w:right w:val="single" w:color="auto" w:sz="2" w:space="0"/>
            </w:tcBorders>
            <w:vAlign w:val="center"/>
          </w:tcPr>
          <w:p w14:paraId="0A69997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BF498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928" w:type="dxa"/>
            <w:tcBorders>
              <w:top w:val="single" w:color="auto" w:sz="2" w:space="0"/>
              <w:left w:val="single" w:color="auto" w:sz="2" w:space="0"/>
              <w:bottom w:val="single" w:color="auto" w:sz="2" w:space="0"/>
              <w:right w:val="single" w:color="auto" w:sz="2" w:space="0"/>
            </w:tcBorders>
            <w:vAlign w:val="center"/>
          </w:tcPr>
          <w:p w14:paraId="6F2AFF4D">
            <w:pPr>
              <w:spacing w:line="240" w:lineRule="exact"/>
              <w:jc w:val="right"/>
              <w:rPr>
                <w:rFonts w:ascii="Times New Roman" w:hAnsi="Times New Roman" w:cs="Times New Roman" w:eastAsiaTheme="majorEastAsia"/>
                <w:sz w:val="18"/>
                <w:szCs w:val="18"/>
              </w:rPr>
            </w:pPr>
          </w:p>
        </w:tc>
      </w:tr>
      <w:tr w14:paraId="5C3379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672B60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38A1C7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1928" w:type="dxa"/>
            <w:tcBorders>
              <w:top w:val="single" w:color="auto" w:sz="2" w:space="0"/>
              <w:left w:val="single" w:color="auto" w:sz="2" w:space="0"/>
              <w:bottom w:val="single" w:color="auto" w:sz="2" w:space="0"/>
              <w:right w:val="single" w:color="auto" w:sz="2" w:space="0"/>
            </w:tcBorders>
            <w:vAlign w:val="center"/>
          </w:tcPr>
          <w:p w14:paraId="53CE89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194,156,829.92</w:t>
            </w:r>
          </w:p>
        </w:tc>
        <w:tc>
          <w:tcPr>
            <w:tcW w:w="1928" w:type="dxa"/>
            <w:tcBorders>
              <w:top w:val="single" w:color="auto" w:sz="2" w:space="0"/>
              <w:left w:val="single" w:color="auto" w:sz="2" w:space="0"/>
              <w:bottom w:val="single" w:color="auto" w:sz="2" w:space="0"/>
              <w:right w:val="single" w:color="auto" w:sz="2" w:space="0"/>
            </w:tcBorders>
            <w:vAlign w:val="center"/>
          </w:tcPr>
          <w:p w14:paraId="2A10FD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1928" w:type="dxa"/>
            <w:tcBorders>
              <w:top w:val="single" w:color="auto" w:sz="2" w:space="0"/>
              <w:left w:val="single" w:color="auto" w:sz="2" w:space="0"/>
              <w:bottom w:val="single" w:color="auto" w:sz="2" w:space="0"/>
              <w:right w:val="single" w:color="auto" w:sz="2" w:space="0"/>
            </w:tcBorders>
            <w:vAlign w:val="center"/>
          </w:tcPr>
          <w:p w14:paraId="5ED0B2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327,026,981.17</w:t>
            </w:r>
          </w:p>
        </w:tc>
      </w:tr>
    </w:tbl>
    <w:p w14:paraId="1F6053B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经审计扣除非经常损益前后净利润孰低是否为负值</w:t>
      </w:r>
    </w:p>
    <w:p w14:paraId="245905E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是</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否</w:t>
      </w:r>
    </w:p>
    <w:p w14:paraId="6E5E066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9D59B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77E95F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889D8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本年度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4FB0A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具体扣除情况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97FF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上年度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10ABC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具体扣除情况</w:t>
            </w:r>
          </w:p>
        </w:tc>
      </w:tr>
      <w:tr w14:paraId="270D17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591ECD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营业收入金额</w:t>
            </w:r>
          </w:p>
        </w:tc>
        <w:tc>
          <w:tcPr>
            <w:tcW w:w="1928" w:type="dxa"/>
            <w:tcBorders>
              <w:top w:val="single" w:color="auto" w:sz="2" w:space="0"/>
              <w:left w:val="single" w:color="auto" w:sz="2" w:space="0"/>
              <w:bottom w:val="single" w:color="auto" w:sz="2" w:space="0"/>
              <w:right w:val="single" w:color="auto" w:sz="2" w:space="0"/>
            </w:tcBorders>
            <w:vAlign w:val="center"/>
          </w:tcPr>
          <w:p w14:paraId="269D55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223,633,009.11</w:t>
            </w:r>
          </w:p>
        </w:tc>
        <w:tc>
          <w:tcPr>
            <w:tcW w:w="1928" w:type="dxa"/>
            <w:tcBorders>
              <w:top w:val="single" w:color="auto" w:sz="2" w:space="0"/>
              <w:left w:val="single" w:color="auto" w:sz="2" w:space="0"/>
              <w:bottom w:val="single" w:color="auto" w:sz="2" w:space="0"/>
              <w:right w:val="single" w:color="auto" w:sz="2" w:space="0"/>
            </w:tcBorders>
            <w:vAlign w:val="center"/>
          </w:tcPr>
          <w:p w14:paraId="3D7857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未扣除前本期营业收入金额</w:t>
            </w:r>
          </w:p>
        </w:tc>
        <w:tc>
          <w:tcPr>
            <w:tcW w:w="1928" w:type="dxa"/>
            <w:tcBorders>
              <w:top w:val="single" w:color="auto" w:sz="2" w:space="0"/>
              <w:left w:val="single" w:color="auto" w:sz="2" w:space="0"/>
              <w:bottom w:val="single" w:color="auto" w:sz="2" w:space="0"/>
              <w:right w:val="single" w:color="auto" w:sz="2" w:space="0"/>
            </w:tcBorders>
            <w:vAlign w:val="center"/>
          </w:tcPr>
          <w:p w14:paraId="322F74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410,009,814.78</w:t>
            </w:r>
          </w:p>
        </w:tc>
        <w:tc>
          <w:tcPr>
            <w:tcW w:w="1928" w:type="dxa"/>
            <w:tcBorders>
              <w:top w:val="single" w:color="auto" w:sz="2" w:space="0"/>
              <w:left w:val="single" w:color="auto" w:sz="2" w:space="0"/>
              <w:bottom w:val="single" w:color="auto" w:sz="2" w:space="0"/>
              <w:right w:val="single" w:color="auto" w:sz="2" w:space="0"/>
            </w:tcBorders>
            <w:vAlign w:val="center"/>
          </w:tcPr>
          <w:p w14:paraId="6869E5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r w14:paraId="5A1139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543E3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营业收入扣除项目合计金额</w:t>
            </w:r>
          </w:p>
        </w:tc>
        <w:tc>
          <w:tcPr>
            <w:tcW w:w="1928" w:type="dxa"/>
            <w:tcBorders>
              <w:top w:val="single" w:color="auto" w:sz="2" w:space="0"/>
              <w:left w:val="single" w:color="auto" w:sz="2" w:space="0"/>
              <w:bottom w:val="single" w:color="auto" w:sz="2" w:space="0"/>
              <w:right w:val="single" w:color="auto" w:sz="2" w:space="0"/>
            </w:tcBorders>
            <w:vAlign w:val="center"/>
          </w:tcPr>
          <w:p w14:paraId="714860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928" w:type="dxa"/>
            <w:tcBorders>
              <w:top w:val="single" w:color="auto" w:sz="2" w:space="0"/>
              <w:left w:val="single" w:color="auto" w:sz="2" w:space="0"/>
              <w:bottom w:val="single" w:color="auto" w:sz="2" w:space="0"/>
              <w:right w:val="single" w:color="auto" w:sz="2" w:space="0"/>
            </w:tcBorders>
            <w:vAlign w:val="center"/>
          </w:tcPr>
          <w:p w14:paraId="520A43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本期以及上期新增贸易业务</w:t>
            </w:r>
          </w:p>
        </w:tc>
        <w:tc>
          <w:tcPr>
            <w:tcW w:w="1928" w:type="dxa"/>
            <w:tcBorders>
              <w:top w:val="single" w:color="auto" w:sz="2" w:space="0"/>
              <w:left w:val="single" w:color="auto" w:sz="2" w:space="0"/>
              <w:bottom w:val="single" w:color="auto" w:sz="2" w:space="0"/>
              <w:right w:val="single" w:color="auto" w:sz="2" w:space="0"/>
            </w:tcBorders>
            <w:vAlign w:val="center"/>
          </w:tcPr>
          <w:p w14:paraId="2F6C4E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928" w:type="dxa"/>
            <w:tcBorders>
              <w:top w:val="single" w:color="auto" w:sz="2" w:space="0"/>
              <w:left w:val="single" w:color="auto" w:sz="2" w:space="0"/>
              <w:bottom w:val="single" w:color="auto" w:sz="2" w:space="0"/>
              <w:right w:val="single" w:color="auto" w:sz="2" w:space="0"/>
            </w:tcBorders>
            <w:vAlign w:val="center"/>
          </w:tcPr>
          <w:p w14:paraId="229C4C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r w14:paraId="3A38DE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026F3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营业收入扣除项目合计金额占营业收入的比重</w:t>
            </w:r>
          </w:p>
        </w:tc>
        <w:tc>
          <w:tcPr>
            <w:tcW w:w="1928" w:type="dxa"/>
            <w:tcBorders>
              <w:top w:val="single" w:color="auto" w:sz="2" w:space="0"/>
              <w:left w:val="single" w:color="auto" w:sz="2" w:space="0"/>
              <w:bottom w:val="single" w:color="auto" w:sz="2" w:space="0"/>
              <w:right w:val="single" w:color="auto" w:sz="2" w:space="0"/>
            </w:tcBorders>
            <w:vAlign w:val="center"/>
          </w:tcPr>
          <w:p w14:paraId="09DB50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0.66%</w:t>
            </w:r>
          </w:p>
        </w:tc>
        <w:tc>
          <w:tcPr>
            <w:tcW w:w="1928" w:type="dxa"/>
            <w:tcBorders>
              <w:top w:val="single" w:color="auto" w:sz="2" w:space="0"/>
              <w:left w:val="single" w:color="auto" w:sz="2" w:space="0"/>
              <w:bottom w:val="single" w:color="auto" w:sz="2" w:space="0"/>
              <w:right w:val="single" w:color="auto" w:sz="2" w:space="0"/>
            </w:tcBorders>
            <w:vAlign w:val="center"/>
          </w:tcPr>
          <w:p w14:paraId="5652C93B">
            <w:pPr>
              <w:spacing w:line="240" w:lineRule="exac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A5846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0.64%</w:t>
            </w:r>
          </w:p>
        </w:tc>
        <w:tc>
          <w:tcPr>
            <w:tcW w:w="1928" w:type="dxa"/>
            <w:tcBorders>
              <w:top w:val="single" w:color="auto" w:sz="2" w:space="0"/>
              <w:left w:val="single" w:color="auto" w:sz="2" w:space="0"/>
              <w:bottom w:val="single" w:color="auto" w:sz="2" w:space="0"/>
              <w:right w:val="single" w:color="auto" w:sz="2" w:space="0"/>
            </w:tcBorders>
            <w:vAlign w:val="center"/>
          </w:tcPr>
          <w:p w14:paraId="3493B3FE">
            <w:pPr>
              <w:spacing w:line="240" w:lineRule="exact"/>
              <w:rPr>
                <w:rFonts w:ascii="Times New Roman" w:hAnsi="Times New Roman" w:cs="Times New Roman" w:eastAsiaTheme="majorEastAsia"/>
                <w:sz w:val="18"/>
                <w:szCs w:val="18"/>
              </w:rPr>
            </w:pPr>
          </w:p>
        </w:tc>
      </w:tr>
      <w:tr w14:paraId="7F411E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2546A9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一、与主营业务无关的业务收入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50C256">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BBAEDBA">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78ED23">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8D1F234">
            <w:pPr>
              <w:rPr>
                <w:rFonts w:ascii="Times New Roman" w:hAnsi="Times New Roman" w:cs="Times New Roman" w:eastAsiaTheme="majorEastAsia"/>
              </w:rPr>
            </w:pPr>
          </w:p>
        </w:tc>
      </w:tr>
      <w:tr w14:paraId="5C8BE1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2AE014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3.本会计年度以及上一会计年度新增贸易业务所产生的收入。</w:t>
            </w:r>
          </w:p>
        </w:tc>
        <w:tc>
          <w:tcPr>
            <w:tcW w:w="1928" w:type="dxa"/>
            <w:tcBorders>
              <w:top w:val="single" w:color="auto" w:sz="2" w:space="0"/>
              <w:left w:val="single" w:color="auto" w:sz="2" w:space="0"/>
              <w:bottom w:val="single" w:color="auto" w:sz="2" w:space="0"/>
              <w:right w:val="single" w:color="auto" w:sz="2" w:space="0"/>
            </w:tcBorders>
            <w:vAlign w:val="center"/>
          </w:tcPr>
          <w:p w14:paraId="7F875EA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928" w:type="dxa"/>
            <w:tcBorders>
              <w:top w:val="single" w:color="auto" w:sz="2" w:space="0"/>
              <w:left w:val="single" w:color="auto" w:sz="2" w:space="0"/>
              <w:bottom w:val="single" w:color="auto" w:sz="2" w:space="0"/>
              <w:right w:val="single" w:color="auto" w:sz="2" w:space="0"/>
            </w:tcBorders>
            <w:vAlign w:val="center"/>
          </w:tcPr>
          <w:p w14:paraId="043E5D8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本期以及上期新增贸易业务</w:t>
            </w:r>
          </w:p>
        </w:tc>
        <w:tc>
          <w:tcPr>
            <w:tcW w:w="1928" w:type="dxa"/>
            <w:tcBorders>
              <w:top w:val="single" w:color="auto" w:sz="2" w:space="0"/>
              <w:left w:val="single" w:color="auto" w:sz="2" w:space="0"/>
              <w:bottom w:val="single" w:color="auto" w:sz="2" w:space="0"/>
              <w:right w:val="single" w:color="auto" w:sz="2" w:space="0"/>
            </w:tcBorders>
            <w:vAlign w:val="center"/>
          </w:tcPr>
          <w:p w14:paraId="1B581A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928" w:type="dxa"/>
            <w:tcBorders>
              <w:top w:val="single" w:color="auto" w:sz="2" w:space="0"/>
              <w:left w:val="single" w:color="auto" w:sz="2" w:space="0"/>
              <w:bottom w:val="single" w:color="auto" w:sz="2" w:space="0"/>
              <w:right w:val="single" w:color="auto" w:sz="2" w:space="0"/>
            </w:tcBorders>
            <w:vAlign w:val="center"/>
          </w:tcPr>
          <w:p w14:paraId="1093400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r w14:paraId="355A5B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78D76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与主营业务无关的业务收入小计</w:t>
            </w:r>
          </w:p>
        </w:tc>
        <w:tc>
          <w:tcPr>
            <w:tcW w:w="1928" w:type="dxa"/>
            <w:tcBorders>
              <w:top w:val="single" w:color="auto" w:sz="2" w:space="0"/>
              <w:left w:val="single" w:color="auto" w:sz="2" w:space="0"/>
              <w:bottom w:val="single" w:color="auto" w:sz="2" w:space="0"/>
              <w:right w:val="single" w:color="auto" w:sz="2" w:space="0"/>
            </w:tcBorders>
            <w:vAlign w:val="center"/>
          </w:tcPr>
          <w:p w14:paraId="79F4D3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928" w:type="dxa"/>
            <w:tcBorders>
              <w:top w:val="single" w:color="auto" w:sz="2" w:space="0"/>
              <w:left w:val="single" w:color="auto" w:sz="2" w:space="0"/>
              <w:bottom w:val="single" w:color="auto" w:sz="2" w:space="0"/>
              <w:right w:val="single" w:color="auto" w:sz="2" w:space="0"/>
            </w:tcBorders>
            <w:vAlign w:val="center"/>
          </w:tcPr>
          <w:p w14:paraId="69D96A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本期以及上期新增贸易业务</w:t>
            </w:r>
          </w:p>
        </w:tc>
        <w:tc>
          <w:tcPr>
            <w:tcW w:w="1928" w:type="dxa"/>
            <w:tcBorders>
              <w:top w:val="single" w:color="auto" w:sz="2" w:space="0"/>
              <w:left w:val="single" w:color="auto" w:sz="2" w:space="0"/>
              <w:bottom w:val="single" w:color="auto" w:sz="2" w:space="0"/>
              <w:right w:val="single" w:color="auto" w:sz="2" w:space="0"/>
            </w:tcBorders>
            <w:vAlign w:val="center"/>
          </w:tcPr>
          <w:p w14:paraId="6929CF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928" w:type="dxa"/>
            <w:tcBorders>
              <w:top w:val="single" w:color="auto" w:sz="2" w:space="0"/>
              <w:left w:val="single" w:color="auto" w:sz="2" w:space="0"/>
              <w:bottom w:val="single" w:color="auto" w:sz="2" w:space="0"/>
              <w:right w:val="single" w:color="auto" w:sz="2" w:space="0"/>
            </w:tcBorders>
            <w:vAlign w:val="center"/>
          </w:tcPr>
          <w:p w14:paraId="65B4683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r w14:paraId="109F20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4DC73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二、不具备商业实质的收入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37B8D30">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B2DE5A2">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7B5EAC">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80A237">
            <w:pPr>
              <w:rPr>
                <w:rFonts w:ascii="Times New Roman" w:hAnsi="Times New Roman" w:cs="Times New Roman" w:eastAsiaTheme="majorEastAsia"/>
              </w:rPr>
            </w:pPr>
          </w:p>
        </w:tc>
      </w:tr>
      <w:tr w14:paraId="1CB269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343685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不具备商业实质的收入小计</w:t>
            </w:r>
          </w:p>
        </w:tc>
        <w:tc>
          <w:tcPr>
            <w:tcW w:w="1928" w:type="dxa"/>
            <w:tcBorders>
              <w:top w:val="single" w:color="auto" w:sz="2" w:space="0"/>
              <w:left w:val="single" w:color="auto" w:sz="2" w:space="0"/>
              <w:bottom w:val="single" w:color="auto" w:sz="2" w:space="0"/>
              <w:right w:val="single" w:color="auto" w:sz="2" w:space="0"/>
            </w:tcBorders>
            <w:vAlign w:val="center"/>
          </w:tcPr>
          <w:p w14:paraId="09B674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733A2E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c>
          <w:tcPr>
            <w:tcW w:w="1928" w:type="dxa"/>
            <w:tcBorders>
              <w:top w:val="single" w:color="auto" w:sz="2" w:space="0"/>
              <w:left w:val="single" w:color="auto" w:sz="2" w:space="0"/>
              <w:bottom w:val="single" w:color="auto" w:sz="2" w:space="0"/>
              <w:right w:val="single" w:color="auto" w:sz="2" w:space="0"/>
            </w:tcBorders>
            <w:vAlign w:val="center"/>
          </w:tcPr>
          <w:p w14:paraId="5FD99E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0.00</w:t>
            </w:r>
          </w:p>
        </w:tc>
        <w:tc>
          <w:tcPr>
            <w:tcW w:w="1928" w:type="dxa"/>
            <w:tcBorders>
              <w:top w:val="single" w:color="auto" w:sz="2" w:space="0"/>
              <w:left w:val="single" w:color="auto" w:sz="2" w:space="0"/>
              <w:bottom w:val="single" w:color="auto" w:sz="2" w:space="0"/>
              <w:right w:val="single" w:color="auto" w:sz="2" w:space="0"/>
            </w:tcBorders>
            <w:vAlign w:val="center"/>
          </w:tcPr>
          <w:p w14:paraId="68C1AD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31E530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E95D8F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三、与主营业务无关或不具备商业实质的其他收入</w:t>
            </w:r>
          </w:p>
        </w:tc>
        <w:tc>
          <w:tcPr>
            <w:tcW w:w="1928" w:type="dxa"/>
            <w:tcBorders>
              <w:top w:val="single" w:color="auto" w:sz="2" w:space="0"/>
              <w:left w:val="single" w:color="auto" w:sz="2" w:space="0"/>
              <w:bottom w:val="single" w:color="auto" w:sz="2" w:space="0"/>
              <w:right w:val="single" w:color="auto" w:sz="2" w:space="0"/>
            </w:tcBorders>
            <w:vAlign w:val="center"/>
          </w:tcPr>
          <w:p w14:paraId="0FADF1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1,483,969.86</w:t>
            </w:r>
          </w:p>
        </w:tc>
        <w:tc>
          <w:tcPr>
            <w:tcW w:w="1928" w:type="dxa"/>
            <w:tcBorders>
              <w:top w:val="single" w:color="auto" w:sz="2" w:space="0"/>
              <w:left w:val="single" w:color="auto" w:sz="2" w:space="0"/>
              <w:bottom w:val="single" w:color="auto" w:sz="2" w:space="0"/>
              <w:right w:val="single" w:color="auto" w:sz="2" w:space="0"/>
            </w:tcBorders>
            <w:vAlign w:val="center"/>
          </w:tcPr>
          <w:p w14:paraId="60D452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本期以及上期新增贸易业务</w:t>
            </w:r>
          </w:p>
        </w:tc>
        <w:tc>
          <w:tcPr>
            <w:tcW w:w="1928" w:type="dxa"/>
            <w:tcBorders>
              <w:top w:val="single" w:color="auto" w:sz="2" w:space="0"/>
              <w:left w:val="single" w:color="auto" w:sz="2" w:space="0"/>
              <w:bottom w:val="single" w:color="auto" w:sz="2" w:space="0"/>
              <w:right w:val="single" w:color="auto" w:sz="2" w:space="0"/>
            </w:tcBorders>
            <w:vAlign w:val="center"/>
          </w:tcPr>
          <w:p w14:paraId="70254B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2,635,652.85</w:t>
            </w:r>
          </w:p>
        </w:tc>
        <w:tc>
          <w:tcPr>
            <w:tcW w:w="1928" w:type="dxa"/>
            <w:tcBorders>
              <w:top w:val="single" w:color="auto" w:sz="2" w:space="0"/>
              <w:left w:val="single" w:color="auto" w:sz="2" w:space="0"/>
              <w:bottom w:val="single" w:color="auto" w:sz="2" w:space="0"/>
              <w:right w:val="single" w:color="auto" w:sz="2" w:space="0"/>
            </w:tcBorders>
            <w:vAlign w:val="center"/>
          </w:tcPr>
          <w:p w14:paraId="175E5A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r w14:paraId="18967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249044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营业收入扣除后金额</w:t>
            </w:r>
          </w:p>
        </w:tc>
        <w:tc>
          <w:tcPr>
            <w:tcW w:w="1928" w:type="dxa"/>
            <w:tcBorders>
              <w:top w:val="single" w:color="auto" w:sz="2" w:space="0"/>
              <w:left w:val="single" w:color="auto" w:sz="2" w:space="0"/>
              <w:bottom w:val="single" w:color="auto" w:sz="2" w:space="0"/>
              <w:right w:val="single" w:color="auto" w:sz="2" w:space="0"/>
            </w:tcBorders>
            <w:vAlign w:val="center"/>
          </w:tcPr>
          <w:p w14:paraId="18AE99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222,149,039.25</w:t>
            </w:r>
          </w:p>
        </w:tc>
        <w:tc>
          <w:tcPr>
            <w:tcW w:w="1928" w:type="dxa"/>
            <w:tcBorders>
              <w:top w:val="single" w:color="auto" w:sz="2" w:space="0"/>
              <w:left w:val="single" w:color="auto" w:sz="2" w:space="0"/>
              <w:bottom w:val="single" w:color="auto" w:sz="2" w:space="0"/>
              <w:right w:val="single" w:color="auto" w:sz="2" w:space="0"/>
            </w:tcBorders>
            <w:vAlign w:val="center"/>
          </w:tcPr>
          <w:p w14:paraId="5DE539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扣除新增贸易业务后本期营业金额</w:t>
            </w:r>
          </w:p>
        </w:tc>
        <w:tc>
          <w:tcPr>
            <w:tcW w:w="1928" w:type="dxa"/>
            <w:tcBorders>
              <w:top w:val="single" w:color="auto" w:sz="2" w:space="0"/>
              <w:left w:val="single" w:color="auto" w:sz="2" w:space="0"/>
              <w:bottom w:val="single" w:color="auto" w:sz="2" w:space="0"/>
              <w:right w:val="single" w:color="auto" w:sz="2" w:space="0"/>
            </w:tcBorders>
            <w:vAlign w:val="center"/>
          </w:tcPr>
          <w:p w14:paraId="020DC9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407,374,161.93</w:t>
            </w:r>
          </w:p>
        </w:tc>
        <w:tc>
          <w:tcPr>
            <w:tcW w:w="1928" w:type="dxa"/>
            <w:tcBorders>
              <w:top w:val="single" w:color="auto" w:sz="2" w:space="0"/>
              <w:left w:val="single" w:color="auto" w:sz="2" w:space="0"/>
              <w:bottom w:val="single" w:color="auto" w:sz="2" w:space="0"/>
              <w:right w:val="single" w:color="auto" w:sz="2" w:space="0"/>
            </w:tcBorders>
            <w:vAlign w:val="center"/>
          </w:tcPr>
          <w:p w14:paraId="13EA19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本期新增贸易业务</w:t>
            </w:r>
          </w:p>
        </w:tc>
      </w:tr>
    </w:tbl>
    <w:p w14:paraId="7DE5D2F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4DB1F7DC">
      <w:pPr>
        <w:spacing w:line="240" w:lineRule="exact"/>
        <w:rPr>
          <w:rFonts w:ascii="宋体" w:hAnsi="宋体" w:eastAsia="宋体" w:cs="宋体"/>
          <w:sz w:val="18"/>
          <w:szCs w:val="18"/>
        </w:rPr>
      </w:pPr>
      <w:r>
        <w:rPr>
          <w:rFonts w:ascii="宋体" w:hAnsi="宋体" w:eastAsia="宋体" w:cs="宋体"/>
          <w:sz w:val="18"/>
          <w:szCs w:val="18"/>
        </w:rPr>
        <w:t>营业收入、营业成本的分解信息：</w:t>
      </w:r>
    </w:p>
    <w:p w14:paraId="4A1A39CC">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45"/>
        <w:gridCol w:w="1429"/>
        <w:gridCol w:w="1429"/>
        <w:gridCol w:w="997"/>
        <w:gridCol w:w="997"/>
        <w:gridCol w:w="1429"/>
        <w:gridCol w:w="1427"/>
      </w:tblGrid>
      <w:tr w14:paraId="3F0175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DE7DA20">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合同分类</w:t>
            </w:r>
          </w:p>
        </w:tc>
        <w:tc>
          <w:tcPr>
            <w:tcW w:w="1450"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1BCA4DE">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分部1</w:t>
            </w:r>
          </w:p>
        </w:tc>
        <w:tc>
          <w:tcPr>
            <w:tcW w:w="1012" w:type="pct"/>
            <w:gridSpan w:val="2"/>
            <w:tcBorders>
              <w:top w:val="single" w:color="auto" w:sz="2" w:space="0"/>
              <w:left w:val="single" w:color="auto" w:sz="2" w:space="0"/>
              <w:bottom w:val="single" w:color="auto" w:sz="2" w:space="0"/>
              <w:right w:val="single" w:color="auto" w:sz="2" w:space="0"/>
            </w:tcBorders>
            <w:vAlign w:val="center"/>
          </w:tcPr>
          <w:p w14:paraId="2CDCC2A6">
            <w:pPr>
              <w:spacing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本公司</w:t>
            </w:r>
          </w:p>
        </w:tc>
        <w:tc>
          <w:tcPr>
            <w:tcW w:w="1449"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44ECB86">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合计</w:t>
            </w:r>
          </w:p>
        </w:tc>
      </w:tr>
      <w:tr w14:paraId="4A501C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1EF6F8A">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19BCFD64">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营业收入</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68E72F23">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营业成本</w:t>
            </w: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3DA450E9">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营业收入</w:t>
            </w: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0CEA5363">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营业成本</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1816E763">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营业收入</w:t>
            </w: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05B20D6E">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营业成本</w:t>
            </w:r>
          </w:p>
        </w:tc>
      </w:tr>
      <w:tr w14:paraId="01BB9B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6B8AE45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业务类型</w:t>
            </w:r>
          </w:p>
        </w:tc>
        <w:tc>
          <w:tcPr>
            <w:tcW w:w="725" w:type="pct"/>
            <w:tcBorders>
              <w:top w:val="single" w:color="auto" w:sz="2" w:space="0"/>
              <w:left w:val="single" w:color="auto" w:sz="2" w:space="0"/>
              <w:bottom w:val="single" w:color="auto" w:sz="2" w:space="0"/>
              <w:right w:val="single" w:color="auto" w:sz="2" w:space="0"/>
            </w:tcBorders>
            <w:vAlign w:val="center"/>
          </w:tcPr>
          <w:p w14:paraId="104222C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5" w:type="pct"/>
            <w:tcBorders>
              <w:top w:val="single" w:color="auto" w:sz="2" w:space="0"/>
              <w:left w:val="single" w:color="auto" w:sz="2" w:space="0"/>
              <w:bottom w:val="single" w:color="auto" w:sz="2" w:space="0"/>
              <w:right w:val="single" w:color="auto" w:sz="2" w:space="0"/>
            </w:tcBorders>
            <w:vAlign w:val="center"/>
          </w:tcPr>
          <w:p w14:paraId="018D2E7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c>
          <w:tcPr>
            <w:tcW w:w="506" w:type="pct"/>
            <w:tcBorders>
              <w:top w:val="single" w:color="auto" w:sz="2" w:space="0"/>
              <w:left w:val="single" w:color="auto" w:sz="2" w:space="0"/>
              <w:bottom w:val="single" w:color="auto" w:sz="2" w:space="0"/>
              <w:right w:val="single" w:color="auto" w:sz="2" w:space="0"/>
            </w:tcBorders>
            <w:vAlign w:val="center"/>
          </w:tcPr>
          <w:p w14:paraId="03EB6DED">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24414A61">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6861DE1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4" w:type="pct"/>
            <w:tcBorders>
              <w:top w:val="single" w:color="auto" w:sz="2" w:space="0"/>
              <w:left w:val="single" w:color="auto" w:sz="2" w:space="0"/>
              <w:bottom w:val="single" w:color="auto" w:sz="2" w:space="0"/>
              <w:right w:val="single" w:color="auto" w:sz="2" w:space="0"/>
            </w:tcBorders>
            <w:vAlign w:val="center"/>
          </w:tcPr>
          <w:p w14:paraId="4F4176B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r>
      <w:tr w14:paraId="1E33A8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1B4AFFEC">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2B7C719F">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77051DB0">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22406061">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26918A88">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6EE04796">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2E7D64D5">
            <w:pPr>
              <w:rPr>
                <w:rFonts w:ascii="Times New Roman" w:hAnsi="Times New Roman" w:cs="Times New Roman"/>
              </w:rPr>
            </w:pPr>
          </w:p>
        </w:tc>
      </w:tr>
      <w:tr w14:paraId="1ACF87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1FD2908F">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信息系统集成</w:t>
            </w:r>
          </w:p>
        </w:tc>
        <w:tc>
          <w:tcPr>
            <w:tcW w:w="725" w:type="pct"/>
            <w:tcBorders>
              <w:top w:val="single" w:color="auto" w:sz="2" w:space="0"/>
              <w:left w:val="single" w:color="auto" w:sz="2" w:space="0"/>
              <w:bottom w:val="single" w:color="auto" w:sz="2" w:space="0"/>
              <w:right w:val="single" w:color="auto" w:sz="2" w:space="0"/>
            </w:tcBorders>
            <w:vAlign w:val="center"/>
          </w:tcPr>
          <w:p w14:paraId="0630235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54,240,861.97</w:t>
            </w:r>
          </w:p>
        </w:tc>
        <w:tc>
          <w:tcPr>
            <w:tcW w:w="725" w:type="pct"/>
            <w:tcBorders>
              <w:top w:val="single" w:color="auto" w:sz="2" w:space="0"/>
              <w:left w:val="single" w:color="auto" w:sz="2" w:space="0"/>
              <w:bottom w:val="single" w:color="auto" w:sz="2" w:space="0"/>
              <w:right w:val="single" w:color="auto" w:sz="2" w:space="0"/>
            </w:tcBorders>
            <w:vAlign w:val="center"/>
          </w:tcPr>
          <w:p w14:paraId="366E6C8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50,373,262.81</w:t>
            </w:r>
          </w:p>
        </w:tc>
        <w:tc>
          <w:tcPr>
            <w:tcW w:w="506" w:type="pct"/>
            <w:tcBorders>
              <w:top w:val="single" w:color="auto" w:sz="2" w:space="0"/>
              <w:left w:val="single" w:color="auto" w:sz="2" w:space="0"/>
              <w:bottom w:val="single" w:color="auto" w:sz="2" w:space="0"/>
              <w:right w:val="single" w:color="auto" w:sz="2" w:space="0"/>
            </w:tcBorders>
            <w:vAlign w:val="center"/>
          </w:tcPr>
          <w:p w14:paraId="609E4687">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20C2E686">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1FD631C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54,240,861.97</w:t>
            </w:r>
          </w:p>
        </w:tc>
        <w:tc>
          <w:tcPr>
            <w:tcW w:w="724" w:type="pct"/>
            <w:tcBorders>
              <w:top w:val="single" w:color="auto" w:sz="2" w:space="0"/>
              <w:left w:val="single" w:color="auto" w:sz="2" w:space="0"/>
              <w:bottom w:val="single" w:color="auto" w:sz="2" w:space="0"/>
              <w:right w:val="single" w:color="auto" w:sz="2" w:space="0"/>
            </w:tcBorders>
            <w:vAlign w:val="center"/>
          </w:tcPr>
          <w:p w14:paraId="5D9673A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50,373,262.81</w:t>
            </w:r>
          </w:p>
        </w:tc>
      </w:tr>
      <w:tr w14:paraId="31926C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14DA7BBC">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软件及技术服务</w:t>
            </w:r>
          </w:p>
        </w:tc>
        <w:tc>
          <w:tcPr>
            <w:tcW w:w="725" w:type="pct"/>
            <w:tcBorders>
              <w:top w:val="single" w:color="auto" w:sz="2" w:space="0"/>
              <w:left w:val="single" w:color="auto" w:sz="2" w:space="0"/>
              <w:bottom w:val="single" w:color="auto" w:sz="2" w:space="0"/>
              <w:right w:val="single" w:color="auto" w:sz="2" w:space="0"/>
            </w:tcBorders>
            <w:vAlign w:val="center"/>
          </w:tcPr>
          <w:p w14:paraId="5FCC6F6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41,663,616.03</w:t>
            </w:r>
          </w:p>
        </w:tc>
        <w:tc>
          <w:tcPr>
            <w:tcW w:w="725" w:type="pct"/>
            <w:tcBorders>
              <w:top w:val="single" w:color="auto" w:sz="2" w:space="0"/>
              <w:left w:val="single" w:color="auto" w:sz="2" w:space="0"/>
              <w:bottom w:val="single" w:color="auto" w:sz="2" w:space="0"/>
              <w:right w:val="single" w:color="auto" w:sz="2" w:space="0"/>
            </w:tcBorders>
            <w:vAlign w:val="center"/>
          </w:tcPr>
          <w:p w14:paraId="2426362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30,639,722.97</w:t>
            </w:r>
          </w:p>
        </w:tc>
        <w:tc>
          <w:tcPr>
            <w:tcW w:w="506" w:type="pct"/>
            <w:tcBorders>
              <w:top w:val="single" w:color="auto" w:sz="2" w:space="0"/>
              <w:left w:val="single" w:color="auto" w:sz="2" w:space="0"/>
              <w:bottom w:val="single" w:color="auto" w:sz="2" w:space="0"/>
              <w:right w:val="single" w:color="auto" w:sz="2" w:space="0"/>
            </w:tcBorders>
            <w:vAlign w:val="center"/>
          </w:tcPr>
          <w:p w14:paraId="47FE8BF3">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00F0C996">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0965912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41,663,616.03</w:t>
            </w:r>
          </w:p>
        </w:tc>
        <w:tc>
          <w:tcPr>
            <w:tcW w:w="724" w:type="pct"/>
            <w:tcBorders>
              <w:top w:val="single" w:color="auto" w:sz="2" w:space="0"/>
              <w:left w:val="single" w:color="auto" w:sz="2" w:space="0"/>
              <w:bottom w:val="single" w:color="auto" w:sz="2" w:space="0"/>
              <w:right w:val="single" w:color="auto" w:sz="2" w:space="0"/>
            </w:tcBorders>
            <w:vAlign w:val="center"/>
          </w:tcPr>
          <w:p w14:paraId="3B04702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30,639,722.97</w:t>
            </w:r>
          </w:p>
        </w:tc>
      </w:tr>
      <w:tr w14:paraId="1D3B04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75718237">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信息系统运维服务</w:t>
            </w:r>
          </w:p>
        </w:tc>
        <w:tc>
          <w:tcPr>
            <w:tcW w:w="725" w:type="pct"/>
            <w:tcBorders>
              <w:top w:val="single" w:color="auto" w:sz="2" w:space="0"/>
              <w:left w:val="single" w:color="auto" w:sz="2" w:space="0"/>
              <w:bottom w:val="single" w:color="auto" w:sz="2" w:space="0"/>
              <w:right w:val="single" w:color="auto" w:sz="2" w:space="0"/>
            </w:tcBorders>
            <w:vAlign w:val="center"/>
          </w:tcPr>
          <w:p w14:paraId="18CCC16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9,707,308.56</w:t>
            </w:r>
          </w:p>
        </w:tc>
        <w:tc>
          <w:tcPr>
            <w:tcW w:w="725" w:type="pct"/>
            <w:tcBorders>
              <w:top w:val="single" w:color="auto" w:sz="2" w:space="0"/>
              <w:left w:val="single" w:color="auto" w:sz="2" w:space="0"/>
              <w:bottom w:val="single" w:color="auto" w:sz="2" w:space="0"/>
              <w:right w:val="single" w:color="auto" w:sz="2" w:space="0"/>
            </w:tcBorders>
            <w:vAlign w:val="center"/>
          </w:tcPr>
          <w:p w14:paraId="5408540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6,074,450.70</w:t>
            </w:r>
          </w:p>
        </w:tc>
        <w:tc>
          <w:tcPr>
            <w:tcW w:w="506" w:type="pct"/>
            <w:tcBorders>
              <w:top w:val="single" w:color="auto" w:sz="2" w:space="0"/>
              <w:left w:val="single" w:color="auto" w:sz="2" w:space="0"/>
              <w:bottom w:val="single" w:color="auto" w:sz="2" w:space="0"/>
              <w:right w:val="single" w:color="auto" w:sz="2" w:space="0"/>
            </w:tcBorders>
            <w:vAlign w:val="center"/>
          </w:tcPr>
          <w:p w14:paraId="374C9E39">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9A3E5B7">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B52975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9,707,308.56</w:t>
            </w:r>
          </w:p>
        </w:tc>
        <w:tc>
          <w:tcPr>
            <w:tcW w:w="724" w:type="pct"/>
            <w:tcBorders>
              <w:top w:val="single" w:color="auto" w:sz="2" w:space="0"/>
              <w:left w:val="single" w:color="auto" w:sz="2" w:space="0"/>
              <w:bottom w:val="single" w:color="auto" w:sz="2" w:space="0"/>
              <w:right w:val="single" w:color="auto" w:sz="2" w:space="0"/>
            </w:tcBorders>
            <w:vAlign w:val="center"/>
          </w:tcPr>
          <w:p w14:paraId="6996701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6,074,450.70</w:t>
            </w:r>
          </w:p>
        </w:tc>
      </w:tr>
      <w:tr w14:paraId="49AB4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3CFE82EF">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硬件销售</w:t>
            </w:r>
          </w:p>
        </w:tc>
        <w:tc>
          <w:tcPr>
            <w:tcW w:w="725" w:type="pct"/>
            <w:tcBorders>
              <w:top w:val="single" w:color="auto" w:sz="2" w:space="0"/>
              <w:left w:val="single" w:color="auto" w:sz="2" w:space="0"/>
              <w:bottom w:val="single" w:color="auto" w:sz="2" w:space="0"/>
              <w:right w:val="single" w:color="auto" w:sz="2" w:space="0"/>
            </w:tcBorders>
            <w:vAlign w:val="center"/>
          </w:tcPr>
          <w:p w14:paraId="48CE085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115,893,870.23</w:t>
            </w:r>
          </w:p>
        </w:tc>
        <w:tc>
          <w:tcPr>
            <w:tcW w:w="725" w:type="pct"/>
            <w:tcBorders>
              <w:top w:val="single" w:color="auto" w:sz="2" w:space="0"/>
              <w:left w:val="single" w:color="auto" w:sz="2" w:space="0"/>
              <w:bottom w:val="single" w:color="auto" w:sz="2" w:space="0"/>
              <w:right w:val="single" w:color="auto" w:sz="2" w:space="0"/>
            </w:tcBorders>
            <w:vAlign w:val="center"/>
          </w:tcPr>
          <w:p w14:paraId="6E3D038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106,656,874.07</w:t>
            </w:r>
          </w:p>
        </w:tc>
        <w:tc>
          <w:tcPr>
            <w:tcW w:w="506" w:type="pct"/>
            <w:tcBorders>
              <w:top w:val="single" w:color="auto" w:sz="2" w:space="0"/>
              <w:left w:val="single" w:color="auto" w:sz="2" w:space="0"/>
              <w:bottom w:val="single" w:color="auto" w:sz="2" w:space="0"/>
              <w:right w:val="single" w:color="auto" w:sz="2" w:space="0"/>
            </w:tcBorders>
            <w:vAlign w:val="center"/>
          </w:tcPr>
          <w:p w14:paraId="7D3B439E">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400B4E3">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614A26D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115,893,870.23</w:t>
            </w:r>
          </w:p>
        </w:tc>
        <w:tc>
          <w:tcPr>
            <w:tcW w:w="724" w:type="pct"/>
            <w:tcBorders>
              <w:top w:val="single" w:color="auto" w:sz="2" w:space="0"/>
              <w:left w:val="single" w:color="auto" w:sz="2" w:space="0"/>
              <w:bottom w:val="single" w:color="auto" w:sz="2" w:space="0"/>
              <w:right w:val="single" w:color="auto" w:sz="2" w:space="0"/>
            </w:tcBorders>
            <w:vAlign w:val="center"/>
          </w:tcPr>
          <w:p w14:paraId="5B48714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106,656,874.07</w:t>
            </w:r>
          </w:p>
        </w:tc>
      </w:tr>
      <w:tr w14:paraId="687F7B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1D5A022D">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光伏发电</w:t>
            </w:r>
          </w:p>
        </w:tc>
        <w:tc>
          <w:tcPr>
            <w:tcW w:w="725" w:type="pct"/>
            <w:tcBorders>
              <w:top w:val="single" w:color="auto" w:sz="2" w:space="0"/>
              <w:left w:val="single" w:color="auto" w:sz="2" w:space="0"/>
              <w:bottom w:val="single" w:color="auto" w:sz="2" w:space="0"/>
              <w:right w:val="single" w:color="auto" w:sz="2" w:space="0"/>
            </w:tcBorders>
            <w:vAlign w:val="center"/>
          </w:tcPr>
          <w:p w14:paraId="5EB6CCA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643,382.46</w:t>
            </w:r>
          </w:p>
        </w:tc>
        <w:tc>
          <w:tcPr>
            <w:tcW w:w="725" w:type="pct"/>
            <w:tcBorders>
              <w:top w:val="single" w:color="auto" w:sz="2" w:space="0"/>
              <w:left w:val="single" w:color="auto" w:sz="2" w:space="0"/>
              <w:bottom w:val="single" w:color="auto" w:sz="2" w:space="0"/>
              <w:right w:val="single" w:color="auto" w:sz="2" w:space="0"/>
            </w:tcBorders>
            <w:vAlign w:val="center"/>
          </w:tcPr>
          <w:p w14:paraId="0854546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412,519.37</w:t>
            </w:r>
          </w:p>
        </w:tc>
        <w:tc>
          <w:tcPr>
            <w:tcW w:w="506" w:type="pct"/>
            <w:tcBorders>
              <w:top w:val="single" w:color="auto" w:sz="2" w:space="0"/>
              <w:left w:val="single" w:color="auto" w:sz="2" w:space="0"/>
              <w:bottom w:val="single" w:color="auto" w:sz="2" w:space="0"/>
              <w:right w:val="single" w:color="auto" w:sz="2" w:space="0"/>
            </w:tcBorders>
            <w:vAlign w:val="center"/>
          </w:tcPr>
          <w:p w14:paraId="77A0256E">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5583E57D">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1F3D28D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643,382.46</w:t>
            </w:r>
          </w:p>
        </w:tc>
        <w:tc>
          <w:tcPr>
            <w:tcW w:w="724" w:type="pct"/>
            <w:tcBorders>
              <w:top w:val="single" w:color="auto" w:sz="2" w:space="0"/>
              <w:left w:val="single" w:color="auto" w:sz="2" w:space="0"/>
              <w:bottom w:val="single" w:color="auto" w:sz="2" w:space="0"/>
              <w:right w:val="single" w:color="auto" w:sz="2" w:space="0"/>
            </w:tcBorders>
            <w:vAlign w:val="center"/>
          </w:tcPr>
          <w:p w14:paraId="6F6BDB0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412,519.37</w:t>
            </w:r>
          </w:p>
        </w:tc>
      </w:tr>
      <w:tr w14:paraId="3C776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098FA749">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其他业务收入</w:t>
            </w:r>
          </w:p>
        </w:tc>
        <w:tc>
          <w:tcPr>
            <w:tcW w:w="725" w:type="pct"/>
            <w:tcBorders>
              <w:top w:val="single" w:color="auto" w:sz="2" w:space="0"/>
              <w:left w:val="single" w:color="auto" w:sz="2" w:space="0"/>
              <w:bottom w:val="single" w:color="auto" w:sz="2" w:space="0"/>
              <w:right w:val="single" w:color="auto" w:sz="2" w:space="0"/>
            </w:tcBorders>
            <w:vAlign w:val="center"/>
          </w:tcPr>
          <w:p w14:paraId="0E5AD7C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1,483,969.86</w:t>
            </w:r>
          </w:p>
        </w:tc>
        <w:tc>
          <w:tcPr>
            <w:tcW w:w="725" w:type="pct"/>
            <w:tcBorders>
              <w:top w:val="single" w:color="auto" w:sz="2" w:space="0"/>
              <w:left w:val="single" w:color="auto" w:sz="2" w:space="0"/>
              <w:bottom w:val="single" w:color="auto" w:sz="2" w:space="0"/>
              <w:right w:val="single" w:color="auto" w:sz="2" w:space="0"/>
            </w:tcBorders>
            <w:vAlign w:val="center"/>
          </w:tcPr>
          <w:p w14:paraId="110FC425">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59873B54">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54BC11BC">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15E04A7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1,483,969.86</w:t>
            </w:r>
          </w:p>
        </w:tc>
        <w:tc>
          <w:tcPr>
            <w:tcW w:w="724" w:type="pct"/>
            <w:tcBorders>
              <w:top w:val="single" w:color="auto" w:sz="2" w:space="0"/>
              <w:left w:val="single" w:color="auto" w:sz="2" w:space="0"/>
              <w:bottom w:val="single" w:color="auto" w:sz="2" w:space="0"/>
              <w:right w:val="single" w:color="auto" w:sz="2" w:space="0"/>
            </w:tcBorders>
            <w:vAlign w:val="center"/>
          </w:tcPr>
          <w:p w14:paraId="6076309B">
            <w:pPr>
              <w:spacing w:line="240" w:lineRule="exact"/>
              <w:jc w:val="right"/>
              <w:rPr>
                <w:rFonts w:ascii="Times New Roman" w:hAnsi="Times New Roman" w:eastAsia="宋体" w:cs="Times New Roman"/>
                <w:sz w:val="18"/>
                <w:szCs w:val="18"/>
              </w:rPr>
            </w:pPr>
          </w:p>
        </w:tc>
      </w:tr>
      <w:tr w14:paraId="5EC55E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155D456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按经营地区分类</w:t>
            </w:r>
          </w:p>
        </w:tc>
        <w:tc>
          <w:tcPr>
            <w:tcW w:w="725" w:type="pct"/>
            <w:tcBorders>
              <w:top w:val="single" w:color="auto" w:sz="2" w:space="0"/>
              <w:left w:val="single" w:color="auto" w:sz="2" w:space="0"/>
              <w:bottom w:val="single" w:color="auto" w:sz="2" w:space="0"/>
              <w:right w:val="single" w:color="auto" w:sz="2" w:space="0"/>
            </w:tcBorders>
            <w:vAlign w:val="center"/>
          </w:tcPr>
          <w:p w14:paraId="063EF6B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5" w:type="pct"/>
            <w:tcBorders>
              <w:top w:val="single" w:color="auto" w:sz="2" w:space="0"/>
              <w:left w:val="single" w:color="auto" w:sz="2" w:space="0"/>
              <w:bottom w:val="single" w:color="auto" w:sz="2" w:space="0"/>
              <w:right w:val="single" w:color="auto" w:sz="2" w:space="0"/>
            </w:tcBorders>
            <w:vAlign w:val="center"/>
          </w:tcPr>
          <w:p w14:paraId="6ACA09B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c>
          <w:tcPr>
            <w:tcW w:w="506" w:type="pct"/>
            <w:tcBorders>
              <w:top w:val="single" w:color="auto" w:sz="2" w:space="0"/>
              <w:left w:val="single" w:color="auto" w:sz="2" w:space="0"/>
              <w:bottom w:val="single" w:color="auto" w:sz="2" w:space="0"/>
              <w:right w:val="single" w:color="auto" w:sz="2" w:space="0"/>
            </w:tcBorders>
            <w:vAlign w:val="center"/>
          </w:tcPr>
          <w:p w14:paraId="0491DB04">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4E174364">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5F11E79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4" w:type="pct"/>
            <w:tcBorders>
              <w:top w:val="single" w:color="auto" w:sz="2" w:space="0"/>
              <w:left w:val="single" w:color="auto" w:sz="2" w:space="0"/>
              <w:bottom w:val="single" w:color="auto" w:sz="2" w:space="0"/>
              <w:right w:val="single" w:color="auto" w:sz="2" w:space="0"/>
            </w:tcBorders>
            <w:vAlign w:val="center"/>
          </w:tcPr>
          <w:p w14:paraId="3FF7EB5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r>
      <w:tr w14:paraId="545B77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491EDBFA">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4D2AA43E">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4B46D025">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743CC94B">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0F0E25AB">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27881911">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732BE374">
            <w:pPr>
              <w:rPr>
                <w:rFonts w:ascii="Times New Roman" w:hAnsi="Times New Roman" w:cs="Times New Roman"/>
              </w:rPr>
            </w:pPr>
          </w:p>
        </w:tc>
      </w:tr>
      <w:tr w14:paraId="01ACA7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51959983">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华南地区</w:t>
            </w:r>
          </w:p>
        </w:tc>
        <w:tc>
          <w:tcPr>
            <w:tcW w:w="725" w:type="pct"/>
            <w:tcBorders>
              <w:top w:val="single" w:color="auto" w:sz="2" w:space="0"/>
              <w:left w:val="single" w:color="auto" w:sz="2" w:space="0"/>
              <w:bottom w:val="single" w:color="auto" w:sz="2" w:space="0"/>
              <w:right w:val="single" w:color="auto" w:sz="2" w:space="0"/>
            </w:tcBorders>
            <w:vAlign w:val="center"/>
          </w:tcPr>
          <w:p w14:paraId="3EAFFA5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174,949,222.16</w:t>
            </w:r>
          </w:p>
        </w:tc>
        <w:tc>
          <w:tcPr>
            <w:tcW w:w="725" w:type="pct"/>
            <w:tcBorders>
              <w:top w:val="single" w:color="auto" w:sz="2" w:space="0"/>
              <w:left w:val="single" w:color="auto" w:sz="2" w:space="0"/>
              <w:bottom w:val="single" w:color="auto" w:sz="2" w:space="0"/>
              <w:right w:val="single" w:color="auto" w:sz="2" w:space="0"/>
            </w:tcBorders>
            <w:vAlign w:val="center"/>
          </w:tcPr>
          <w:p w14:paraId="5D91EAF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154,857,037.99</w:t>
            </w:r>
          </w:p>
        </w:tc>
        <w:tc>
          <w:tcPr>
            <w:tcW w:w="506" w:type="pct"/>
            <w:tcBorders>
              <w:top w:val="single" w:color="auto" w:sz="2" w:space="0"/>
              <w:left w:val="single" w:color="auto" w:sz="2" w:space="0"/>
              <w:bottom w:val="single" w:color="auto" w:sz="2" w:space="0"/>
              <w:right w:val="single" w:color="auto" w:sz="2" w:space="0"/>
            </w:tcBorders>
            <w:vAlign w:val="center"/>
          </w:tcPr>
          <w:p w14:paraId="406CE035">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FE5B520">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765B2F3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174,949,222.16</w:t>
            </w:r>
          </w:p>
        </w:tc>
        <w:tc>
          <w:tcPr>
            <w:tcW w:w="724" w:type="pct"/>
            <w:tcBorders>
              <w:top w:val="single" w:color="auto" w:sz="2" w:space="0"/>
              <w:left w:val="single" w:color="auto" w:sz="2" w:space="0"/>
              <w:bottom w:val="single" w:color="auto" w:sz="2" w:space="0"/>
              <w:right w:val="single" w:color="auto" w:sz="2" w:space="0"/>
            </w:tcBorders>
            <w:vAlign w:val="center"/>
          </w:tcPr>
          <w:p w14:paraId="2A966D9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154,857,037.99</w:t>
            </w:r>
          </w:p>
        </w:tc>
      </w:tr>
      <w:tr w14:paraId="36C8AA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5DCD2571">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华中地区</w:t>
            </w:r>
          </w:p>
        </w:tc>
        <w:tc>
          <w:tcPr>
            <w:tcW w:w="725" w:type="pct"/>
            <w:tcBorders>
              <w:top w:val="single" w:color="auto" w:sz="2" w:space="0"/>
              <w:left w:val="single" w:color="auto" w:sz="2" w:space="0"/>
              <w:bottom w:val="single" w:color="auto" w:sz="2" w:space="0"/>
              <w:right w:val="single" w:color="auto" w:sz="2" w:space="0"/>
            </w:tcBorders>
            <w:vAlign w:val="center"/>
          </w:tcPr>
          <w:p w14:paraId="7053645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369,338.90</w:t>
            </w:r>
          </w:p>
        </w:tc>
        <w:tc>
          <w:tcPr>
            <w:tcW w:w="725" w:type="pct"/>
            <w:tcBorders>
              <w:top w:val="single" w:color="auto" w:sz="2" w:space="0"/>
              <w:left w:val="single" w:color="auto" w:sz="2" w:space="0"/>
              <w:bottom w:val="single" w:color="auto" w:sz="2" w:space="0"/>
              <w:right w:val="single" w:color="auto" w:sz="2" w:space="0"/>
            </w:tcBorders>
            <w:vAlign w:val="center"/>
          </w:tcPr>
          <w:p w14:paraId="06C832F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502,663.20</w:t>
            </w:r>
          </w:p>
        </w:tc>
        <w:tc>
          <w:tcPr>
            <w:tcW w:w="506" w:type="pct"/>
            <w:tcBorders>
              <w:top w:val="single" w:color="auto" w:sz="2" w:space="0"/>
              <w:left w:val="single" w:color="auto" w:sz="2" w:space="0"/>
              <w:bottom w:val="single" w:color="auto" w:sz="2" w:space="0"/>
              <w:right w:val="single" w:color="auto" w:sz="2" w:space="0"/>
            </w:tcBorders>
            <w:vAlign w:val="center"/>
          </w:tcPr>
          <w:p w14:paraId="7A534DBA">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DA93A52">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67CDC5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369,338.90</w:t>
            </w:r>
          </w:p>
        </w:tc>
        <w:tc>
          <w:tcPr>
            <w:tcW w:w="724" w:type="pct"/>
            <w:tcBorders>
              <w:top w:val="single" w:color="auto" w:sz="2" w:space="0"/>
              <w:left w:val="single" w:color="auto" w:sz="2" w:space="0"/>
              <w:bottom w:val="single" w:color="auto" w:sz="2" w:space="0"/>
              <w:right w:val="single" w:color="auto" w:sz="2" w:space="0"/>
            </w:tcBorders>
            <w:vAlign w:val="center"/>
          </w:tcPr>
          <w:p w14:paraId="355E54B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502,663.20</w:t>
            </w:r>
          </w:p>
        </w:tc>
      </w:tr>
      <w:tr w14:paraId="70581A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3A5F0FCA">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华东地区</w:t>
            </w:r>
          </w:p>
        </w:tc>
        <w:tc>
          <w:tcPr>
            <w:tcW w:w="725" w:type="pct"/>
            <w:tcBorders>
              <w:top w:val="single" w:color="auto" w:sz="2" w:space="0"/>
              <w:left w:val="single" w:color="auto" w:sz="2" w:space="0"/>
              <w:bottom w:val="single" w:color="auto" w:sz="2" w:space="0"/>
              <w:right w:val="single" w:color="auto" w:sz="2" w:space="0"/>
            </w:tcBorders>
            <w:vAlign w:val="center"/>
          </w:tcPr>
          <w:p w14:paraId="1F4D63A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16,499,170.00</w:t>
            </w:r>
          </w:p>
        </w:tc>
        <w:tc>
          <w:tcPr>
            <w:tcW w:w="725" w:type="pct"/>
            <w:tcBorders>
              <w:top w:val="single" w:color="auto" w:sz="2" w:space="0"/>
              <w:left w:val="single" w:color="auto" w:sz="2" w:space="0"/>
              <w:bottom w:val="single" w:color="auto" w:sz="2" w:space="0"/>
              <w:right w:val="single" w:color="auto" w:sz="2" w:space="0"/>
            </w:tcBorders>
            <w:vAlign w:val="center"/>
          </w:tcPr>
          <w:p w14:paraId="04218F5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13,770,456.47</w:t>
            </w:r>
          </w:p>
        </w:tc>
        <w:tc>
          <w:tcPr>
            <w:tcW w:w="506" w:type="pct"/>
            <w:tcBorders>
              <w:top w:val="single" w:color="auto" w:sz="2" w:space="0"/>
              <w:left w:val="single" w:color="auto" w:sz="2" w:space="0"/>
              <w:bottom w:val="single" w:color="auto" w:sz="2" w:space="0"/>
              <w:right w:val="single" w:color="auto" w:sz="2" w:space="0"/>
            </w:tcBorders>
            <w:vAlign w:val="center"/>
          </w:tcPr>
          <w:p w14:paraId="28AFD02B">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11B7F207">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124C13E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16,499,170.00</w:t>
            </w:r>
          </w:p>
        </w:tc>
        <w:tc>
          <w:tcPr>
            <w:tcW w:w="724" w:type="pct"/>
            <w:tcBorders>
              <w:top w:val="single" w:color="auto" w:sz="2" w:space="0"/>
              <w:left w:val="single" w:color="auto" w:sz="2" w:space="0"/>
              <w:bottom w:val="single" w:color="auto" w:sz="2" w:space="0"/>
              <w:right w:val="single" w:color="auto" w:sz="2" w:space="0"/>
            </w:tcBorders>
            <w:vAlign w:val="center"/>
          </w:tcPr>
          <w:p w14:paraId="61CE3D5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13,770,456.47</w:t>
            </w:r>
          </w:p>
        </w:tc>
      </w:tr>
      <w:tr w14:paraId="22E538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25604904">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华北地区</w:t>
            </w:r>
          </w:p>
        </w:tc>
        <w:tc>
          <w:tcPr>
            <w:tcW w:w="725" w:type="pct"/>
            <w:tcBorders>
              <w:top w:val="single" w:color="auto" w:sz="2" w:space="0"/>
              <w:left w:val="single" w:color="auto" w:sz="2" w:space="0"/>
              <w:bottom w:val="single" w:color="auto" w:sz="2" w:space="0"/>
              <w:right w:val="single" w:color="auto" w:sz="2" w:space="0"/>
            </w:tcBorders>
            <w:vAlign w:val="center"/>
          </w:tcPr>
          <w:p w14:paraId="20EECDB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1,477,150.98</w:t>
            </w:r>
          </w:p>
        </w:tc>
        <w:tc>
          <w:tcPr>
            <w:tcW w:w="725" w:type="pct"/>
            <w:tcBorders>
              <w:top w:val="single" w:color="auto" w:sz="2" w:space="0"/>
              <w:left w:val="single" w:color="auto" w:sz="2" w:space="0"/>
              <w:bottom w:val="single" w:color="auto" w:sz="2" w:space="0"/>
              <w:right w:val="single" w:color="auto" w:sz="2" w:space="0"/>
            </w:tcBorders>
            <w:vAlign w:val="center"/>
          </w:tcPr>
          <w:p w14:paraId="168FCBD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1,143,485.93</w:t>
            </w:r>
          </w:p>
        </w:tc>
        <w:tc>
          <w:tcPr>
            <w:tcW w:w="506" w:type="pct"/>
            <w:tcBorders>
              <w:top w:val="single" w:color="auto" w:sz="2" w:space="0"/>
              <w:left w:val="single" w:color="auto" w:sz="2" w:space="0"/>
              <w:bottom w:val="single" w:color="auto" w:sz="2" w:space="0"/>
              <w:right w:val="single" w:color="auto" w:sz="2" w:space="0"/>
            </w:tcBorders>
            <w:vAlign w:val="center"/>
          </w:tcPr>
          <w:p w14:paraId="4C428399">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6C10AEFD">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6E476CD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1,477,150.98</w:t>
            </w:r>
          </w:p>
        </w:tc>
        <w:tc>
          <w:tcPr>
            <w:tcW w:w="724" w:type="pct"/>
            <w:tcBorders>
              <w:top w:val="single" w:color="auto" w:sz="2" w:space="0"/>
              <w:left w:val="single" w:color="auto" w:sz="2" w:space="0"/>
              <w:bottom w:val="single" w:color="auto" w:sz="2" w:space="0"/>
              <w:right w:val="single" w:color="auto" w:sz="2" w:space="0"/>
            </w:tcBorders>
            <w:vAlign w:val="center"/>
          </w:tcPr>
          <w:p w14:paraId="7133549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1,143,485.93</w:t>
            </w:r>
          </w:p>
        </w:tc>
      </w:tr>
      <w:tr w14:paraId="1669EC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2BA184E3">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西南地区</w:t>
            </w:r>
          </w:p>
        </w:tc>
        <w:tc>
          <w:tcPr>
            <w:tcW w:w="725" w:type="pct"/>
            <w:tcBorders>
              <w:top w:val="single" w:color="auto" w:sz="2" w:space="0"/>
              <w:left w:val="single" w:color="auto" w:sz="2" w:space="0"/>
              <w:bottom w:val="single" w:color="auto" w:sz="2" w:space="0"/>
              <w:right w:val="single" w:color="auto" w:sz="2" w:space="0"/>
            </w:tcBorders>
            <w:vAlign w:val="center"/>
          </w:tcPr>
          <w:p w14:paraId="58CC92D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30,338,127.07</w:t>
            </w:r>
          </w:p>
        </w:tc>
        <w:tc>
          <w:tcPr>
            <w:tcW w:w="725" w:type="pct"/>
            <w:tcBorders>
              <w:top w:val="single" w:color="auto" w:sz="2" w:space="0"/>
              <w:left w:val="single" w:color="auto" w:sz="2" w:space="0"/>
              <w:bottom w:val="single" w:color="auto" w:sz="2" w:space="0"/>
              <w:right w:val="single" w:color="auto" w:sz="2" w:space="0"/>
            </w:tcBorders>
            <w:vAlign w:val="center"/>
          </w:tcPr>
          <w:p w14:paraId="721818A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23,883,186.33</w:t>
            </w:r>
          </w:p>
        </w:tc>
        <w:tc>
          <w:tcPr>
            <w:tcW w:w="506" w:type="pct"/>
            <w:tcBorders>
              <w:top w:val="single" w:color="auto" w:sz="2" w:space="0"/>
              <w:left w:val="single" w:color="auto" w:sz="2" w:space="0"/>
              <w:bottom w:val="single" w:color="auto" w:sz="2" w:space="0"/>
              <w:right w:val="single" w:color="auto" w:sz="2" w:space="0"/>
            </w:tcBorders>
            <w:vAlign w:val="center"/>
          </w:tcPr>
          <w:p w14:paraId="1F3B0D60">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090263E1">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6CF370D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30,338,127.07</w:t>
            </w:r>
          </w:p>
        </w:tc>
        <w:tc>
          <w:tcPr>
            <w:tcW w:w="724" w:type="pct"/>
            <w:tcBorders>
              <w:top w:val="single" w:color="auto" w:sz="2" w:space="0"/>
              <w:left w:val="single" w:color="auto" w:sz="2" w:space="0"/>
              <w:bottom w:val="single" w:color="auto" w:sz="2" w:space="0"/>
              <w:right w:val="single" w:color="auto" w:sz="2" w:space="0"/>
            </w:tcBorders>
            <w:vAlign w:val="center"/>
          </w:tcPr>
          <w:p w14:paraId="5467EF5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23,883,186.33</w:t>
            </w:r>
          </w:p>
        </w:tc>
      </w:tr>
      <w:tr w14:paraId="7FDFFD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3809DD4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市场或客户类型</w:t>
            </w:r>
          </w:p>
        </w:tc>
        <w:tc>
          <w:tcPr>
            <w:tcW w:w="725" w:type="pct"/>
            <w:tcBorders>
              <w:top w:val="single" w:color="auto" w:sz="2" w:space="0"/>
              <w:left w:val="single" w:color="auto" w:sz="2" w:space="0"/>
              <w:bottom w:val="single" w:color="auto" w:sz="2" w:space="0"/>
              <w:right w:val="single" w:color="auto" w:sz="2" w:space="0"/>
            </w:tcBorders>
            <w:vAlign w:val="center"/>
          </w:tcPr>
          <w:p w14:paraId="7C2C920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5" w:type="pct"/>
            <w:tcBorders>
              <w:top w:val="single" w:color="auto" w:sz="2" w:space="0"/>
              <w:left w:val="single" w:color="auto" w:sz="2" w:space="0"/>
              <w:bottom w:val="single" w:color="auto" w:sz="2" w:space="0"/>
              <w:right w:val="single" w:color="auto" w:sz="2" w:space="0"/>
            </w:tcBorders>
            <w:vAlign w:val="center"/>
          </w:tcPr>
          <w:p w14:paraId="162BE90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c>
          <w:tcPr>
            <w:tcW w:w="506" w:type="pct"/>
            <w:tcBorders>
              <w:top w:val="single" w:color="auto" w:sz="2" w:space="0"/>
              <w:left w:val="single" w:color="auto" w:sz="2" w:space="0"/>
              <w:bottom w:val="single" w:color="auto" w:sz="2" w:space="0"/>
              <w:right w:val="single" w:color="auto" w:sz="2" w:space="0"/>
            </w:tcBorders>
            <w:vAlign w:val="center"/>
          </w:tcPr>
          <w:p w14:paraId="00C487F6">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4EAE1D1C">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4814312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4" w:type="pct"/>
            <w:tcBorders>
              <w:top w:val="single" w:color="auto" w:sz="2" w:space="0"/>
              <w:left w:val="single" w:color="auto" w:sz="2" w:space="0"/>
              <w:bottom w:val="single" w:color="auto" w:sz="2" w:space="0"/>
              <w:right w:val="single" w:color="auto" w:sz="2" w:space="0"/>
            </w:tcBorders>
            <w:vAlign w:val="center"/>
          </w:tcPr>
          <w:p w14:paraId="1CC9A3F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r>
      <w:tr w14:paraId="0A1D7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7AAE8115">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35CEA579">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14523AE9">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07ADBBA6">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21A63D89">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6D6AB874">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7B70242B">
            <w:pPr>
              <w:rPr>
                <w:rFonts w:ascii="Times New Roman" w:hAnsi="Times New Roman" w:cs="Times New Roman"/>
              </w:rPr>
            </w:pPr>
          </w:p>
        </w:tc>
      </w:tr>
      <w:tr w14:paraId="01811F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35C054CA">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智慧政务</w:t>
            </w:r>
          </w:p>
        </w:tc>
        <w:tc>
          <w:tcPr>
            <w:tcW w:w="725" w:type="pct"/>
            <w:tcBorders>
              <w:top w:val="single" w:color="auto" w:sz="2" w:space="0"/>
              <w:left w:val="single" w:color="auto" w:sz="2" w:space="0"/>
              <w:bottom w:val="single" w:color="auto" w:sz="2" w:space="0"/>
              <w:right w:val="single" w:color="auto" w:sz="2" w:space="0"/>
            </w:tcBorders>
            <w:vAlign w:val="center"/>
          </w:tcPr>
          <w:p w14:paraId="67F7A40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47,579,656.86</w:t>
            </w:r>
          </w:p>
        </w:tc>
        <w:tc>
          <w:tcPr>
            <w:tcW w:w="725" w:type="pct"/>
            <w:tcBorders>
              <w:top w:val="single" w:color="auto" w:sz="2" w:space="0"/>
              <w:left w:val="single" w:color="auto" w:sz="2" w:space="0"/>
              <w:bottom w:val="single" w:color="auto" w:sz="2" w:space="0"/>
              <w:right w:val="single" w:color="auto" w:sz="2" w:space="0"/>
            </w:tcBorders>
            <w:vAlign w:val="center"/>
          </w:tcPr>
          <w:p w14:paraId="23C58F4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45,943,227.24</w:t>
            </w:r>
          </w:p>
        </w:tc>
        <w:tc>
          <w:tcPr>
            <w:tcW w:w="506" w:type="pct"/>
            <w:tcBorders>
              <w:top w:val="single" w:color="auto" w:sz="2" w:space="0"/>
              <w:left w:val="single" w:color="auto" w:sz="2" w:space="0"/>
              <w:bottom w:val="single" w:color="auto" w:sz="2" w:space="0"/>
              <w:right w:val="single" w:color="auto" w:sz="2" w:space="0"/>
            </w:tcBorders>
            <w:vAlign w:val="center"/>
          </w:tcPr>
          <w:p w14:paraId="6ED2AF4E">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4770FE05">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6ACC4DA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47,579,656.86</w:t>
            </w:r>
          </w:p>
        </w:tc>
        <w:tc>
          <w:tcPr>
            <w:tcW w:w="724" w:type="pct"/>
            <w:tcBorders>
              <w:top w:val="single" w:color="auto" w:sz="2" w:space="0"/>
              <w:left w:val="single" w:color="auto" w:sz="2" w:space="0"/>
              <w:bottom w:val="single" w:color="auto" w:sz="2" w:space="0"/>
              <w:right w:val="single" w:color="auto" w:sz="2" w:space="0"/>
            </w:tcBorders>
            <w:vAlign w:val="center"/>
          </w:tcPr>
          <w:p w14:paraId="3313426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45,943,227.24</w:t>
            </w:r>
          </w:p>
        </w:tc>
      </w:tr>
      <w:tr w14:paraId="3D416D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0C9F6FFE">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智慧教育</w:t>
            </w:r>
          </w:p>
        </w:tc>
        <w:tc>
          <w:tcPr>
            <w:tcW w:w="725" w:type="pct"/>
            <w:tcBorders>
              <w:top w:val="single" w:color="auto" w:sz="2" w:space="0"/>
              <w:left w:val="single" w:color="auto" w:sz="2" w:space="0"/>
              <w:bottom w:val="single" w:color="auto" w:sz="2" w:space="0"/>
              <w:right w:val="single" w:color="auto" w:sz="2" w:space="0"/>
            </w:tcBorders>
            <w:vAlign w:val="center"/>
          </w:tcPr>
          <w:p w14:paraId="36CA051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81,194,925.60</w:t>
            </w:r>
          </w:p>
        </w:tc>
        <w:tc>
          <w:tcPr>
            <w:tcW w:w="725" w:type="pct"/>
            <w:tcBorders>
              <w:top w:val="single" w:color="auto" w:sz="2" w:space="0"/>
              <w:left w:val="single" w:color="auto" w:sz="2" w:space="0"/>
              <w:bottom w:val="single" w:color="auto" w:sz="2" w:space="0"/>
              <w:right w:val="single" w:color="auto" w:sz="2" w:space="0"/>
            </w:tcBorders>
            <w:vAlign w:val="center"/>
          </w:tcPr>
          <w:p w14:paraId="05147D2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73,132,458.49</w:t>
            </w:r>
          </w:p>
        </w:tc>
        <w:tc>
          <w:tcPr>
            <w:tcW w:w="506" w:type="pct"/>
            <w:tcBorders>
              <w:top w:val="single" w:color="auto" w:sz="2" w:space="0"/>
              <w:left w:val="single" w:color="auto" w:sz="2" w:space="0"/>
              <w:bottom w:val="single" w:color="auto" w:sz="2" w:space="0"/>
              <w:right w:val="single" w:color="auto" w:sz="2" w:space="0"/>
            </w:tcBorders>
            <w:vAlign w:val="center"/>
          </w:tcPr>
          <w:p w14:paraId="21F3B1C3">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0170A17A">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3F54C84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81,194,925.60</w:t>
            </w:r>
          </w:p>
        </w:tc>
        <w:tc>
          <w:tcPr>
            <w:tcW w:w="724" w:type="pct"/>
            <w:tcBorders>
              <w:top w:val="single" w:color="auto" w:sz="2" w:space="0"/>
              <w:left w:val="single" w:color="auto" w:sz="2" w:space="0"/>
              <w:bottom w:val="single" w:color="auto" w:sz="2" w:space="0"/>
              <w:right w:val="single" w:color="auto" w:sz="2" w:space="0"/>
            </w:tcBorders>
            <w:vAlign w:val="center"/>
          </w:tcPr>
          <w:p w14:paraId="67A8576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73,132,458.49</w:t>
            </w:r>
          </w:p>
        </w:tc>
      </w:tr>
      <w:tr w14:paraId="4AE4B1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57CA3277">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智慧医疗</w:t>
            </w:r>
          </w:p>
        </w:tc>
        <w:tc>
          <w:tcPr>
            <w:tcW w:w="725" w:type="pct"/>
            <w:tcBorders>
              <w:top w:val="single" w:color="auto" w:sz="2" w:space="0"/>
              <w:left w:val="single" w:color="auto" w:sz="2" w:space="0"/>
              <w:bottom w:val="single" w:color="auto" w:sz="2" w:space="0"/>
              <w:right w:val="single" w:color="auto" w:sz="2" w:space="0"/>
            </w:tcBorders>
            <w:vAlign w:val="center"/>
          </w:tcPr>
          <w:p w14:paraId="51C0013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25,917,120.14</w:t>
            </w:r>
          </w:p>
        </w:tc>
        <w:tc>
          <w:tcPr>
            <w:tcW w:w="725" w:type="pct"/>
            <w:tcBorders>
              <w:top w:val="single" w:color="auto" w:sz="2" w:space="0"/>
              <w:left w:val="single" w:color="auto" w:sz="2" w:space="0"/>
              <w:bottom w:val="single" w:color="auto" w:sz="2" w:space="0"/>
              <w:right w:val="single" w:color="auto" w:sz="2" w:space="0"/>
            </w:tcBorders>
            <w:vAlign w:val="center"/>
          </w:tcPr>
          <w:p w14:paraId="1915F9F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23,737,976.17</w:t>
            </w:r>
          </w:p>
        </w:tc>
        <w:tc>
          <w:tcPr>
            <w:tcW w:w="506" w:type="pct"/>
            <w:tcBorders>
              <w:top w:val="single" w:color="auto" w:sz="2" w:space="0"/>
              <w:left w:val="single" w:color="auto" w:sz="2" w:space="0"/>
              <w:bottom w:val="single" w:color="auto" w:sz="2" w:space="0"/>
              <w:right w:val="single" w:color="auto" w:sz="2" w:space="0"/>
            </w:tcBorders>
            <w:vAlign w:val="center"/>
          </w:tcPr>
          <w:p w14:paraId="5BAE8879">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EB5CB46">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FBD05D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25,917,120.14</w:t>
            </w:r>
          </w:p>
        </w:tc>
        <w:tc>
          <w:tcPr>
            <w:tcW w:w="724" w:type="pct"/>
            <w:tcBorders>
              <w:top w:val="single" w:color="auto" w:sz="2" w:space="0"/>
              <w:left w:val="single" w:color="auto" w:sz="2" w:space="0"/>
              <w:bottom w:val="single" w:color="auto" w:sz="2" w:space="0"/>
              <w:right w:val="single" w:color="auto" w:sz="2" w:space="0"/>
            </w:tcBorders>
            <w:vAlign w:val="center"/>
          </w:tcPr>
          <w:p w14:paraId="5B9B074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23,737,976.17</w:t>
            </w:r>
          </w:p>
        </w:tc>
      </w:tr>
      <w:tr w14:paraId="6E55D7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2299F91D">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智慧企业</w:t>
            </w:r>
          </w:p>
        </w:tc>
        <w:tc>
          <w:tcPr>
            <w:tcW w:w="725" w:type="pct"/>
            <w:tcBorders>
              <w:top w:val="single" w:color="auto" w:sz="2" w:space="0"/>
              <w:left w:val="single" w:color="auto" w:sz="2" w:space="0"/>
              <w:bottom w:val="single" w:color="auto" w:sz="2" w:space="0"/>
              <w:right w:val="single" w:color="auto" w:sz="2" w:space="0"/>
            </w:tcBorders>
            <w:vAlign w:val="center"/>
          </w:tcPr>
          <w:p w14:paraId="124AF12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43,386,613.03</w:t>
            </w:r>
          </w:p>
        </w:tc>
        <w:tc>
          <w:tcPr>
            <w:tcW w:w="725" w:type="pct"/>
            <w:tcBorders>
              <w:top w:val="single" w:color="auto" w:sz="2" w:space="0"/>
              <w:left w:val="single" w:color="auto" w:sz="2" w:space="0"/>
              <w:bottom w:val="single" w:color="auto" w:sz="2" w:space="0"/>
              <w:right w:val="single" w:color="auto" w:sz="2" w:space="0"/>
            </w:tcBorders>
            <w:vAlign w:val="center"/>
          </w:tcPr>
          <w:p w14:paraId="259E6ED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32,092,342.16</w:t>
            </w:r>
          </w:p>
        </w:tc>
        <w:tc>
          <w:tcPr>
            <w:tcW w:w="506" w:type="pct"/>
            <w:tcBorders>
              <w:top w:val="single" w:color="auto" w:sz="2" w:space="0"/>
              <w:left w:val="single" w:color="auto" w:sz="2" w:space="0"/>
              <w:bottom w:val="single" w:color="auto" w:sz="2" w:space="0"/>
              <w:right w:val="single" w:color="auto" w:sz="2" w:space="0"/>
            </w:tcBorders>
            <w:vAlign w:val="center"/>
          </w:tcPr>
          <w:p w14:paraId="258F4D18">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9A345CC">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4C3D4C7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43,386,613.03</w:t>
            </w:r>
          </w:p>
        </w:tc>
        <w:tc>
          <w:tcPr>
            <w:tcW w:w="724" w:type="pct"/>
            <w:tcBorders>
              <w:top w:val="single" w:color="auto" w:sz="2" w:space="0"/>
              <w:left w:val="single" w:color="auto" w:sz="2" w:space="0"/>
              <w:bottom w:val="single" w:color="auto" w:sz="2" w:space="0"/>
              <w:right w:val="single" w:color="auto" w:sz="2" w:space="0"/>
            </w:tcBorders>
            <w:vAlign w:val="center"/>
          </w:tcPr>
          <w:p w14:paraId="5BAB1A0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32,092,342.16</w:t>
            </w:r>
          </w:p>
        </w:tc>
      </w:tr>
      <w:tr w14:paraId="500AF5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5247E605">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轨道交通</w:t>
            </w:r>
          </w:p>
        </w:tc>
        <w:tc>
          <w:tcPr>
            <w:tcW w:w="725" w:type="pct"/>
            <w:tcBorders>
              <w:top w:val="single" w:color="auto" w:sz="2" w:space="0"/>
              <w:left w:val="single" w:color="auto" w:sz="2" w:space="0"/>
              <w:bottom w:val="single" w:color="auto" w:sz="2" w:space="0"/>
              <w:right w:val="single" w:color="auto" w:sz="2" w:space="0"/>
            </w:tcBorders>
            <w:vAlign w:val="center"/>
          </w:tcPr>
          <w:p w14:paraId="14DB727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23,427,341.16</w:t>
            </w:r>
          </w:p>
        </w:tc>
        <w:tc>
          <w:tcPr>
            <w:tcW w:w="725" w:type="pct"/>
            <w:tcBorders>
              <w:top w:val="single" w:color="auto" w:sz="2" w:space="0"/>
              <w:left w:val="single" w:color="auto" w:sz="2" w:space="0"/>
              <w:bottom w:val="single" w:color="auto" w:sz="2" w:space="0"/>
              <w:right w:val="single" w:color="auto" w:sz="2" w:space="0"/>
            </w:tcBorders>
            <w:vAlign w:val="center"/>
          </w:tcPr>
          <w:p w14:paraId="0E92179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18,838,306.49</w:t>
            </w:r>
          </w:p>
        </w:tc>
        <w:tc>
          <w:tcPr>
            <w:tcW w:w="506" w:type="pct"/>
            <w:tcBorders>
              <w:top w:val="single" w:color="auto" w:sz="2" w:space="0"/>
              <w:left w:val="single" w:color="auto" w:sz="2" w:space="0"/>
              <w:bottom w:val="single" w:color="auto" w:sz="2" w:space="0"/>
              <w:right w:val="single" w:color="auto" w:sz="2" w:space="0"/>
            </w:tcBorders>
            <w:vAlign w:val="center"/>
          </w:tcPr>
          <w:p w14:paraId="13AA2873">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633A26D6">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44434BF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23,427,341.16</w:t>
            </w:r>
          </w:p>
        </w:tc>
        <w:tc>
          <w:tcPr>
            <w:tcW w:w="724" w:type="pct"/>
            <w:tcBorders>
              <w:top w:val="single" w:color="auto" w:sz="2" w:space="0"/>
              <w:left w:val="single" w:color="auto" w:sz="2" w:space="0"/>
              <w:bottom w:val="single" w:color="auto" w:sz="2" w:space="0"/>
              <w:right w:val="single" w:color="auto" w:sz="2" w:space="0"/>
            </w:tcBorders>
            <w:vAlign w:val="center"/>
          </w:tcPr>
          <w:p w14:paraId="0A0E8FD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18,838,306.49</w:t>
            </w:r>
          </w:p>
        </w:tc>
      </w:tr>
      <w:tr w14:paraId="37221B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24E12EB8">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新能源电力</w:t>
            </w:r>
          </w:p>
        </w:tc>
        <w:tc>
          <w:tcPr>
            <w:tcW w:w="725" w:type="pct"/>
            <w:tcBorders>
              <w:top w:val="single" w:color="auto" w:sz="2" w:space="0"/>
              <w:left w:val="single" w:color="auto" w:sz="2" w:space="0"/>
              <w:bottom w:val="single" w:color="auto" w:sz="2" w:space="0"/>
              <w:right w:val="single" w:color="auto" w:sz="2" w:space="0"/>
            </w:tcBorders>
            <w:vAlign w:val="center"/>
          </w:tcPr>
          <w:p w14:paraId="7389E0B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643,382.46</w:t>
            </w:r>
          </w:p>
        </w:tc>
        <w:tc>
          <w:tcPr>
            <w:tcW w:w="725" w:type="pct"/>
            <w:tcBorders>
              <w:top w:val="single" w:color="auto" w:sz="2" w:space="0"/>
              <w:left w:val="single" w:color="auto" w:sz="2" w:space="0"/>
              <w:bottom w:val="single" w:color="auto" w:sz="2" w:space="0"/>
              <w:right w:val="single" w:color="auto" w:sz="2" w:space="0"/>
            </w:tcBorders>
            <w:vAlign w:val="center"/>
          </w:tcPr>
          <w:p w14:paraId="6EF5682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412,519.37</w:t>
            </w:r>
          </w:p>
        </w:tc>
        <w:tc>
          <w:tcPr>
            <w:tcW w:w="506" w:type="pct"/>
            <w:tcBorders>
              <w:top w:val="single" w:color="auto" w:sz="2" w:space="0"/>
              <w:left w:val="single" w:color="auto" w:sz="2" w:space="0"/>
              <w:bottom w:val="single" w:color="auto" w:sz="2" w:space="0"/>
              <w:right w:val="single" w:color="auto" w:sz="2" w:space="0"/>
            </w:tcBorders>
            <w:vAlign w:val="center"/>
          </w:tcPr>
          <w:p w14:paraId="46A8382A">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3D8EBA9">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D1DDBD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643,382.46</w:t>
            </w:r>
          </w:p>
        </w:tc>
        <w:tc>
          <w:tcPr>
            <w:tcW w:w="724" w:type="pct"/>
            <w:tcBorders>
              <w:top w:val="single" w:color="auto" w:sz="2" w:space="0"/>
              <w:left w:val="single" w:color="auto" w:sz="2" w:space="0"/>
              <w:bottom w:val="single" w:color="auto" w:sz="2" w:space="0"/>
              <w:right w:val="single" w:color="auto" w:sz="2" w:space="0"/>
            </w:tcBorders>
            <w:vAlign w:val="center"/>
          </w:tcPr>
          <w:p w14:paraId="319E4F7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412,519.37</w:t>
            </w:r>
          </w:p>
        </w:tc>
      </w:tr>
      <w:tr w14:paraId="1A165B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0B2C8287">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其他业务收入</w:t>
            </w:r>
          </w:p>
        </w:tc>
        <w:tc>
          <w:tcPr>
            <w:tcW w:w="725" w:type="pct"/>
            <w:tcBorders>
              <w:top w:val="single" w:color="auto" w:sz="2" w:space="0"/>
              <w:left w:val="single" w:color="auto" w:sz="2" w:space="0"/>
              <w:bottom w:val="single" w:color="auto" w:sz="2" w:space="0"/>
              <w:right w:val="single" w:color="auto" w:sz="2" w:space="0"/>
            </w:tcBorders>
            <w:vAlign w:val="center"/>
          </w:tcPr>
          <w:p w14:paraId="394F15C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1,483,969.86</w:t>
            </w:r>
          </w:p>
        </w:tc>
        <w:tc>
          <w:tcPr>
            <w:tcW w:w="725" w:type="pct"/>
            <w:tcBorders>
              <w:top w:val="single" w:color="auto" w:sz="2" w:space="0"/>
              <w:left w:val="single" w:color="auto" w:sz="2" w:space="0"/>
              <w:bottom w:val="single" w:color="auto" w:sz="2" w:space="0"/>
              <w:right w:val="single" w:color="auto" w:sz="2" w:space="0"/>
            </w:tcBorders>
            <w:vAlign w:val="center"/>
          </w:tcPr>
          <w:p w14:paraId="41BB735B">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244BFE40">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60549E2C">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49B0AE1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1,483,969.86</w:t>
            </w:r>
          </w:p>
        </w:tc>
        <w:tc>
          <w:tcPr>
            <w:tcW w:w="724" w:type="pct"/>
            <w:tcBorders>
              <w:top w:val="single" w:color="auto" w:sz="2" w:space="0"/>
              <w:left w:val="single" w:color="auto" w:sz="2" w:space="0"/>
              <w:bottom w:val="single" w:color="auto" w:sz="2" w:space="0"/>
              <w:right w:val="single" w:color="auto" w:sz="2" w:space="0"/>
            </w:tcBorders>
            <w:vAlign w:val="center"/>
          </w:tcPr>
          <w:p w14:paraId="1DFE671D">
            <w:pPr>
              <w:spacing w:line="240" w:lineRule="exact"/>
              <w:jc w:val="right"/>
              <w:rPr>
                <w:rFonts w:ascii="Times New Roman" w:hAnsi="Times New Roman" w:eastAsia="宋体" w:cs="Times New Roman"/>
                <w:sz w:val="18"/>
                <w:szCs w:val="18"/>
              </w:rPr>
            </w:pPr>
          </w:p>
        </w:tc>
      </w:tr>
      <w:tr w14:paraId="27517A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03E7BBD7">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合同类型</w:t>
            </w:r>
          </w:p>
        </w:tc>
        <w:tc>
          <w:tcPr>
            <w:tcW w:w="725" w:type="pct"/>
            <w:tcBorders>
              <w:top w:val="single" w:color="auto" w:sz="2" w:space="0"/>
              <w:left w:val="single" w:color="auto" w:sz="2" w:space="0"/>
              <w:bottom w:val="single" w:color="auto" w:sz="2" w:space="0"/>
              <w:right w:val="single" w:color="auto" w:sz="2" w:space="0"/>
            </w:tcBorders>
            <w:vAlign w:val="center"/>
          </w:tcPr>
          <w:p w14:paraId="3DACD46B">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3C8F4F0B">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1191A70">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41BD4847">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49801C76">
            <w:pPr>
              <w:spacing w:line="240" w:lineRule="exact"/>
              <w:jc w:val="right"/>
              <w:rPr>
                <w:rFonts w:ascii="Times New Roman" w:hAnsi="Times New Roman" w:eastAsia="宋体" w:cs="Times New Roman"/>
                <w:sz w:val="18"/>
                <w:szCs w:val="18"/>
              </w:rPr>
            </w:pPr>
          </w:p>
        </w:tc>
        <w:tc>
          <w:tcPr>
            <w:tcW w:w="724" w:type="pct"/>
            <w:tcBorders>
              <w:top w:val="single" w:color="auto" w:sz="2" w:space="0"/>
              <w:left w:val="single" w:color="auto" w:sz="2" w:space="0"/>
              <w:bottom w:val="single" w:color="auto" w:sz="2" w:space="0"/>
              <w:right w:val="single" w:color="auto" w:sz="2" w:space="0"/>
            </w:tcBorders>
            <w:vAlign w:val="center"/>
          </w:tcPr>
          <w:p w14:paraId="436408A4">
            <w:pPr>
              <w:spacing w:line="240" w:lineRule="exact"/>
              <w:jc w:val="right"/>
              <w:rPr>
                <w:rFonts w:ascii="Times New Roman" w:hAnsi="Times New Roman" w:eastAsia="宋体" w:cs="Times New Roman"/>
                <w:sz w:val="18"/>
                <w:szCs w:val="18"/>
              </w:rPr>
            </w:pPr>
          </w:p>
        </w:tc>
      </w:tr>
      <w:tr w14:paraId="7A17F3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608A3A79">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5F9C95BE">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71602F1D">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5DA5C34D">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7CF0F0AE">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0534F61A">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4369EDAD">
            <w:pPr>
              <w:rPr>
                <w:rFonts w:ascii="Times New Roman" w:hAnsi="Times New Roman" w:cs="Times New Roman"/>
              </w:rPr>
            </w:pPr>
          </w:p>
        </w:tc>
      </w:tr>
      <w:tr w14:paraId="6695DB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6B23164A">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按商品转让的时间分类</w:t>
            </w:r>
          </w:p>
        </w:tc>
        <w:tc>
          <w:tcPr>
            <w:tcW w:w="725" w:type="pct"/>
            <w:tcBorders>
              <w:top w:val="single" w:color="auto" w:sz="2" w:space="0"/>
              <w:left w:val="single" w:color="auto" w:sz="2" w:space="0"/>
              <w:bottom w:val="single" w:color="auto" w:sz="2" w:space="0"/>
              <w:right w:val="single" w:color="auto" w:sz="2" w:space="0"/>
            </w:tcBorders>
            <w:vAlign w:val="center"/>
          </w:tcPr>
          <w:p w14:paraId="3140560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5" w:type="pct"/>
            <w:tcBorders>
              <w:top w:val="single" w:color="auto" w:sz="2" w:space="0"/>
              <w:left w:val="single" w:color="auto" w:sz="2" w:space="0"/>
              <w:bottom w:val="single" w:color="auto" w:sz="2" w:space="0"/>
              <w:right w:val="single" w:color="auto" w:sz="2" w:space="0"/>
            </w:tcBorders>
            <w:vAlign w:val="center"/>
          </w:tcPr>
          <w:p w14:paraId="0C2DBF3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c>
          <w:tcPr>
            <w:tcW w:w="506" w:type="pct"/>
            <w:tcBorders>
              <w:top w:val="single" w:color="auto" w:sz="2" w:space="0"/>
              <w:left w:val="single" w:color="auto" w:sz="2" w:space="0"/>
              <w:bottom w:val="single" w:color="auto" w:sz="2" w:space="0"/>
              <w:right w:val="single" w:color="auto" w:sz="2" w:space="0"/>
            </w:tcBorders>
            <w:vAlign w:val="center"/>
          </w:tcPr>
          <w:p w14:paraId="0F87EEA2">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26AA4AA3">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55CFF0F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4" w:type="pct"/>
            <w:tcBorders>
              <w:top w:val="single" w:color="auto" w:sz="2" w:space="0"/>
              <w:left w:val="single" w:color="auto" w:sz="2" w:space="0"/>
              <w:bottom w:val="single" w:color="auto" w:sz="2" w:space="0"/>
              <w:right w:val="single" w:color="auto" w:sz="2" w:space="0"/>
            </w:tcBorders>
            <w:vAlign w:val="center"/>
          </w:tcPr>
          <w:p w14:paraId="00A6DC1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r>
      <w:tr w14:paraId="53E574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58D5E9AA">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7D13A7BE">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4A4D60D2">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78907A42">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33E9893F">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791DA0E1">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1BA0A864">
            <w:pPr>
              <w:rPr>
                <w:rFonts w:ascii="Times New Roman" w:hAnsi="Times New Roman" w:cs="Times New Roman"/>
              </w:rPr>
            </w:pPr>
          </w:p>
        </w:tc>
      </w:tr>
      <w:tr w14:paraId="01DC76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442C727A">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在某一时点</w:t>
            </w:r>
          </w:p>
        </w:tc>
        <w:tc>
          <w:tcPr>
            <w:tcW w:w="725" w:type="pct"/>
            <w:tcBorders>
              <w:top w:val="single" w:color="auto" w:sz="2" w:space="0"/>
              <w:left w:val="single" w:color="auto" w:sz="2" w:space="0"/>
              <w:bottom w:val="single" w:color="auto" w:sz="2" w:space="0"/>
              <w:right w:val="single" w:color="auto" w:sz="2" w:space="0"/>
            </w:tcBorders>
            <w:vAlign w:val="center"/>
          </w:tcPr>
          <w:p w14:paraId="06577C4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214,095,784.88</w:t>
            </w:r>
          </w:p>
        </w:tc>
        <w:tc>
          <w:tcPr>
            <w:tcW w:w="725" w:type="pct"/>
            <w:tcBorders>
              <w:top w:val="single" w:color="auto" w:sz="2" w:space="0"/>
              <w:left w:val="single" w:color="auto" w:sz="2" w:space="0"/>
              <w:bottom w:val="single" w:color="auto" w:sz="2" w:space="0"/>
              <w:right w:val="single" w:color="auto" w:sz="2" w:space="0"/>
            </w:tcBorders>
            <w:vAlign w:val="center"/>
          </w:tcPr>
          <w:p w14:paraId="028F0EF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188,271,105.62</w:t>
            </w:r>
          </w:p>
        </w:tc>
        <w:tc>
          <w:tcPr>
            <w:tcW w:w="506" w:type="pct"/>
            <w:tcBorders>
              <w:top w:val="single" w:color="auto" w:sz="2" w:space="0"/>
              <w:left w:val="single" w:color="auto" w:sz="2" w:space="0"/>
              <w:bottom w:val="single" w:color="auto" w:sz="2" w:space="0"/>
              <w:right w:val="single" w:color="auto" w:sz="2" w:space="0"/>
            </w:tcBorders>
            <w:vAlign w:val="center"/>
          </w:tcPr>
          <w:p w14:paraId="0A416C39">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1B6AF85">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7310C9A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214,095,784.88</w:t>
            </w:r>
          </w:p>
        </w:tc>
        <w:tc>
          <w:tcPr>
            <w:tcW w:w="724" w:type="pct"/>
            <w:tcBorders>
              <w:top w:val="single" w:color="auto" w:sz="2" w:space="0"/>
              <w:left w:val="single" w:color="auto" w:sz="2" w:space="0"/>
              <w:bottom w:val="single" w:color="auto" w:sz="2" w:space="0"/>
              <w:right w:val="single" w:color="auto" w:sz="2" w:space="0"/>
            </w:tcBorders>
            <w:vAlign w:val="center"/>
          </w:tcPr>
          <w:p w14:paraId="4E5C550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188,271,105.62</w:t>
            </w:r>
          </w:p>
        </w:tc>
      </w:tr>
      <w:tr w14:paraId="173490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vAlign w:val="center"/>
          </w:tcPr>
          <w:p w14:paraId="0DDCBB7E">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在某一时间段</w:t>
            </w:r>
          </w:p>
        </w:tc>
        <w:tc>
          <w:tcPr>
            <w:tcW w:w="725" w:type="pct"/>
            <w:tcBorders>
              <w:top w:val="single" w:color="auto" w:sz="2" w:space="0"/>
              <w:left w:val="single" w:color="auto" w:sz="2" w:space="0"/>
              <w:bottom w:val="single" w:color="auto" w:sz="2" w:space="0"/>
              <w:right w:val="single" w:color="auto" w:sz="2" w:space="0"/>
            </w:tcBorders>
            <w:vAlign w:val="center"/>
          </w:tcPr>
          <w:p w14:paraId="48D3079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9,537,224.23</w:t>
            </w:r>
          </w:p>
        </w:tc>
        <w:tc>
          <w:tcPr>
            <w:tcW w:w="725" w:type="pct"/>
            <w:tcBorders>
              <w:top w:val="single" w:color="auto" w:sz="2" w:space="0"/>
              <w:left w:val="single" w:color="auto" w:sz="2" w:space="0"/>
              <w:bottom w:val="single" w:color="auto" w:sz="2" w:space="0"/>
              <w:right w:val="single" w:color="auto" w:sz="2" w:space="0"/>
            </w:tcBorders>
            <w:vAlign w:val="center"/>
          </w:tcPr>
          <w:p w14:paraId="20295B3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5,885,724.30</w:t>
            </w:r>
          </w:p>
        </w:tc>
        <w:tc>
          <w:tcPr>
            <w:tcW w:w="506" w:type="pct"/>
            <w:tcBorders>
              <w:top w:val="single" w:color="auto" w:sz="2" w:space="0"/>
              <w:left w:val="single" w:color="auto" w:sz="2" w:space="0"/>
              <w:bottom w:val="single" w:color="auto" w:sz="2" w:space="0"/>
              <w:right w:val="single" w:color="auto" w:sz="2" w:space="0"/>
            </w:tcBorders>
            <w:vAlign w:val="center"/>
          </w:tcPr>
          <w:p w14:paraId="04F1E022">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39939DF">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E27527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9,537,224.23</w:t>
            </w:r>
          </w:p>
        </w:tc>
        <w:tc>
          <w:tcPr>
            <w:tcW w:w="724" w:type="pct"/>
            <w:tcBorders>
              <w:top w:val="single" w:color="auto" w:sz="2" w:space="0"/>
              <w:left w:val="single" w:color="auto" w:sz="2" w:space="0"/>
              <w:bottom w:val="single" w:color="auto" w:sz="2" w:space="0"/>
              <w:right w:val="single" w:color="auto" w:sz="2" w:space="0"/>
            </w:tcBorders>
            <w:vAlign w:val="center"/>
          </w:tcPr>
          <w:p w14:paraId="5C95FD5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5,885,724.30</w:t>
            </w:r>
          </w:p>
        </w:tc>
      </w:tr>
      <w:tr w14:paraId="6B5A8E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0B593BBC">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按合同期限分类</w:t>
            </w:r>
          </w:p>
        </w:tc>
        <w:tc>
          <w:tcPr>
            <w:tcW w:w="725" w:type="pct"/>
            <w:tcBorders>
              <w:top w:val="single" w:color="auto" w:sz="2" w:space="0"/>
              <w:left w:val="single" w:color="auto" w:sz="2" w:space="0"/>
              <w:bottom w:val="single" w:color="auto" w:sz="2" w:space="0"/>
              <w:right w:val="single" w:color="auto" w:sz="2" w:space="0"/>
            </w:tcBorders>
            <w:vAlign w:val="center"/>
          </w:tcPr>
          <w:p w14:paraId="49D92385">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23273269">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5271B98">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70C4E5B6">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1172B50F">
            <w:pPr>
              <w:spacing w:line="240" w:lineRule="exact"/>
              <w:jc w:val="right"/>
              <w:rPr>
                <w:rFonts w:ascii="Times New Roman" w:hAnsi="Times New Roman" w:eastAsia="宋体" w:cs="Times New Roman"/>
                <w:sz w:val="18"/>
                <w:szCs w:val="18"/>
              </w:rPr>
            </w:pPr>
          </w:p>
        </w:tc>
        <w:tc>
          <w:tcPr>
            <w:tcW w:w="724" w:type="pct"/>
            <w:tcBorders>
              <w:top w:val="single" w:color="auto" w:sz="2" w:space="0"/>
              <w:left w:val="single" w:color="auto" w:sz="2" w:space="0"/>
              <w:bottom w:val="single" w:color="auto" w:sz="2" w:space="0"/>
              <w:right w:val="single" w:color="auto" w:sz="2" w:space="0"/>
            </w:tcBorders>
            <w:vAlign w:val="center"/>
          </w:tcPr>
          <w:p w14:paraId="457EF2BA">
            <w:pPr>
              <w:spacing w:line="240" w:lineRule="exact"/>
              <w:jc w:val="right"/>
              <w:rPr>
                <w:rFonts w:ascii="Times New Roman" w:hAnsi="Times New Roman" w:eastAsia="宋体" w:cs="Times New Roman"/>
                <w:sz w:val="18"/>
                <w:szCs w:val="18"/>
              </w:rPr>
            </w:pPr>
          </w:p>
        </w:tc>
      </w:tr>
      <w:tr w14:paraId="66BDA6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19CF83A5">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29E660CE">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47204C2F">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0C48FEA9">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572D3636">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7C121EAF">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07B859BD">
            <w:pPr>
              <w:rPr>
                <w:rFonts w:ascii="Times New Roman" w:hAnsi="Times New Roman" w:cs="Times New Roman"/>
              </w:rPr>
            </w:pPr>
          </w:p>
        </w:tc>
      </w:tr>
      <w:tr w14:paraId="685F1EF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0461FC00">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按销售渠道分类</w:t>
            </w:r>
          </w:p>
        </w:tc>
        <w:tc>
          <w:tcPr>
            <w:tcW w:w="725" w:type="pct"/>
            <w:tcBorders>
              <w:top w:val="single" w:color="auto" w:sz="2" w:space="0"/>
              <w:left w:val="single" w:color="auto" w:sz="2" w:space="0"/>
              <w:bottom w:val="single" w:color="auto" w:sz="2" w:space="0"/>
              <w:right w:val="single" w:color="auto" w:sz="2" w:space="0"/>
            </w:tcBorders>
            <w:vAlign w:val="center"/>
          </w:tcPr>
          <w:p w14:paraId="200F2B27">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534F7BA7">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5DCB49DA">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17B25F61">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72AFF664">
            <w:pPr>
              <w:spacing w:line="240" w:lineRule="exact"/>
              <w:jc w:val="right"/>
              <w:rPr>
                <w:rFonts w:ascii="Times New Roman" w:hAnsi="Times New Roman" w:eastAsia="宋体" w:cs="Times New Roman"/>
                <w:sz w:val="18"/>
                <w:szCs w:val="18"/>
              </w:rPr>
            </w:pPr>
          </w:p>
        </w:tc>
        <w:tc>
          <w:tcPr>
            <w:tcW w:w="724" w:type="pct"/>
            <w:tcBorders>
              <w:top w:val="single" w:color="auto" w:sz="2" w:space="0"/>
              <w:left w:val="single" w:color="auto" w:sz="2" w:space="0"/>
              <w:bottom w:val="single" w:color="auto" w:sz="2" w:space="0"/>
              <w:right w:val="single" w:color="auto" w:sz="2" w:space="0"/>
            </w:tcBorders>
            <w:vAlign w:val="center"/>
          </w:tcPr>
          <w:p w14:paraId="72566E78">
            <w:pPr>
              <w:spacing w:line="240" w:lineRule="exact"/>
              <w:jc w:val="right"/>
              <w:rPr>
                <w:rFonts w:ascii="Times New Roman" w:hAnsi="Times New Roman" w:eastAsia="宋体" w:cs="Times New Roman"/>
                <w:sz w:val="18"/>
                <w:szCs w:val="18"/>
              </w:rPr>
            </w:pPr>
          </w:p>
        </w:tc>
      </w:tr>
      <w:tr w14:paraId="5B66F5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36686995">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6F431472">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19082996">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35206BE1">
            <w:pPr>
              <w:rPr>
                <w:rFonts w:ascii="Times New Roman" w:hAnsi="Times New Roman" w:cs="Times New Roman"/>
              </w:rPr>
            </w:pPr>
          </w:p>
        </w:tc>
        <w:tc>
          <w:tcPr>
            <w:tcW w:w="506" w:type="pct"/>
            <w:tcBorders>
              <w:top w:val="single" w:color="auto" w:sz="2" w:space="0"/>
              <w:left w:val="single" w:color="auto" w:sz="2" w:space="0"/>
              <w:bottom w:val="single" w:color="auto" w:sz="2" w:space="0"/>
              <w:right w:val="single" w:color="auto" w:sz="2" w:space="0"/>
            </w:tcBorders>
            <w:shd w:val="clear" w:color="auto" w:fill="D3D3D3"/>
            <w:vAlign w:val="center"/>
          </w:tcPr>
          <w:p w14:paraId="0D0BC3C9">
            <w:pPr>
              <w:rPr>
                <w:rFonts w:ascii="Times New Roman" w:hAnsi="Times New Roman" w:cs="Times New Roman"/>
              </w:rPr>
            </w:pPr>
          </w:p>
        </w:tc>
        <w:tc>
          <w:tcPr>
            <w:tcW w:w="725" w:type="pct"/>
            <w:tcBorders>
              <w:top w:val="single" w:color="auto" w:sz="2" w:space="0"/>
              <w:left w:val="single" w:color="auto" w:sz="2" w:space="0"/>
              <w:bottom w:val="single" w:color="auto" w:sz="2" w:space="0"/>
              <w:right w:val="single" w:color="auto" w:sz="2" w:space="0"/>
            </w:tcBorders>
            <w:shd w:val="clear" w:color="auto" w:fill="D3D3D3"/>
            <w:vAlign w:val="center"/>
          </w:tcPr>
          <w:p w14:paraId="29D9FDE1">
            <w:pPr>
              <w:rPr>
                <w:rFonts w:ascii="Times New Roman" w:hAnsi="Times New Roman" w:cs="Times New Roman"/>
              </w:rPr>
            </w:pPr>
          </w:p>
        </w:tc>
        <w:tc>
          <w:tcPr>
            <w:tcW w:w="724" w:type="pct"/>
            <w:tcBorders>
              <w:top w:val="single" w:color="auto" w:sz="2" w:space="0"/>
              <w:left w:val="single" w:color="auto" w:sz="2" w:space="0"/>
              <w:bottom w:val="single" w:color="auto" w:sz="2" w:space="0"/>
              <w:right w:val="single" w:color="auto" w:sz="2" w:space="0"/>
            </w:tcBorders>
            <w:shd w:val="clear" w:color="auto" w:fill="D3D3D3"/>
            <w:vAlign w:val="center"/>
          </w:tcPr>
          <w:p w14:paraId="3B538512">
            <w:pPr>
              <w:rPr>
                <w:rFonts w:ascii="Times New Roman" w:hAnsi="Times New Roman" w:cs="Times New Roman"/>
              </w:rPr>
            </w:pPr>
          </w:p>
        </w:tc>
      </w:tr>
      <w:tr w14:paraId="38CBB10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89" w:type="pct"/>
            <w:tcBorders>
              <w:top w:val="single" w:color="auto" w:sz="2" w:space="0"/>
              <w:left w:val="single" w:color="auto" w:sz="2" w:space="0"/>
              <w:bottom w:val="single" w:color="auto" w:sz="2" w:space="0"/>
              <w:right w:val="single" w:color="auto" w:sz="2" w:space="0"/>
            </w:tcBorders>
            <w:shd w:val="clear" w:color="auto" w:fill="D3D3D3"/>
            <w:vAlign w:val="center"/>
          </w:tcPr>
          <w:p w14:paraId="72CEC032">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合计</w:t>
            </w:r>
          </w:p>
        </w:tc>
        <w:tc>
          <w:tcPr>
            <w:tcW w:w="725" w:type="pct"/>
            <w:tcBorders>
              <w:top w:val="single" w:color="auto" w:sz="2" w:space="0"/>
              <w:left w:val="single" w:color="auto" w:sz="2" w:space="0"/>
              <w:bottom w:val="single" w:color="auto" w:sz="2" w:space="0"/>
              <w:right w:val="single" w:color="auto" w:sz="2" w:space="0"/>
            </w:tcBorders>
            <w:vAlign w:val="center"/>
          </w:tcPr>
          <w:p w14:paraId="44DCF5D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5" w:type="pct"/>
            <w:tcBorders>
              <w:top w:val="single" w:color="auto" w:sz="2" w:space="0"/>
              <w:left w:val="single" w:color="auto" w:sz="2" w:space="0"/>
              <w:bottom w:val="single" w:color="auto" w:sz="2" w:space="0"/>
              <w:right w:val="single" w:color="auto" w:sz="2" w:space="0"/>
            </w:tcBorders>
            <w:vAlign w:val="center"/>
          </w:tcPr>
          <w:p w14:paraId="4275F66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c>
          <w:tcPr>
            <w:tcW w:w="506" w:type="pct"/>
            <w:tcBorders>
              <w:top w:val="single" w:color="auto" w:sz="2" w:space="0"/>
              <w:left w:val="single" w:color="auto" w:sz="2" w:space="0"/>
              <w:bottom w:val="single" w:color="auto" w:sz="2" w:space="0"/>
              <w:right w:val="single" w:color="auto" w:sz="2" w:space="0"/>
            </w:tcBorders>
            <w:vAlign w:val="center"/>
          </w:tcPr>
          <w:p w14:paraId="5CD97CA1">
            <w:pPr>
              <w:spacing w:line="240" w:lineRule="exact"/>
              <w:jc w:val="right"/>
              <w:rPr>
                <w:rFonts w:ascii="Times New Roman" w:hAnsi="Times New Roman" w:eastAsia="宋体" w:cs="Times New Roman"/>
                <w:sz w:val="18"/>
                <w:szCs w:val="18"/>
              </w:rPr>
            </w:pPr>
          </w:p>
        </w:tc>
        <w:tc>
          <w:tcPr>
            <w:tcW w:w="506" w:type="pct"/>
            <w:tcBorders>
              <w:top w:val="single" w:color="auto" w:sz="2" w:space="0"/>
              <w:left w:val="single" w:color="auto" w:sz="2" w:space="0"/>
              <w:bottom w:val="single" w:color="auto" w:sz="2" w:space="0"/>
              <w:right w:val="single" w:color="auto" w:sz="2" w:space="0"/>
            </w:tcBorders>
            <w:vAlign w:val="center"/>
          </w:tcPr>
          <w:p w14:paraId="3D7FC050">
            <w:pPr>
              <w:spacing w:line="240" w:lineRule="exact"/>
              <w:jc w:val="right"/>
              <w:rPr>
                <w:rFonts w:ascii="Times New Roman" w:hAnsi="Times New Roman" w:eastAsia="宋体" w:cs="Times New Roman"/>
                <w:sz w:val="18"/>
                <w:szCs w:val="18"/>
              </w:rPr>
            </w:pPr>
          </w:p>
        </w:tc>
        <w:tc>
          <w:tcPr>
            <w:tcW w:w="725" w:type="pct"/>
            <w:tcBorders>
              <w:top w:val="single" w:color="auto" w:sz="2" w:space="0"/>
              <w:left w:val="single" w:color="auto" w:sz="2" w:space="0"/>
              <w:bottom w:val="single" w:color="auto" w:sz="2" w:space="0"/>
              <w:right w:val="single" w:color="auto" w:sz="2" w:space="0"/>
            </w:tcBorders>
            <w:vAlign w:val="center"/>
          </w:tcPr>
          <w:p w14:paraId="5A4E08A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223,633,009.11</w:t>
            </w:r>
          </w:p>
        </w:tc>
        <w:tc>
          <w:tcPr>
            <w:tcW w:w="724" w:type="pct"/>
            <w:tcBorders>
              <w:top w:val="single" w:color="auto" w:sz="2" w:space="0"/>
              <w:left w:val="single" w:color="auto" w:sz="2" w:space="0"/>
              <w:bottom w:val="single" w:color="auto" w:sz="2" w:space="0"/>
              <w:right w:val="single" w:color="auto" w:sz="2" w:space="0"/>
            </w:tcBorders>
            <w:vAlign w:val="center"/>
          </w:tcPr>
          <w:p w14:paraId="5AECC5C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194,156,829.92</w:t>
            </w:r>
          </w:p>
        </w:tc>
      </w:tr>
    </w:tbl>
    <w:p w14:paraId="04412F0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与分摊至剩余履约义务的交易价格相关的信息：</w:t>
      </w:r>
    </w:p>
    <w:p w14:paraId="29B571E5">
      <w:pPr>
        <w:spacing w:before="10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本报告期末已签订合同、但尚未履行或尚未履行完毕的履约义务所对应的收入金额为732,536,647.61元。</w:t>
      </w:r>
    </w:p>
    <w:p w14:paraId="1B0B5164">
      <w:pPr>
        <w:spacing w:before="156" w:beforeLines="50" w:after="10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合同中可变对价相关信息：</w:t>
      </w:r>
      <w:r>
        <w:rPr>
          <w:rFonts w:hint="eastAsia" w:ascii="Times New Roman" w:hAnsi="Times New Roman" w:cs="Times New Roman" w:eastAsiaTheme="majorEastAsia"/>
          <w:sz w:val="18"/>
          <w:szCs w:val="18"/>
        </w:rPr>
        <w:t>不适用。</w:t>
      </w:r>
    </w:p>
    <w:p w14:paraId="5F0CC008">
      <w:pPr>
        <w:pStyle w:val="3"/>
        <w:spacing w:line="280" w:lineRule="exact"/>
        <w:jc w:val="left"/>
        <w:rPr>
          <w:rFonts w:ascii="Times New Roman" w:hAnsi="Times New Roman" w:cs="Times New Roman" w:eastAsiaTheme="majorEastAsia"/>
          <w:b/>
          <w:bCs/>
        </w:rPr>
      </w:pPr>
      <w:bookmarkStart w:id="351" w:name="_Toc989240"/>
      <w:r>
        <w:rPr>
          <w:rFonts w:ascii="Times New Roman" w:hAnsi="Times New Roman" w:cs="Times New Roman" w:eastAsiaTheme="majorEastAsia"/>
          <w:b/>
          <w:bCs/>
        </w:rPr>
        <w:t>47、税金及附加</w:t>
      </w:r>
      <w:bookmarkEnd w:id="351"/>
    </w:p>
    <w:p w14:paraId="6019281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DD14F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84D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3410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42CAA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B6D4A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0A624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城市维护建设税</w:t>
            </w:r>
          </w:p>
        </w:tc>
        <w:tc>
          <w:tcPr>
            <w:tcW w:w="3213" w:type="dxa"/>
            <w:tcBorders>
              <w:top w:val="single" w:color="auto" w:sz="2" w:space="0"/>
              <w:left w:val="single" w:color="auto" w:sz="2" w:space="0"/>
              <w:bottom w:val="single" w:color="auto" w:sz="2" w:space="0"/>
              <w:right w:val="single" w:color="auto" w:sz="2" w:space="0"/>
            </w:tcBorders>
            <w:vAlign w:val="center"/>
          </w:tcPr>
          <w:p w14:paraId="794A3F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152,013.55</w:t>
            </w:r>
          </w:p>
        </w:tc>
        <w:tc>
          <w:tcPr>
            <w:tcW w:w="3213" w:type="dxa"/>
            <w:tcBorders>
              <w:top w:val="single" w:color="auto" w:sz="2" w:space="0"/>
              <w:left w:val="single" w:color="auto" w:sz="2" w:space="0"/>
              <w:bottom w:val="single" w:color="auto" w:sz="2" w:space="0"/>
              <w:right w:val="single" w:color="auto" w:sz="2" w:space="0"/>
            </w:tcBorders>
            <w:vAlign w:val="center"/>
          </w:tcPr>
          <w:p w14:paraId="3ABF69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231,062.42</w:t>
            </w:r>
          </w:p>
        </w:tc>
      </w:tr>
      <w:tr w14:paraId="3DBF7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785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教育费附加</w:t>
            </w:r>
          </w:p>
        </w:tc>
        <w:tc>
          <w:tcPr>
            <w:tcW w:w="3213" w:type="dxa"/>
            <w:tcBorders>
              <w:top w:val="single" w:color="auto" w:sz="2" w:space="0"/>
              <w:left w:val="single" w:color="auto" w:sz="2" w:space="0"/>
              <w:bottom w:val="single" w:color="auto" w:sz="2" w:space="0"/>
              <w:right w:val="single" w:color="auto" w:sz="2" w:space="0"/>
            </w:tcBorders>
            <w:vAlign w:val="center"/>
          </w:tcPr>
          <w:p w14:paraId="41BAB9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99,843.05</w:t>
            </w:r>
          </w:p>
        </w:tc>
        <w:tc>
          <w:tcPr>
            <w:tcW w:w="3213" w:type="dxa"/>
            <w:tcBorders>
              <w:top w:val="single" w:color="auto" w:sz="2" w:space="0"/>
              <w:left w:val="single" w:color="auto" w:sz="2" w:space="0"/>
              <w:bottom w:val="single" w:color="auto" w:sz="2" w:space="0"/>
              <w:right w:val="single" w:color="auto" w:sz="2" w:space="0"/>
            </w:tcBorders>
            <w:vAlign w:val="center"/>
          </w:tcPr>
          <w:p w14:paraId="055639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164,804.76</w:t>
            </w:r>
          </w:p>
        </w:tc>
      </w:tr>
      <w:tr w14:paraId="191CC8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89A55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房产税</w:t>
            </w:r>
          </w:p>
        </w:tc>
        <w:tc>
          <w:tcPr>
            <w:tcW w:w="3213" w:type="dxa"/>
            <w:tcBorders>
              <w:top w:val="single" w:color="auto" w:sz="2" w:space="0"/>
              <w:left w:val="single" w:color="auto" w:sz="2" w:space="0"/>
              <w:bottom w:val="single" w:color="auto" w:sz="2" w:space="0"/>
              <w:right w:val="single" w:color="auto" w:sz="2" w:space="0"/>
            </w:tcBorders>
            <w:vAlign w:val="center"/>
          </w:tcPr>
          <w:p w14:paraId="72B732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558,200.59</w:t>
            </w:r>
          </w:p>
        </w:tc>
        <w:tc>
          <w:tcPr>
            <w:tcW w:w="3213" w:type="dxa"/>
            <w:tcBorders>
              <w:top w:val="single" w:color="auto" w:sz="2" w:space="0"/>
              <w:left w:val="single" w:color="auto" w:sz="2" w:space="0"/>
              <w:bottom w:val="single" w:color="auto" w:sz="2" w:space="0"/>
              <w:right w:val="single" w:color="auto" w:sz="2" w:space="0"/>
            </w:tcBorders>
            <w:vAlign w:val="center"/>
          </w:tcPr>
          <w:p w14:paraId="681F30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64,626.75</w:t>
            </w:r>
          </w:p>
        </w:tc>
      </w:tr>
      <w:tr w14:paraId="297DA9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9D1DA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土地使用税</w:t>
            </w:r>
          </w:p>
        </w:tc>
        <w:tc>
          <w:tcPr>
            <w:tcW w:w="3213" w:type="dxa"/>
            <w:tcBorders>
              <w:top w:val="single" w:color="auto" w:sz="2" w:space="0"/>
              <w:left w:val="single" w:color="auto" w:sz="2" w:space="0"/>
              <w:bottom w:val="single" w:color="auto" w:sz="2" w:space="0"/>
              <w:right w:val="single" w:color="auto" w:sz="2" w:space="0"/>
            </w:tcBorders>
            <w:vAlign w:val="center"/>
          </w:tcPr>
          <w:p w14:paraId="740396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1,077.71</w:t>
            </w:r>
          </w:p>
        </w:tc>
        <w:tc>
          <w:tcPr>
            <w:tcW w:w="3213" w:type="dxa"/>
            <w:tcBorders>
              <w:top w:val="single" w:color="auto" w:sz="2" w:space="0"/>
              <w:left w:val="single" w:color="auto" w:sz="2" w:space="0"/>
              <w:bottom w:val="single" w:color="auto" w:sz="2" w:space="0"/>
              <w:right w:val="single" w:color="auto" w:sz="2" w:space="0"/>
            </w:tcBorders>
            <w:vAlign w:val="center"/>
          </w:tcPr>
          <w:p w14:paraId="15F2FE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187.50</w:t>
            </w:r>
          </w:p>
        </w:tc>
      </w:tr>
      <w:tr w14:paraId="348E6B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17869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车船使用税</w:t>
            </w:r>
          </w:p>
        </w:tc>
        <w:tc>
          <w:tcPr>
            <w:tcW w:w="3213" w:type="dxa"/>
            <w:tcBorders>
              <w:top w:val="single" w:color="auto" w:sz="2" w:space="0"/>
              <w:left w:val="single" w:color="auto" w:sz="2" w:space="0"/>
              <w:bottom w:val="single" w:color="auto" w:sz="2" w:space="0"/>
              <w:right w:val="single" w:color="auto" w:sz="2" w:space="0"/>
            </w:tcBorders>
            <w:vAlign w:val="center"/>
          </w:tcPr>
          <w:p w14:paraId="2B393A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7,496.42</w:t>
            </w:r>
          </w:p>
        </w:tc>
        <w:tc>
          <w:tcPr>
            <w:tcW w:w="3213" w:type="dxa"/>
            <w:tcBorders>
              <w:top w:val="single" w:color="auto" w:sz="2" w:space="0"/>
              <w:left w:val="single" w:color="auto" w:sz="2" w:space="0"/>
              <w:bottom w:val="single" w:color="auto" w:sz="2" w:space="0"/>
              <w:right w:val="single" w:color="auto" w:sz="2" w:space="0"/>
            </w:tcBorders>
            <w:vAlign w:val="center"/>
          </w:tcPr>
          <w:p w14:paraId="468770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5,444.72</w:t>
            </w:r>
          </w:p>
        </w:tc>
      </w:tr>
      <w:tr w14:paraId="7C2D2D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1963AE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印花税</w:t>
            </w:r>
          </w:p>
        </w:tc>
        <w:tc>
          <w:tcPr>
            <w:tcW w:w="3213" w:type="dxa"/>
            <w:tcBorders>
              <w:top w:val="single" w:color="auto" w:sz="2" w:space="0"/>
              <w:left w:val="single" w:color="auto" w:sz="2" w:space="0"/>
              <w:bottom w:val="single" w:color="auto" w:sz="2" w:space="0"/>
              <w:right w:val="single" w:color="auto" w:sz="2" w:space="0"/>
            </w:tcBorders>
            <w:vAlign w:val="center"/>
          </w:tcPr>
          <w:p w14:paraId="7AB38E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374,345.74</w:t>
            </w:r>
          </w:p>
        </w:tc>
        <w:tc>
          <w:tcPr>
            <w:tcW w:w="3213" w:type="dxa"/>
            <w:tcBorders>
              <w:top w:val="single" w:color="auto" w:sz="2" w:space="0"/>
              <w:left w:val="single" w:color="auto" w:sz="2" w:space="0"/>
              <w:bottom w:val="single" w:color="auto" w:sz="2" w:space="0"/>
              <w:right w:val="single" w:color="auto" w:sz="2" w:space="0"/>
            </w:tcBorders>
            <w:vAlign w:val="center"/>
          </w:tcPr>
          <w:p w14:paraId="28740B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274,656.87</w:t>
            </w:r>
          </w:p>
        </w:tc>
      </w:tr>
      <w:tr w14:paraId="2A1B86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81E7A2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301E64E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F140E9B">
            <w:pPr>
              <w:spacing w:line="240" w:lineRule="exact"/>
              <w:jc w:val="right"/>
              <w:rPr>
                <w:rFonts w:ascii="Times New Roman" w:hAnsi="Times New Roman" w:cs="Times New Roman" w:eastAsiaTheme="majorEastAsia"/>
                <w:sz w:val="18"/>
                <w:szCs w:val="18"/>
              </w:rPr>
            </w:pPr>
          </w:p>
        </w:tc>
      </w:tr>
      <w:tr w14:paraId="353D8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8B78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47C595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1,192,977.06</w:t>
            </w:r>
          </w:p>
        </w:tc>
        <w:tc>
          <w:tcPr>
            <w:tcW w:w="3213" w:type="dxa"/>
            <w:tcBorders>
              <w:top w:val="single" w:color="auto" w:sz="2" w:space="0"/>
              <w:left w:val="single" w:color="auto" w:sz="2" w:space="0"/>
              <w:bottom w:val="single" w:color="auto" w:sz="2" w:space="0"/>
              <w:right w:val="single" w:color="auto" w:sz="2" w:space="0"/>
            </w:tcBorders>
            <w:vAlign w:val="center"/>
          </w:tcPr>
          <w:p w14:paraId="020DB5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740,783.02</w:t>
            </w:r>
          </w:p>
        </w:tc>
      </w:tr>
    </w:tbl>
    <w:p w14:paraId="2F5BA35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384201AE">
      <w:pPr>
        <w:pStyle w:val="10"/>
        <w:spacing w:before="0" w:beforeAutospacing="0" w:after="0" w:afterAutospacing="0"/>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注：各项税金及附加的计缴标准详见本节六、税项。</w:t>
      </w:r>
    </w:p>
    <w:p w14:paraId="17B7D411">
      <w:pPr>
        <w:pStyle w:val="3"/>
        <w:spacing w:line="280" w:lineRule="exact"/>
        <w:jc w:val="left"/>
        <w:rPr>
          <w:rFonts w:ascii="Times New Roman" w:hAnsi="Times New Roman" w:cs="Times New Roman" w:eastAsiaTheme="majorEastAsia"/>
          <w:b/>
          <w:bCs/>
        </w:rPr>
      </w:pPr>
      <w:bookmarkStart w:id="352" w:name="_Toc989241"/>
      <w:r>
        <w:rPr>
          <w:rFonts w:ascii="Times New Roman" w:hAnsi="Times New Roman" w:cs="Times New Roman" w:eastAsiaTheme="majorEastAsia"/>
          <w:b/>
          <w:bCs/>
        </w:rPr>
        <w:t>48、管理费用</w:t>
      </w:r>
      <w:bookmarkEnd w:id="352"/>
    </w:p>
    <w:p w14:paraId="42534ED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B4D83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B3926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24A98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026E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7CC325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6AB536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48E3D2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15,539,804.09</w:t>
            </w:r>
          </w:p>
        </w:tc>
        <w:tc>
          <w:tcPr>
            <w:tcW w:w="3213" w:type="dxa"/>
            <w:tcBorders>
              <w:top w:val="single" w:color="auto" w:sz="2" w:space="0"/>
              <w:left w:val="single" w:color="auto" w:sz="2" w:space="0"/>
              <w:bottom w:val="single" w:color="auto" w:sz="2" w:space="0"/>
              <w:right w:val="single" w:color="auto" w:sz="2" w:space="0"/>
            </w:tcBorders>
            <w:vAlign w:val="center"/>
          </w:tcPr>
          <w:p w14:paraId="73B317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11,702,035.01</w:t>
            </w:r>
          </w:p>
        </w:tc>
      </w:tr>
      <w:tr w14:paraId="2B6ED4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DB203F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折旧摊销</w:t>
            </w:r>
          </w:p>
        </w:tc>
        <w:tc>
          <w:tcPr>
            <w:tcW w:w="3213" w:type="dxa"/>
            <w:tcBorders>
              <w:top w:val="single" w:color="auto" w:sz="2" w:space="0"/>
              <w:left w:val="single" w:color="auto" w:sz="2" w:space="0"/>
              <w:bottom w:val="single" w:color="auto" w:sz="2" w:space="0"/>
              <w:right w:val="single" w:color="auto" w:sz="2" w:space="0"/>
            </w:tcBorders>
            <w:vAlign w:val="center"/>
          </w:tcPr>
          <w:p w14:paraId="6AEFC3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1,099,297.83</w:t>
            </w:r>
          </w:p>
        </w:tc>
        <w:tc>
          <w:tcPr>
            <w:tcW w:w="3213" w:type="dxa"/>
            <w:tcBorders>
              <w:top w:val="single" w:color="auto" w:sz="2" w:space="0"/>
              <w:left w:val="single" w:color="auto" w:sz="2" w:space="0"/>
              <w:bottom w:val="single" w:color="auto" w:sz="2" w:space="0"/>
              <w:right w:val="single" w:color="auto" w:sz="2" w:space="0"/>
            </w:tcBorders>
            <w:vAlign w:val="center"/>
          </w:tcPr>
          <w:p w14:paraId="3FA6FE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1,340,869.66</w:t>
            </w:r>
          </w:p>
        </w:tc>
      </w:tr>
      <w:tr w14:paraId="735A5B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07C2E2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规范运营费</w:t>
            </w:r>
          </w:p>
        </w:tc>
        <w:tc>
          <w:tcPr>
            <w:tcW w:w="3213" w:type="dxa"/>
            <w:tcBorders>
              <w:top w:val="single" w:color="auto" w:sz="2" w:space="0"/>
              <w:left w:val="single" w:color="auto" w:sz="2" w:space="0"/>
              <w:bottom w:val="single" w:color="auto" w:sz="2" w:space="0"/>
              <w:right w:val="single" w:color="auto" w:sz="2" w:space="0"/>
            </w:tcBorders>
            <w:vAlign w:val="center"/>
          </w:tcPr>
          <w:p w14:paraId="38C600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1,080,304.18</w:t>
            </w:r>
          </w:p>
        </w:tc>
        <w:tc>
          <w:tcPr>
            <w:tcW w:w="3213" w:type="dxa"/>
            <w:tcBorders>
              <w:top w:val="single" w:color="auto" w:sz="2" w:space="0"/>
              <w:left w:val="single" w:color="auto" w:sz="2" w:space="0"/>
              <w:bottom w:val="single" w:color="auto" w:sz="2" w:space="0"/>
              <w:right w:val="single" w:color="auto" w:sz="2" w:space="0"/>
            </w:tcBorders>
            <w:vAlign w:val="center"/>
          </w:tcPr>
          <w:p w14:paraId="7A1D2F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2,345,758.59</w:t>
            </w:r>
          </w:p>
        </w:tc>
      </w:tr>
      <w:tr w14:paraId="65ACE1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02AAF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房租水电</w:t>
            </w:r>
          </w:p>
        </w:tc>
        <w:tc>
          <w:tcPr>
            <w:tcW w:w="3213" w:type="dxa"/>
            <w:tcBorders>
              <w:top w:val="single" w:color="auto" w:sz="2" w:space="0"/>
              <w:left w:val="single" w:color="auto" w:sz="2" w:space="0"/>
              <w:bottom w:val="single" w:color="auto" w:sz="2" w:space="0"/>
              <w:right w:val="single" w:color="auto" w:sz="2" w:space="0"/>
            </w:tcBorders>
            <w:vAlign w:val="center"/>
          </w:tcPr>
          <w:p w14:paraId="397860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1,013,289.15</w:t>
            </w:r>
          </w:p>
        </w:tc>
        <w:tc>
          <w:tcPr>
            <w:tcW w:w="3213" w:type="dxa"/>
            <w:tcBorders>
              <w:top w:val="single" w:color="auto" w:sz="2" w:space="0"/>
              <w:left w:val="single" w:color="auto" w:sz="2" w:space="0"/>
              <w:bottom w:val="single" w:color="auto" w:sz="2" w:space="0"/>
              <w:right w:val="single" w:color="auto" w:sz="2" w:space="0"/>
            </w:tcBorders>
            <w:vAlign w:val="center"/>
          </w:tcPr>
          <w:p w14:paraId="5F6D43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276,795.68</w:t>
            </w:r>
          </w:p>
        </w:tc>
      </w:tr>
      <w:tr w14:paraId="5F2B864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CAE07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77FEAF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2,038,376.19</w:t>
            </w:r>
          </w:p>
        </w:tc>
        <w:tc>
          <w:tcPr>
            <w:tcW w:w="3213" w:type="dxa"/>
            <w:tcBorders>
              <w:top w:val="single" w:color="auto" w:sz="2" w:space="0"/>
              <w:left w:val="single" w:color="auto" w:sz="2" w:space="0"/>
              <w:bottom w:val="single" w:color="auto" w:sz="2" w:space="0"/>
              <w:right w:val="single" w:color="auto" w:sz="2" w:space="0"/>
            </w:tcBorders>
            <w:vAlign w:val="center"/>
          </w:tcPr>
          <w:p w14:paraId="0AEA86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1,873,025.31</w:t>
            </w:r>
          </w:p>
        </w:tc>
      </w:tr>
      <w:tr w14:paraId="317EBA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25216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差旅费</w:t>
            </w:r>
          </w:p>
        </w:tc>
        <w:tc>
          <w:tcPr>
            <w:tcW w:w="3213" w:type="dxa"/>
            <w:tcBorders>
              <w:top w:val="single" w:color="auto" w:sz="2" w:space="0"/>
              <w:left w:val="single" w:color="auto" w:sz="2" w:space="0"/>
              <w:bottom w:val="single" w:color="auto" w:sz="2" w:space="0"/>
              <w:right w:val="single" w:color="auto" w:sz="2" w:space="0"/>
            </w:tcBorders>
            <w:vAlign w:val="center"/>
          </w:tcPr>
          <w:p w14:paraId="46A48F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1,094,435.80</w:t>
            </w:r>
          </w:p>
        </w:tc>
        <w:tc>
          <w:tcPr>
            <w:tcW w:w="3213" w:type="dxa"/>
            <w:tcBorders>
              <w:top w:val="single" w:color="auto" w:sz="2" w:space="0"/>
              <w:left w:val="single" w:color="auto" w:sz="2" w:space="0"/>
              <w:bottom w:val="single" w:color="auto" w:sz="2" w:space="0"/>
              <w:right w:val="single" w:color="auto" w:sz="2" w:space="0"/>
            </w:tcBorders>
            <w:vAlign w:val="center"/>
          </w:tcPr>
          <w:p w14:paraId="45261C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723,329.23</w:t>
            </w:r>
          </w:p>
        </w:tc>
      </w:tr>
      <w:tr w14:paraId="71F337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1F3A2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69EEC4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3,084,941.09</w:t>
            </w:r>
          </w:p>
        </w:tc>
        <w:tc>
          <w:tcPr>
            <w:tcW w:w="3213" w:type="dxa"/>
            <w:tcBorders>
              <w:top w:val="single" w:color="auto" w:sz="2" w:space="0"/>
              <w:left w:val="single" w:color="auto" w:sz="2" w:space="0"/>
              <w:bottom w:val="single" w:color="auto" w:sz="2" w:space="0"/>
              <w:right w:val="single" w:color="auto" w:sz="2" w:space="0"/>
            </w:tcBorders>
            <w:vAlign w:val="center"/>
          </w:tcPr>
          <w:p w14:paraId="3A02FE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3,050,960.41</w:t>
            </w:r>
          </w:p>
        </w:tc>
      </w:tr>
      <w:tr w14:paraId="104749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2C7B1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股权激励</w:t>
            </w:r>
          </w:p>
        </w:tc>
        <w:tc>
          <w:tcPr>
            <w:tcW w:w="3213" w:type="dxa"/>
            <w:tcBorders>
              <w:top w:val="single" w:color="auto" w:sz="2" w:space="0"/>
              <w:left w:val="single" w:color="auto" w:sz="2" w:space="0"/>
              <w:bottom w:val="single" w:color="auto" w:sz="2" w:space="0"/>
              <w:right w:val="single" w:color="auto" w:sz="2" w:space="0"/>
            </w:tcBorders>
            <w:vAlign w:val="center"/>
          </w:tcPr>
          <w:p w14:paraId="342E66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6,286,591.30</w:t>
            </w:r>
          </w:p>
        </w:tc>
        <w:tc>
          <w:tcPr>
            <w:tcW w:w="3213" w:type="dxa"/>
            <w:tcBorders>
              <w:top w:val="single" w:color="auto" w:sz="2" w:space="0"/>
              <w:left w:val="single" w:color="auto" w:sz="2" w:space="0"/>
              <w:bottom w:val="single" w:color="auto" w:sz="2" w:space="0"/>
              <w:right w:val="single" w:color="auto" w:sz="2" w:space="0"/>
            </w:tcBorders>
            <w:vAlign w:val="center"/>
          </w:tcPr>
          <w:p w14:paraId="4D0A68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3,503,570.99</w:t>
            </w:r>
          </w:p>
        </w:tc>
      </w:tr>
      <w:tr w14:paraId="162F68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88984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875AA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31,237,039.63</w:t>
            </w:r>
          </w:p>
        </w:tc>
        <w:tc>
          <w:tcPr>
            <w:tcW w:w="3213" w:type="dxa"/>
            <w:tcBorders>
              <w:top w:val="single" w:color="auto" w:sz="2" w:space="0"/>
              <w:left w:val="single" w:color="auto" w:sz="2" w:space="0"/>
              <w:bottom w:val="single" w:color="auto" w:sz="2" w:space="0"/>
              <w:right w:val="single" w:color="auto" w:sz="2" w:space="0"/>
            </w:tcBorders>
            <w:vAlign w:val="center"/>
          </w:tcPr>
          <w:p w14:paraId="4A3271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24,816,344.88</w:t>
            </w:r>
          </w:p>
        </w:tc>
      </w:tr>
    </w:tbl>
    <w:p w14:paraId="549CD62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5B25B743">
      <w:pPr>
        <w:pStyle w:val="3"/>
        <w:spacing w:line="280" w:lineRule="exact"/>
        <w:jc w:val="left"/>
        <w:rPr>
          <w:rFonts w:ascii="Times New Roman" w:hAnsi="Times New Roman" w:cs="Times New Roman" w:eastAsiaTheme="majorEastAsia"/>
          <w:b/>
          <w:bCs/>
        </w:rPr>
      </w:pPr>
      <w:bookmarkStart w:id="353" w:name="_Toc989242"/>
      <w:r>
        <w:rPr>
          <w:rFonts w:ascii="Times New Roman" w:hAnsi="Times New Roman" w:cs="Times New Roman" w:eastAsiaTheme="majorEastAsia"/>
          <w:b/>
          <w:bCs/>
        </w:rPr>
        <w:t>49、销售费用</w:t>
      </w:r>
      <w:bookmarkEnd w:id="353"/>
    </w:p>
    <w:p w14:paraId="124E99B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24BA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5BA3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FC240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F7C9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EC54F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B11323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职工薪酬</w:t>
            </w:r>
          </w:p>
        </w:tc>
        <w:tc>
          <w:tcPr>
            <w:tcW w:w="3213" w:type="dxa"/>
            <w:tcBorders>
              <w:top w:val="single" w:color="auto" w:sz="2" w:space="0"/>
              <w:left w:val="single" w:color="auto" w:sz="2" w:space="0"/>
              <w:bottom w:val="single" w:color="auto" w:sz="2" w:space="0"/>
              <w:right w:val="single" w:color="auto" w:sz="2" w:space="0"/>
            </w:tcBorders>
            <w:vAlign w:val="center"/>
          </w:tcPr>
          <w:p w14:paraId="08887DE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10,718,265.59</w:t>
            </w:r>
          </w:p>
        </w:tc>
        <w:tc>
          <w:tcPr>
            <w:tcW w:w="3213" w:type="dxa"/>
            <w:tcBorders>
              <w:top w:val="single" w:color="auto" w:sz="2" w:space="0"/>
              <w:left w:val="single" w:color="auto" w:sz="2" w:space="0"/>
              <w:bottom w:val="single" w:color="auto" w:sz="2" w:space="0"/>
              <w:right w:val="single" w:color="auto" w:sz="2" w:space="0"/>
            </w:tcBorders>
            <w:vAlign w:val="center"/>
          </w:tcPr>
          <w:p w14:paraId="5F34A1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10,571,846.76</w:t>
            </w:r>
          </w:p>
        </w:tc>
      </w:tr>
      <w:tr w14:paraId="2C325B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8085A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广告宣传费</w:t>
            </w:r>
          </w:p>
        </w:tc>
        <w:tc>
          <w:tcPr>
            <w:tcW w:w="3213" w:type="dxa"/>
            <w:tcBorders>
              <w:top w:val="single" w:color="auto" w:sz="2" w:space="0"/>
              <w:left w:val="single" w:color="auto" w:sz="2" w:space="0"/>
              <w:bottom w:val="single" w:color="auto" w:sz="2" w:space="0"/>
              <w:right w:val="single" w:color="auto" w:sz="2" w:space="0"/>
            </w:tcBorders>
            <w:vAlign w:val="center"/>
          </w:tcPr>
          <w:p w14:paraId="1F7B04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641,644.68</w:t>
            </w:r>
          </w:p>
        </w:tc>
        <w:tc>
          <w:tcPr>
            <w:tcW w:w="3213" w:type="dxa"/>
            <w:tcBorders>
              <w:top w:val="single" w:color="auto" w:sz="2" w:space="0"/>
              <w:left w:val="single" w:color="auto" w:sz="2" w:space="0"/>
              <w:bottom w:val="single" w:color="auto" w:sz="2" w:space="0"/>
              <w:right w:val="single" w:color="auto" w:sz="2" w:space="0"/>
            </w:tcBorders>
            <w:vAlign w:val="center"/>
          </w:tcPr>
          <w:p w14:paraId="0B0DE1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678,219.01</w:t>
            </w:r>
          </w:p>
        </w:tc>
      </w:tr>
      <w:tr w14:paraId="276DD2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D6C13B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业务招待费</w:t>
            </w:r>
          </w:p>
        </w:tc>
        <w:tc>
          <w:tcPr>
            <w:tcW w:w="3213" w:type="dxa"/>
            <w:tcBorders>
              <w:top w:val="single" w:color="auto" w:sz="2" w:space="0"/>
              <w:left w:val="single" w:color="auto" w:sz="2" w:space="0"/>
              <w:bottom w:val="single" w:color="auto" w:sz="2" w:space="0"/>
              <w:right w:val="single" w:color="auto" w:sz="2" w:space="0"/>
            </w:tcBorders>
            <w:vAlign w:val="center"/>
          </w:tcPr>
          <w:p w14:paraId="41AD5A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2,631,952.93</w:t>
            </w:r>
          </w:p>
        </w:tc>
        <w:tc>
          <w:tcPr>
            <w:tcW w:w="3213" w:type="dxa"/>
            <w:tcBorders>
              <w:top w:val="single" w:color="auto" w:sz="2" w:space="0"/>
              <w:left w:val="single" w:color="auto" w:sz="2" w:space="0"/>
              <w:bottom w:val="single" w:color="auto" w:sz="2" w:space="0"/>
              <w:right w:val="single" w:color="auto" w:sz="2" w:space="0"/>
            </w:tcBorders>
            <w:vAlign w:val="center"/>
          </w:tcPr>
          <w:p w14:paraId="230A72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1,437,606.08</w:t>
            </w:r>
          </w:p>
        </w:tc>
      </w:tr>
      <w:tr w14:paraId="4A3036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D24162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办公费</w:t>
            </w:r>
          </w:p>
        </w:tc>
        <w:tc>
          <w:tcPr>
            <w:tcW w:w="3213" w:type="dxa"/>
            <w:tcBorders>
              <w:top w:val="single" w:color="auto" w:sz="2" w:space="0"/>
              <w:left w:val="single" w:color="auto" w:sz="2" w:space="0"/>
              <w:bottom w:val="single" w:color="auto" w:sz="2" w:space="0"/>
              <w:right w:val="single" w:color="auto" w:sz="2" w:space="0"/>
            </w:tcBorders>
            <w:vAlign w:val="center"/>
          </w:tcPr>
          <w:p w14:paraId="0C42C7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691,516.24</w:t>
            </w:r>
          </w:p>
        </w:tc>
        <w:tc>
          <w:tcPr>
            <w:tcW w:w="3213" w:type="dxa"/>
            <w:tcBorders>
              <w:top w:val="single" w:color="auto" w:sz="2" w:space="0"/>
              <w:left w:val="single" w:color="auto" w:sz="2" w:space="0"/>
              <w:bottom w:val="single" w:color="auto" w:sz="2" w:space="0"/>
              <w:right w:val="single" w:color="auto" w:sz="2" w:space="0"/>
            </w:tcBorders>
            <w:vAlign w:val="center"/>
          </w:tcPr>
          <w:p w14:paraId="7B3057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399,041.88</w:t>
            </w:r>
          </w:p>
        </w:tc>
      </w:tr>
      <w:tr w14:paraId="26C981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4304C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差旅费</w:t>
            </w:r>
          </w:p>
        </w:tc>
        <w:tc>
          <w:tcPr>
            <w:tcW w:w="3213" w:type="dxa"/>
            <w:tcBorders>
              <w:top w:val="single" w:color="auto" w:sz="2" w:space="0"/>
              <w:left w:val="single" w:color="auto" w:sz="2" w:space="0"/>
              <w:bottom w:val="single" w:color="auto" w:sz="2" w:space="0"/>
              <w:right w:val="single" w:color="auto" w:sz="2" w:space="0"/>
            </w:tcBorders>
            <w:vAlign w:val="center"/>
          </w:tcPr>
          <w:p w14:paraId="0119F3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811,251.00</w:t>
            </w:r>
          </w:p>
        </w:tc>
        <w:tc>
          <w:tcPr>
            <w:tcW w:w="3213" w:type="dxa"/>
            <w:tcBorders>
              <w:top w:val="single" w:color="auto" w:sz="2" w:space="0"/>
              <w:left w:val="single" w:color="auto" w:sz="2" w:space="0"/>
              <w:bottom w:val="single" w:color="auto" w:sz="2" w:space="0"/>
              <w:right w:val="single" w:color="auto" w:sz="2" w:space="0"/>
            </w:tcBorders>
            <w:vAlign w:val="center"/>
          </w:tcPr>
          <w:p w14:paraId="771EE3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574,000.49</w:t>
            </w:r>
          </w:p>
        </w:tc>
      </w:tr>
      <w:tr w14:paraId="22A2E7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FF4E1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投标服务费</w:t>
            </w:r>
          </w:p>
        </w:tc>
        <w:tc>
          <w:tcPr>
            <w:tcW w:w="3213" w:type="dxa"/>
            <w:tcBorders>
              <w:top w:val="single" w:color="auto" w:sz="2" w:space="0"/>
              <w:left w:val="single" w:color="auto" w:sz="2" w:space="0"/>
              <w:bottom w:val="single" w:color="auto" w:sz="2" w:space="0"/>
              <w:right w:val="single" w:color="auto" w:sz="2" w:space="0"/>
            </w:tcBorders>
            <w:vAlign w:val="center"/>
          </w:tcPr>
          <w:p w14:paraId="338178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585,151.30</w:t>
            </w:r>
          </w:p>
        </w:tc>
        <w:tc>
          <w:tcPr>
            <w:tcW w:w="3213" w:type="dxa"/>
            <w:tcBorders>
              <w:top w:val="single" w:color="auto" w:sz="2" w:space="0"/>
              <w:left w:val="single" w:color="auto" w:sz="2" w:space="0"/>
              <w:bottom w:val="single" w:color="auto" w:sz="2" w:space="0"/>
              <w:right w:val="single" w:color="auto" w:sz="2" w:space="0"/>
            </w:tcBorders>
            <w:vAlign w:val="center"/>
          </w:tcPr>
          <w:p w14:paraId="3A3E3A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390,243.81</w:t>
            </w:r>
          </w:p>
        </w:tc>
      </w:tr>
      <w:tr w14:paraId="27B316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7E2F99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售后服务费</w:t>
            </w:r>
          </w:p>
        </w:tc>
        <w:tc>
          <w:tcPr>
            <w:tcW w:w="3213" w:type="dxa"/>
            <w:tcBorders>
              <w:top w:val="single" w:color="auto" w:sz="2" w:space="0"/>
              <w:left w:val="single" w:color="auto" w:sz="2" w:space="0"/>
              <w:bottom w:val="single" w:color="auto" w:sz="2" w:space="0"/>
              <w:right w:val="single" w:color="auto" w:sz="2" w:space="0"/>
            </w:tcBorders>
            <w:vAlign w:val="center"/>
          </w:tcPr>
          <w:p w14:paraId="43D561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2,428,661.50</w:t>
            </w:r>
          </w:p>
        </w:tc>
        <w:tc>
          <w:tcPr>
            <w:tcW w:w="3213" w:type="dxa"/>
            <w:tcBorders>
              <w:top w:val="single" w:color="auto" w:sz="2" w:space="0"/>
              <w:left w:val="single" w:color="auto" w:sz="2" w:space="0"/>
              <w:bottom w:val="single" w:color="auto" w:sz="2" w:space="0"/>
              <w:right w:val="single" w:color="auto" w:sz="2" w:space="0"/>
            </w:tcBorders>
            <w:vAlign w:val="center"/>
          </w:tcPr>
          <w:p w14:paraId="0B21D7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1,720,872.61</w:t>
            </w:r>
          </w:p>
        </w:tc>
      </w:tr>
      <w:tr w14:paraId="2B2AB9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DE2862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折旧摊销</w:t>
            </w:r>
          </w:p>
        </w:tc>
        <w:tc>
          <w:tcPr>
            <w:tcW w:w="3213" w:type="dxa"/>
            <w:tcBorders>
              <w:top w:val="single" w:color="auto" w:sz="2" w:space="0"/>
              <w:left w:val="single" w:color="auto" w:sz="2" w:space="0"/>
              <w:bottom w:val="single" w:color="auto" w:sz="2" w:space="0"/>
              <w:right w:val="single" w:color="auto" w:sz="2" w:space="0"/>
            </w:tcBorders>
            <w:vAlign w:val="center"/>
          </w:tcPr>
          <w:p w14:paraId="438894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2,197,700.85</w:t>
            </w:r>
          </w:p>
        </w:tc>
        <w:tc>
          <w:tcPr>
            <w:tcW w:w="3213" w:type="dxa"/>
            <w:tcBorders>
              <w:top w:val="single" w:color="auto" w:sz="2" w:space="0"/>
              <w:left w:val="single" w:color="auto" w:sz="2" w:space="0"/>
              <w:bottom w:val="single" w:color="auto" w:sz="2" w:space="0"/>
              <w:right w:val="single" w:color="auto" w:sz="2" w:space="0"/>
            </w:tcBorders>
            <w:vAlign w:val="center"/>
          </w:tcPr>
          <w:p w14:paraId="2A55D6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2,185,960.80</w:t>
            </w:r>
          </w:p>
        </w:tc>
      </w:tr>
      <w:tr w14:paraId="7AC085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AE8C2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房租水电</w:t>
            </w:r>
          </w:p>
        </w:tc>
        <w:tc>
          <w:tcPr>
            <w:tcW w:w="3213" w:type="dxa"/>
            <w:tcBorders>
              <w:top w:val="single" w:color="auto" w:sz="2" w:space="0"/>
              <w:left w:val="single" w:color="auto" w:sz="2" w:space="0"/>
              <w:bottom w:val="single" w:color="auto" w:sz="2" w:space="0"/>
              <w:right w:val="single" w:color="auto" w:sz="2" w:space="0"/>
            </w:tcBorders>
            <w:vAlign w:val="center"/>
          </w:tcPr>
          <w:p w14:paraId="45A462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445,311.74</w:t>
            </w:r>
          </w:p>
        </w:tc>
        <w:tc>
          <w:tcPr>
            <w:tcW w:w="3213" w:type="dxa"/>
            <w:tcBorders>
              <w:top w:val="single" w:color="auto" w:sz="2" w:space="0"/>
              <w:left w:val="single" w:color="auto" w:sz="2" w:space="0"/>
              <w:bottom w:val="single" w:color="auto" w:sz="2" w:space="0"/>
              <w:right w:val="single" w:color="auto" w:sz="2" w:space="0"/>
            </w:tcBorders>
            <w:vAlign w:val="center"/>
          </w:tcPr>
          <w:p w14:paraId="5185FB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249,100.76</w:t>
            </w:r>
          </w:p>
        </w:tc>
      </w:tr>
      <w:tr w14:paraId="46245D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CA969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股权激励</w:t>
            </w:r>
          </w:p>
        </w:tc>
        <w:tc>
          <w:tcPr>
            <w:tcW w:w="3213" w:type="dxa"/>
            <w:tcBorders>
              <w:top w:val="single" w:color="auto" w:sz="2" w:space="0"/>
              <w:left w:val="single" w:color="auto" w:sz="2" w:space="0"/>
              <w:bottom w:val="single" w:color="auto" w:sz="2" w:space="0"/>
              <w:right w:val="single" w:color="auto" w:sz="2" w:space="0"/>
            </w:tcBorders>
            <w:vAlign w:val="center"/>
          </w:tcPr>
          <w:p w14:paraId="770F3C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2,112,192.87</w:t>
            </w:r>
          </w:p>
        </w:tc>
        <w:tc>
          <w:tcPr>
            <w:tcW w:w="3213" w:type="dxa"/>
            <w:tcBorders>
              <w:top w:val="single" w:color="auto" w:sz="2" w:space="0"/>
              <w:left w:val="single" w:color="auto" w:sz="2" w:space="0"/>
              <w:bottom w:val="single" w:color="auto" w:sz="2" w:space="0"/>
              <w:right w:val="single" w:color="auto" w:sz="2" w:space="0"/>
            </w:tcBorders>
            <w:vAlign w:val="center"/>
          </w:tcPr>
          <w:p w14:paraId="45F984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1,302,078.36</w:t>
            </w:r>
          </w:p>
        </w:tc>
      </w:tr>
      <w:tr w14:paraId="444377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FA02E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700E2F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343,037.77</w:t>
            </w:r>
          </w:p>
        </w:tc>
        <w:tc>
          <w:tcPr>
            <w:tcW w:w="3213" w:type="dxa"/>
            <w:tcBorders>
              <w:top w:val="single" w:color="auto" w:sz="2" w:space="0"/>
              <w:left w:val="single" w:color="auto" w:sz="2" w:space="0"/>
              <w:bottom w:val="single" w:color="auto" w:sz="2" w:space="0"/>
              <w:right w:val="single" w:color="auto" w:sz="2" w:space="0"/>
            </w:tcBorders>
            <w:vAlign w:val="center"/>
          </w:tcPr>
          <w:p w14:paraId="3F942F2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23,880.19</w:t>
            </w:r>
          </w:p>
        </w:tc>
      </w:tr>
      <w:tr w14:paraId="79ADBE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D0425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3CDBFD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23,606,686.47</w:t>
            </w:r>
          </w:p>
        </w:tc>
        <w:tc>
          <w:tcPr>
            <w:tcW w:w="3213" w:type="dxa"/>
            <w:tcBorders>
              <w:top w:val="single" w:color="auto" w:sz="2" w:space="0"/>
              <w:left w:val="single" w:color="auto" w:sz="2" w:space="0"/>
              <w:bottom w:val="single" w:color="auto" w:sz="2" w:space="0"/>
              <w:right w:val="single" w:color="auto" w:sz="2" w:space="0"/>
            </w:tcBorders>
            <w:vAlign w:val="center"/>
          </w:tcPr>
          <w:p w14:paraId="4E486D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19,532,850.75</w:t>
            </w:r>
          </w:p>
        </w:tc>
      </w:tr>
    </w:tbl>
    <w:p w14:paraId="27052F8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399D58DC">
      <w:pPr>
        <w:pStyle w:val="3"/>
        <w:spacing w:line="280" w:lineRule="exact"/>
        <w:jc w:val="left"/>
        <w:rPr>
          <w:rFonts w:ascii="Times New Roman" w:hAnsi="Times New Roman" w:cs="Times New Roman" w:eastAsiaTheme="majorEastAsia"/>
          <w:b/>
          <w:bCs/>
        </w:rPr>
      </w:pPr>
      <w:bookmarkStart w:id="354" w:name="_Toc989243"/>
      <w:r>
        <w:rPr>
          <w:rFonts w:ascii="Times New Roman" w:hAnsi="Times New Roman" w:cs="Times New Roman" w:eastAsiaTheme="majorEastAsia"/>
          <w:b/>
          <w:bCs/>
        </w:rPr>
        <w:t>50、研发费用</w:t>
      </w:r>
      <w:bookmarkEnd w:id="354"/>
    </w:p>
    <w:p w14:paraId="53C67E0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58E0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46C7A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4C73E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9F17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7EEF0D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3779D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人员人工费用</w:t>
            </w:r>
          </w:p>
        </w:tc>
        <w:tc>
          <w:tcPr>
            <w:tcW w:w="3213" w:type="dxa"/>
            <w:tcBorders>
              <w:top w:val="single" w:color="auto" w:sz="2" w:space="0"/>
              <w:left w:val="single" w:color="auto" w:sz="2" w:space="0"/>
              <w:bottom w:val="single" w:color="auto" w:sz="2" w:space="0"/>
              <w:right w:val="single" w:color="auto" w:sz="2" w:space="0"/>
            </w:tcBorders>
            <w:vAlign w:val="center"/>
          </w:tcPr>
          <w:p w14:paraId="0337CF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11,403,418.76</w:t>
            </w:r>
          </w:p>
        </w:tc>
        <w:tc>
          <w:tcPr>
            <w:tcW w:w="3213" w:type="dxa"/>
            <w:tcBorders>
              <w:top w:val="single" w:color="auto" w:sz="2" w:space="0"/>
              <w:left w:val="single" w:color="auto" w:sz="2" w:space="0"/>
              <w:bottom w:val="single" w:color="auto" w:sz="2" w:space="0"/>
              <w:right w:val="single" w:color="auto" w:sz="2" w:space="0"/>
            </w:tcBorders>
            <w:vAlign w:val="center"/>
          </w:tcPr>
          <w:p w14:paraId="1951B1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9,848,464.33</w:t>
            </w:r>
          </w:p>
        </w:tc>
      </w:tr>
      <w:tr w14:paraId="3CB38E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F72EA0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直接投入费用</w:t>
            </w:r>
          </w:p>
        </w:tc>
        <w:tc>
          <w:tcPr>
            <w:tcW w:w="3213" w:type="dxa"/>
            <w:tcBorders>
              <w:top w:val="single" w:color="auto" w:sz="2" w:space="0"/>
              <w:left w:val="single" w:color="auto" w:sz="2" w:space="0"/>
              <w:bottom w:val="single" w:color="auto" w:sz="2" w:space="0"/>
              <w:right w:val="single" w:color="auto" w:sz="2" w:space="0"/>
            </w:tcBorders>
            <w:vAlign w:val="center"/>
          </w:tcPr>
          <w:p w14:paraId="76D29D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665,768.94</w:t>
            </w:r>
          </w:p>
        </w:tc>
        <w:tc>
          <w:tcPr>
            <w:tcW w:w="3213" w:type="dxa"/>
            <w:tcBorders>
              <w:top w:val="single" w:color="auto" w:sz="2" w:space="0"/>
              <w:left w:val="single" w:color="auto" w:sz="2" w:space="0"/>
              <w:bottom w:val="single" w:color="auto" w:sz="2" w:space="0"/>
              <w:right w:val="single" w:color="auto" w:sz="2" w:space="0"/>
            </w:tcBorders>
            <w:vAlign w:val="center"/>
          </w:tcPr>
          <w:p w14:paraId="63CC4F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87,427.62</w:t>
            </w:r>
          </w:p>
        </w:tc>
      </w:tr>
      <w:tr w14:paraId="3C24FC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1BAC56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折旧摊销费用</w:t>
            </w:r>
          </w:p>
        </w:tc>
        <w:tc>
          <w:tcPr>
            <w:tcW w:w="3213" w:type="dxa"/>
            <w:tcBorders>
              <w:top w:val="single" w:color="auto" w:sz="2" w:space="0"/>
              <w:left w:val="single" w:color="auto" w:sz="2" w:space="0"/>
              <w:bottom w:val="single" w:color="auto" w:sz="2" w:space="0"/>
              <w:right w:val="single" w:color="auto" w:sz="2" w:space="0"/>
            </w:tcBorders>
            <w:vAlign w:val="center"/>
          </w:tcPr>
          <w:p w14:paraId="5DDB79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2,379,224.60</w:t>
            </w:r>
          </w:p>
        </w:tc>
        <w:tc>
          <w:tcPr>
            <w:tcW w:w="3213" w:type="dxa"/>
            <w:tcBorders>
              <w:top w:val="single" w:color="auto" w:sz="2" w:space="0"/>
              <w:left w:val="single" w:color="auto" w:sz="2" w:space="0"/>
              <w:bottom w:val="single" w:color="auto" w:sz="2" w:space="0"/>
              <w:right w:val="single" w:color="auto" w:sz="2" w:space="0"/>
            </w:tcBorders>
            <w:vAlign w:val="center"/>
          </w:tcPr>
          <w:p w14:paraId="081FA9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1,686,534.88</w:t>
            </w:r>
          </w:p>
        </w:tc>
      </w:tr>
      <w:tr w14:paraId="3E061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5DDC3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新产品设计费用</w:t>
            </w:r>
          </w:p>
        </w:tc>
        <w:tc>
          <w:tcPr>
            <w:tcW w:w="3213" w:type="dxa"/>
            <w:tcBorders>
              <w:top w:val="single" w:color="auto" w:sz="2" w:space="0"/>
              <w:left w:val="single" w:color="auto" w:sz="2" w:space="0"/>
              <w:bottom w:val="single" w:color="auto" w:sz="2" w:space="0"/>
              <w:right w:val="single" w:color="auto" w:sz="2" w:space="0"/>
            </w:tcBorders>
            <w:vAlign w:val="center"/>
          </w:tcPr>
          <w:p w14:paraId="697B4F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845,308.04</w:t>
            </w:r>
          </w:p>
        </w:tc>
        <w:tc>
          <w:tcPr>
            <w:tcW w:w="3213" w:type="dxa"/>
            <w:tcBorders>
              <w:top w:val="single" w:color="auto" w:sz="2" w:space="0"/>
              <w:left w:val="single" w:color="auto" w:sz="2" w:space="0"/>
              <w:bottom w:val="single" w:color="auto" w:sz="2" w:space="0"/>
              <w:right w:val="single" w:color="auto" w:sz="2" w:space="0"/>
            </w:tcBorders>
            <w:vAlign w:val="center"/>
          </w:tcPr>
          <w:p w14:paraId="6B90EDF0">
            <w:pPr>
              <w:spacing w:line="240" w:lineRule="exact"/>
              <w:jc w:val="right"/>
              <w:rPr>
                <w:rFonts w:ascii="Times New Roman" w:hAnsi="Times New Roman" w:cs="Times New Roman" w:eastAsiaTheme="majorEastAsia"/>
                <w:sz w:val="18"/>
                <w:szCs w:val="18"/>
              </w:rPr>
            </w:pPr>
          </w:p>
        </w:tc>
      </w:tr>
      <w:tr w14:paraId="6FA06B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65AD4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其他相关费用</w:t>
            </w:r>
          </w:p>
        </w:tc>
        <w:tc>
          <w:tcPr>
            <w:tcW w:w="3213" w:type="dxa"/>
            <w:tcBorders>
              <w:top w:val="single" w:color="auto" w:sz="2" w:space="0"/>
              <w:left w:val="single" w:color="auto" w:sz="2" w:space="0"/>
              <w:bottom w:val="single" w:color="auto" w:sz="2" w:space="0"/>
              <w:right w:val="single" w:color="auto" w:sz="2" w:space="0"/>
            </w:tcBorders>
            <w:vAlign w:val="center"/>
          </w:tcPr>
          <w:p w14:paraId="312841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998,827.43</w:t>
            </w:r>
          </w:p>
        </w:tc>
        <w:tc>
          <w:tcPr>
            <w:tcW w:w="3213" w:type="dxa"/>
            <w:tcBorders>
              <w:top w:val="single" w:color="auto" w:sz="2" w:space="0"/>
              <w:left w:val="single" w:color="auto" w:sz="2" w:space="0"/>
              <w:bottom w:val="single" w:color="auto" w:sz="2" w:space="0"/>
              <w:right w:val="single" w:color="auto" w:sz="2" w:space="0"/>
            </w:tcBorders>
            <w:vAlign w:val="center"/>
          </w:tcPr>
          <w:p w14:paraId="451055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640,934.97</w:t>
            </w:r>
          </w:p>
        </w:tc>
      </w:tr>
      <w:tr w14:paraId="02FC87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7A1849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468BA5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610,377.36</w:t>
            </w:r>
          </w:p>
        </w:tc>
        <w:tc>
          <w:tcPr>
            <w:tcW w:w="3213" w:type="dxa"/>
            <w:tcBorders>
              <w:top w:val="single" w:color="auto" w:sz="2" w:space="0"/>
              <w:left w:val="single" w:color="auto" w:sz="2" w:space="0"/>
              <w:bottom w:val="single" w:color="auto" w:sz="2" w:space="0"/>
              <w:right w:val="single" w:color="auto" w:sz="2" w:space="0"/>
            </w:tcBorders>
            <w:vAlign w:val="center"/>
          </w:tcPr>
          <w:p w14:paraId="436FF7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5,622,778.30</w:t>
            </w:r>
          </w:p>
        </w:tc>
      </w:tr>
      <w:tr w14:paraId="7F6425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932CE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股权激励</w:t>
            </w:r>
          </w:p>
        </w:tc>
        <w:tc>
          <w:tcPr>
            <w:tcW w:w="3213" w:type="dxa"/>
            <w:tcBorders>
              <w:top w:val="single" w:color="auto" w:sz="2" w:space="0"/>
              <w:left w:val="single" w:color="auto" w:sz="2" w:space="0"/>
              <w:bottom w:val="single" w:color="auto" w:sz="2" w:space="0"/>
              <w:right w:val="single" w:color="auto" w:sz="2" w:space="0"/>
            </w:tcBorders>
            <w:vAlign w:val="center"/>
          </w:tcPr>
          <w:p w14:paraId="66DB83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408,337.40</w:t>
            </w:r>
          </w:p>
        </w:tc>
        <w:tc>
          <w:tcPr>
            <w:tcW w:w="3213" w:type="dxa"/>
            <w:tcBorders>
              <w:top w:val="single" w:color="auto" w:sz="2" w:space="0"/>
              <w:left w:val="single" w:color="auto" w:sz="2" w:space="0"/>
              <w:bottom w:val="single" w:color="auto" w:sz="2" w:space="0"/>
              <w:right w:val="single" w:color="auto" w:sz="2" w:space="0"/>
            </w:tcBorders>
            <w:vAlign w:val="center"/>
          </w:tcPr>
          <w:p w14:paraId="1CD7327E">
            <w:pPr>
              <w:spacing w:line="240" w:lineRule="exact"/>
              <w:jc w:val="right"/>
              <w:rPr>
                <w:rFonts w:ascii="Times New Roman" w:hAnsi="Times New Roman" w:cs="Times New Roman" w:eastAsiaTheme="majorEastAsia"/>
                <w:sz w:val="18"/>
                <w:szCs w:val="18"/>
              </w:rPr>
            </w:pPr>
          </w:p>
        </w:tc>
      </w:tr>
      <w:tr w14:paraId="386CC1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86469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4C77C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3213" w:type="dxa"/>
            <w:tcBorders>
              <w:top w:val="single" w:color="auto" w:sz="2" w:space="0"/>
              <w:left w:val="single" w:color="auto" w:sz="2" w:space="0"/>
              <w:bottom w:val="single" w:color="auto" w:sz="2" w:space="0"/>
              <w:right w:val="single" w:color="auto" w:sz="2" w:space="0"/>
            </w:tcBorders>
            <w:vAlign w:val="center"/>
          </w:tcPr>
          <w:p w14:paraId="5C1B37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r>
    </w:tbl>
    <w:p w14:paraId="287A04F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795668B2">
      <w:pPr>
        <w:pStyle w:val="3"/>
        <w:spacing w:line="280" w:lineRule="exact"/>
        <w:jc w:val="left"/>
        <w:rPr>
          <w:rFonts w:ascii="Times New Roman" w:hAnsi="Times New Roman" w:cs="Times New Roman" w:eastAsiaTheme="majorEastAsia"/>
          <w:b/>
          <w:bCs/>
        </w:rPr>
      </w:pPr>
      <w:bookmarkStart w:id="355" w:name="_Toc989244"/>
      <w:r>
        <w:rPr>
          <w:rFonts w:ascii="Times New Roman" w:hAnsi="Times New Roman" w:cs="Times New Roman" w:eastAsiaTheme="majorEastAsia"/>
          <w:b/>
          <w:bCs/>
        </w:rPr>
        <w:t>51、财务费用</w:t>
      </w:r>
      <w:bookmarkEnd w:id="355"/>
    </w:p>
    <w:p w14:paraId="43FB160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4593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085F0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20AD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8D854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08A10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0F4A5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利息费用</w:t>
            </w:r>
          </w:p>
        </w:tc>
        <w:tc>
          <w:tcPr>
            <w:tcW w:w="3213" w:type="dxa"/>
            <w:tcBorders>
              <w:top w:val="single" w:color="auto" w:sz="2" w:space="0"/>
              <w:left w:val="single" w:color="auto" w:sz="2" w:space="0"/>
              <w:bottom w:val="single" w:color="auto" w:sz="2" w:space="0"/>
              <w:right w:val="single" w:color="auto" w:sz="2" w:space="0"/>
            </w:tcBorders>
            <w:vAlign w:val="center"/>
          </w:tcPr>
          <w:p w14:paraId="45FBDA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1,321,921.56</w:t>
            </w:r>
          </w:p>
        </w:tc>
        <w:tc>
          <w:tcPr>
            <w:tcW w:w="3213" w:type="dxa"/>
            <w:tcBorders>
              <w:top w:val="single" w:color="auto" w:sz="2" w:space="0"/>
              <w:left w:val="single" w:color="auto" w:sz="2" w:space="0"/>
              <w:bottom w:val="single" w:color="auto" w:sz="2" w:space="0"/>
              <w:right w:val="single" w:color="auto" w:sz="2" w:space="0"/>
            </w:tcBorders>
            <w:vAlign w:val="center"/>
          </w:tcPr>
          <w:p w14:paraId="62C62A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2,348,669.91</w:t>
            </w:r>
          </w:p>
        </w:tc>
      </w:tr>
      <w:tr w14:paraId="0EA826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45611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0C93FE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6,661,211.63</w:t>
            </w:r>
          </w:p>
        </w:tc>
        <w:tc>
          <w:tcPr>
            <w:tcW w:w="3213" w:type="dxa"/>
            <w:tcBorders>
              <w:top w:val="single" w:color="auto" w:sz="2" w:space="0"/>
              <w:left w:val="single" w:color="auto" w:sz="2" w:space="0"/>
              <w:bottom w:val="single" w:color="auto" w:sz="2" w:space="0"/>
              <w:right w:val="single" w:color="auto" w:sz="2" w:space="0"/>
            </w:tcBorders>
            <w:vAlign w:val="center"/>
          </w:tcPr>
          <w:p w14:paraId="08D051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10,392,600.28</w:t>
            </w:r>
          </w:p>
        </w:tc>
      </w:tr>
      <w:tr w14:paraId="6008A1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5B54B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汇兑净损失</w:t>
            </w:r>
          </w:p>
        </w:tc>
        <w:tc>
          <w:tcPr>
            <w:tcW w:w="3213" w:type="dxa"/>
            <w:tcBorders>
              <w:top w:val="single" w:color="auto" w:sz="2" w:space="0"/>
              <w:left w:val="single" w:color="auto" w:sz="2" w:space="0"/>
              <w:bottom w:val="single" w:color="auto" w:sz="2" w:space="0"/>
              <w:right w:val="single" w:color="auto" w:sz="2" w:space="0"/>
            </w:tcBorders>
            <w:vAlign w:val="center"/>
          </w:tcPr>
          <w:p w14:paraId="2700D74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15,950.62</w:t>
            </w:r>
          </w:p>
        </w:tc>
        <w:tc>
          <w:tcPr>
            <w:tcW w:w="3213" w:type="dxa"/>
            <w:tcBorders>
              <w:top w:val="single" w:color="auto" w:sz="2" w:space="0"/>
              <w:left w:val="single" w:color="auto" w:sz="2" w:space="0"/>
              <w:bottom w:val="single" w:color="auto" w:sz="2" w:space="0"/>
              <w:right w:val="single" w:color="auto" w:sz="2" w:space="0"/>
            </w:tcBorders>
            <w:vAlign w:val="center"/>
          </w:tcPr>
          <w:p w14:paraId="636C64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-29,870.38</w:t>
            </w:r>
          </w:p>
        </w:tc>
      </w:tr>
      <w:tr w14:paraId="317AEF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06F62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手续费及其他</w:t>
            </w:r>
          </w:p>
        </w:tc>
        <w:tc>
          <w:tcPr>
            <w:tcW w:w="3213" w:type="dxa"/>
            <w:tcBorders>
              <w:top w:val="single" w:color="auto" w:sz="2" w:space="0"/>
              <w:left w:val="single" w:color="auto" w:sz="2" w:space="0"/>
              <w:bottom w:val="single" w:color="auto" w:sz="2" w:space="0"/>
              <w:right w:val="single" w:color="auto" w:sz="2" w:space="0"/>
            </w:tcBorders>
            <w:vAlign w:val="center"/>
          </w:tcPr>
          <w:p w14:paraId="6D41EC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76,247.49</w:t>
            </w:r>
          </w:p>
        </w:tc>
        <w:tc>
          <w:tcPr>
            <w:tcW w:w="3213" w:type="dxa"/>
            <w:tcBorders>
              <w:top w:val="single" w:color="auto" w:sz="2" w:space="0"/>
              <w:left w:val="single" w:color="auto" w:sz="2" w:space="0"/>
              <w:bottom w:val="single" w:color="auto" w:sz="2" w:space="0"/>
              <w:right w:val="single" w:color="auto" w:sz="2" w:space="0"/>
            </w:tcBorders>
            <w:vAlign w:val="center"/>
          </w:tcPr>
          <w:p w14:paraId="22CA10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63,761.32</w:t>
            </w:r>
          </w:p>
        </w:tc>
      </w:tr>
      <w:tr w14:paraId="2EBBA0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2E6A8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未确认融资费用和未实现融资收益的摊销</w:t>
            </w:r>
          </w:p>
        </w:tc>
        <w:tc>
          <w:tcPr>
            <w:tcW w:w="3213" w:type="dxa"/>
            <w:tcBorders>
              <w:top w:val="single" w:color="auto" w:sz="2" w:space="0"/>
              <w:left w:val="single" w:color="auto" w:sz="2" w:space="0"/>
              <w:bottom w:val="single" w:color="auto" w:sz="2" w:space="0"/>
              <w:right w:val="single" w:color="auto" w:sz="2" w:space="0"/>
            </w:tcBorders>
            <w:vAlign w:val="center"/>
          </w:tcPr>
          <w:p w14:paraId="72C62D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103,134.78</w:t>
            </w:r>
          </w:p>
        </w:tc>
        <w:tc>
          <w:tcPr>
            <w:tcW w:w="3213" w:type="dxa"/>
            <w:tcBorders>
              <w:top w:val="single" w:color="auto" w:sz="2" w:space="0"/>
              <w:left w:val="single" w:color="auto" w:sz="2" w:space="0"/>
              <w:bottom w:val="single" w:color="auto" w:sz="2" w:space="0"/>
              <w:right w:val="single" w:color="auto" w:sz="2" w:space="0"/>
            </w:tcBorders>
            <w:vAlign w:val="center"/>
          </w:tcPr>
          <w:p w14:paraId="65C1CC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-271,854.16</w:t>
            </w:r>
          </w:p>
        </w:tc>
      </w:tr>
      <w:tr w14:paraId="2DCFB8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BCCAD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53A85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-5,143,957.18</w:t>
            </w:r>
          </w:p>
        </w:tc>
        <w:tc>
          <w:tcPr>
            <w:tcW w:w="3213" w:type="dxa"/>
            <w:tcBorders>
              <w:top w:val="single" w:color="auto" w:sz="2" w:space="0"/>
              <w:left w:val="single" w:color="auto" w:sz="2" w:space="0"/>
              <w:bottom w:val="single" w:color="auto" w:sz="2" w:space="0"/>
              <w:right w:val="single" w:color="auto" w:sz="2" w:space="0"/>
            </w:tcBorders>
            <w:vAlign w:val="center"/>
          </w:tcPr>
          <w:p w14:paraId="7E5D38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-8,281,893.59</w:t>
            </w:r>
          </w:p>
        </w:tc>
      </w:tr>
    </w:tbl>
    <w:p w14:paraId="0678470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2E0F69DB">
      <w:pPr>
        <w:pStyle w:val="3"/>
        <w:spacing w:line="280" w:lineRule="exact"/>
        <w:jc w:val="left"/>
        <w:rPr>
          <w:rFonts w:ascii="Times New Roman" w:hAnsi="Times New Roman" w:cs="Times New Roman" w:eastAsiaTheme="majorEastAsia"/>
          <w:b/>
          <w:bCs/>
        </w:rPr>
      </w:pPr>
      <w:bookmarkStart w:id="356" w:name="_Toc989245"/>
      <w:r>
        <w:rPr>
          <w:rFonts w:ascii="Times New Roman" w:hAnsi="Times New Roman" w:cs="Times New Roman" w:eastAsiaTheme="majorEastAsia"/>
          <w:b/>
          <w:bCs/>
        </w:rPr>
        <w:t>52、其他收益</w:t>
      </w:r>
      <w:bookmarkEnd w:id="356"/>
    </w:p>
    <w:p w14:paraId="27043D0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B9E28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4ABBA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产生其他收益的来源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BBBFC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6F8DE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2B8F2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F2B92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与日常活动相关的政府补助</w:t>
            </w:r>
          </w:p>
        </w:tc>
        <w:tc>
          <w:tcPr>
            <w:tcW w:w="3213" w:type="dxa"/>
            <w:tcBorders>
              <w:top w:val="single" w:color="auto" w:sz="2" w:space="0"/>
              <w:left w:val="single" w:color="auto" w:sz="2" w:space="0"/>
              <w:bottom w:val="single" w:color="auto" w:sz="2" w:space="0"/>
              <w:right w:val="single" w:color="auto" w:sz="2" w:space="0"/>
            </w:tcBorders>
            <w:vAlign w:val="center"/>
          </w:tcPr>
          <w:p w14:paraId="7D250B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65,182.83</w:t>
            </w:r>
          </w:p>
        </w:tc>
        <w:tc>
          <w:tcPr>
            <w:tcW w:w="3213" w:type="dxa"/>
            <w:tcBorders>
              <w:top w:val="single" w:color="auto" w:sz="2" w:space="0"/>
              <w:left w:val="single" w:color="auto" w:sz="2" w:space="0"/>
              <w:bottom w:val="single" w:color="auto" w:sz="2" w:space="0"/>
              <w:right w:val="single" w:color="auto" w:sz="2" w:space="0"/>
            </w:tcBorders>
            <w:vAlign w:val="center"/>
          </w:tcPr>
          <w:p w14:paraId="4DD598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79,163.99</w:t>
            </w:r>
          </w:p>
        </w:tc>
      </w:tr>
      <w:tr w14:paraId="56B5A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ABBB9D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代扣个人所得税手续费返回</w:t>
            </w:r>
          </w:p>
        </w:tc>
        <w:tc>
          <w:tcPr>
            <w:tcW w:w="3213" w:type="dxa"/>
            <w:tcBorders>
              <w:top w:val="single" w:color="auto" w:sz="2" w:space="0"/>
              <w:left w:val="single" w:color="auto" w:sz="2" w:space="0"/>
              <w:bottom w:val="single" w:color="auto" w:sz="2" w:space="0"/>
              <w:right w:val="single" w:color="auto" w:sz="2" w:space="0"/>
            </w:tcBorders>
            <w:vAlign w:val="center"/>
          </w:tcPr>
          <w:p w14:paraId="63768C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27,444.49</w:t>
            </w:r>
          </w:p>
        </w:tc>
        <w:tc>
          <w:tcPr>
            <w:tcW w:w="3213" w:type="dxa"/>
            <w:tcBorders>
              <w:top w:val="single" w:color="auto" w:sz="2" w:space="0"/>
              <w:left w:val="single" w:color="auto" w:sz="2" w:space="0"/>
              <w:bottom w:val="single" w:color="auto" w:sz="2" w:space="0"/>
              <w:right w:val="single" w:color="auto" w:sz="2" w:space="0"/>
            </w:tcBorders>
            <w:vAlign w:val="center"/>
          </w:tcPr>
          <w:p w14:paraId="7CC23B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43,595.85</w:t>
            </w:r>
          </w:p>
        </w:tc>
      </w:tr>
      <w:tr w14:paraId="28A050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8CD96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增值税进项税额加计扣除</w:t>
            </w:r>
          </w:p>
        </w:tc>
        <w:tc>
          <w:tcPr>
            <w:tcW w:w="3213" w:type="dxa"/>
            <w:tcBorders>
              <w:top w:val="single" w:color="auto" w:sz="2" w:space="0"/>
              <w:left w:val="single" w:color="auto" w:sz="2" w:space="0"/>
              <w:bottom w:val="single" w:color="auto" w:sz="2" w:space="0"/>
              <w:right w:val="single" w:color="auto" w:sz="2" w:space="0"/>
            </w:tcBorders>
            <w:vAlign w:val="center"/>
          </w:tcPr>
          <w:p w14:paraId="24B37B4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35CD7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34,922.79</w:t>
            </w:r>
          </w:p>
        </w:tc>
      </w:tr>
      <w:tr w14:paraId="1E0BBF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739350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41831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92,627.32</w:t>
            </w:r>
          </w:p>
        </w:tc>
        <w:tc>
          <w:tcPr>
            <w:tcW w:w="3213" w:type="dxa"/>
            <w:tcBorders>
              <w:top w:val="single" w:color="auto" w:sz="2" w:space="0"/>
              <w:left w:val="single" w:color="auto" w:sz="2" w:space="0"/>
              <w:bottom w:val="single" w:color="auto" w:sz="2" w:space="0"/>
              <w:right w:val="single" w:color="auto" w:sz="2" w:space="0"/>
            </w:tcBorders>
            <w:vAlign w:val="center"/>
          </w:tcPr>
          <w:p w14:paraId="1A560D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157,682.63</w:t>
            </w:r>
          </w:p>
        </w:tc>
      </w:tr>
    </w:tbl>
    <w:p w14:paraId="63B825CD">
      <w:pPr>
        <w:pStyle w:val="3"/>
        <w:spacing w:line="280" w:lineRule="exact"/>
        <w:jc w:val="left"/>
        <w:rPr>
          <w:rFonts w:ascii="Times New Roman" w:hAnsi="Times New Roman" w:cs="Times New Roman" w:eastAsiaTheme="majorEastAsia"/>
          <w:b/>
          <w:bCs/>
        </w:rPr>
      </w:pPr>
      <w:bookmarkStart w:id="357" w:name="_Toc989246"/>
      <w:r>
        <w:rPr>
          <w:rFonts w:ascii="Times New Roman" w:hAnsi="Times New Roman" w:cs="Times New Roman" w:eastAsiaTheme="majorEastAsia"/>
          <w:b/>
          <w:bCs/>
        </w:rPr>
        <w:t>53、公允价值变动收益</w:t>
      </w:r>
      <w:bookmarkEnd w:id="357"/>
    </w:p>
    <w:p w14:paraId="1FD401D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D9F26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0741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产生公允价值变动收益的来源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86E2D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332E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D7386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ACE26C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交易性金融资产</w:t>
            </w:r>
          </w:p>
        </w:tc>
        <w:tc>
          <w:tcPr>
            <w:tcW w:w="3213" w:type="dxa"/>
            <w:tcBorders>
              <w:top w:val="single" w:color="auto" w:sz="2" w:space="0"/>
              <w:left w:val="single" w:color="auto" w:sz="2" w:space="0"/>
              <w:bottom w:val="single" w:color="auto" w:sz="2" w:space="0"/>
              <w:right w:val="single" w:color="auto" w:sz="2" w:space="0"/>
            </w:tcBorders>
            <w:vAlign w:val="center"/>
          </w:tcPr>
          <w:p w14:paraId="5C97DAE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3213" w:type="dxa"/>
            <w:tcBorders>
              <w:top w:val="single" w:color="auto" w:sz="2" w:space="0"/>
              <w:left w:val="single" w:color="auto" w:sz="2" w:space="0"/>
              <w:bottom w:val="single" w:color="auto" w:sz="2" w:space="0"/>
              <w:right w:val="single" w:color="auto" w:sz="2" w:space="0"/>
            </w:tcBorders>
            <w:vAlign w:val="center"/>
          </w:tcPr>
          <w:p w14:paraId="227747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r>
      <w:tr w14:paraId="23F580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1FF39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AB337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3213" w:type="dxa"/>
            <w:tcBorders>
              <w:top w:val="single" w:color="auto" w:sz="2" w:space="0"/>
              <w:left w:val="single" w:color="auto" w:sz="2" w:space="0"/>
              <w:bottom w:val="single" w:color="auto" w:sz="2" w:space="0"/>
              <w:right w:val="single" w:color="auto" w:sz="2" w:space="0"/>
            </w:tcBorders>
            <w:vAlign w:val="center"/>
          </w:tcPr>
          <w:p w14:paraId="05F00F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r>
    </w:tbl>
    <w:p w14:paraId="4B3D8F6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239A5325">
      <w:pPr>
        <w:pStyle w:val="3"/>
        <w:spacing w:line="280" w:lineRule="exact"/>
        <w:jc w:val="left"/>
        <w:rPr>
          <w:rFonts w:ascii="Times New Roman" w:hAnsi="Times New Roman" w:cs="Times New Roman" w:eastAsiaTheme="majorEastAsia"/>
          <w:b/>
          <w:bCs/>
        </w:rPr>
      </w:pPr>
      <w:bookmarkStart w:id="358" w:name="_Toc989247"/>
      <w:r>
        <w:rPr>
          <w:rFonts w:ascii="Times New Roman" w:hAnsi="Times New Roman" w:cs="Times New Roman" w:eastAsiaTheme="majorEastAsia"/>
          <w:b/>
          <w:bCs/>
        </w:rPr>
        <w:t>54、投资收益</w:t>
      </w:r>
      <w:bookmarkEnd w:id="358"/>
    </w:p>
    <w:p w14:paraId="1C9A2BC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6E3A98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C0AB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8DF40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798CB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174B83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75A94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交易性金融资产在持有期间的投资收益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8DAE0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71E1F3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79BDA8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24448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8B924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0D49FA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bl>
    <w:p w14:paraId="1D7C06DA">
      <w:pPr>
        <w:spacing w:before="100" w:after="100" w:line="240" w:lineRule="exact"/>
        <w:rPr>
          <w:rFonts w:ascii="Times New Roman" w:hAnsi="Times New Roman" w:cs="Times New Roman" w:eastAsiaTheme="majorEastAsia"/>
        </w:rPr>
      </w:pPr>
      <w:r>
        <w:rPr>
          <w:rFonts w:ascii="Times New Roman" w:hAnsi="Times New Roman" w:cs="Times New Roman" w:eastAsiaTheme="majorEastAsia"/>
          <w:sz w:val="18"/>
          <w:szCs w:val="18"/>
        </w:rPr>
        <w:t>其他说明：不适用。</w:t>
      </w:r>
    </w:p>
    <w:p w14:paraId="7B23E8D6">
      <w:pPr>
        <w:pStyle w:val="3"/>
        <w:spacing w:line="280" w:lineRule="exact"/>
        <w:jc w:val="left"/>
        <w:rPr>
          <w:rFonts w:ascii="Times New Roman" w:hAnsi="Times New Roman" w:cs="Times New Roman" w:eastAsiaTheme="majorEastAsia"/>
          <w:b/>
          <w:bCs/>
        </w:rPr>
      </w:pPr>
      <w:bookmarkStart w:id="359" w:name="_Toc989248"/>
      <w:r>
        <w:rPr>
          <w:rFonts w:ascii="Times New Roman" w:hAnsi="Times New Roman" w:cs="Times New Roman" w:eastAsiaTheme="majorEastAsia"/>
          <w:b/>
          <w:bCs/>
        </w:rPr>
        <w:t>55、信用减值损失</w:t>
      </w:r>
      <w:bookmarkEnd w:id="359"/>
    </w:p>
    <w:p w14:paraId="07F869B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7B8DC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3E3BEA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C0D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3396A2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FF87F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F5888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7632B4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-17,378,236.83</w:t>
            </w:r>
          </w:p>
        </w:tc>
        <w:tc>
          <w:tcPr>
            <w:tcW w:w="3213" w:type="dxa"/>
            <w:tcBorders>
              <w:top w:val="single" w:color="auto" w:sz="2" w:space="0"/>
              <w:left w:val="single" w:color="auto" w:sz="2" w:space="0"/>
              <w:bottom w:val="single" w:color="auto" w:sz="2" w:space="0"/>
              <w:right w:val="single" w:color="auto" w:sz="2" w:space="0"/>
            </w:tcBorders>
            <w:vAlign w:val="center"/>
          </w:tcPr>
          <w:p w14:paraId="5E20C8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-25,231,036.99</w:t>
            </w:r>
          </w:p>
        </w:tc>
      </w:tr>
      <w:tr w14:paraId="7B9DC8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84EAB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6610DC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-96,673.85</w:t>
            </w:r>
          </w:p>
        </w:tc>
        <w:tc>
          <w:tcPr>
            <w:tcW w:w="3213" w:type="dxa"/>
            <w:tcBorders>
              <w:top w:val="single" w:color="auto" w:sz="2" w:space="0"/>
              <w:left w:val="single" w:color="auto" w:sz="2" w:space="0"/>
              <w:bottom w:val="single" w:color="auto" w:sz="2" w:space="0"/>
              <w:right w:val="single" w:color="auto" w:sz="2" w:space="0"/>
            </w:tcBorders>
            <w:vAlign w:val="center"/>
          </w:tcPr>
          <w:p w14:paraId="3CCB9F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-258,346.04</w:t>
            </w:r>
          </w:p>
        </w:tc>
      </w:tr>
      <w:tr w14:paraId="137E38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29545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长期应收款坏账损失</w:t>
            </w:r>
          </w:p>
        </w:tc>
        <w:tc>
          <w:tcPr>
            <w:tcW w:w="3213" w:type="dxa"/>
            <w:tcBorders>
              <w:top w:val="single" w:color="auto" w:sz="2" w:space="0"/>
              <w:left w:val="single" w:color="auto" w:sz="2" w:space="0"/>
              <w:bottom w:val="single" w:color="auto" w:sz="2" w:space="0"/>
              <w:right w:val="single" w:color="auto" w:sz="2" w:space="0"/>
            </w:tcBorders>
            <w:vAlign w:val="center"/>
          </w:tcPr>
          <w:p w14:paraId="6F1293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-3,986,783.07</w:t>
            </w:r>
          </w:p>
        </w:tc>
        <w:tc>
          <w:tcPr>
            <w:tcW w:w="3213" w:type="dxa"/>
            <w:tcBorders>
              <w:top w:val="single" w:color="auto" w:sz="2" w:space="0"/>
              <w:left w:val="single" w:color="auto" w:sz="2" w:space="0"/>
              <w:bottom w:val="single" w:color="auto" w:sz="2" w:space="0"/>
              <w:right w:val="single" w:color="auto" w:sz="2" w:space="0"/>
            </w:tcBorders>
            <w:vAlign w:val="center"/>
          </w:tcPr>
          <w:p w14:paraId="686433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-1,360,632.05</w:t>
            </w:r>
          </w:p>
        </w:tc>
      </w:tr>
      <w:tr w14:paraId="756F4D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8BD84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88E370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-21,461,693.75</w:t>
            </w:r>
          </w:p>
        </w:tc>
        <w:tc>
          <w:tcPr>
            <w:tcW w:w="3213" w:type="dxa"/>
            <w:tcBorders>
              <w:top w:val="single" w:color="auto" w:sz="2" w:space="0"/>
              <w:left w:val="single" w:color="auto" w:sz="2" w:space="0"/>
              <w:bottom w:val="single" w:color="auto" w:sz="2" w:space="0"/>
              <w:right w:val="single" w:color="auto" w:sz="2" w:space="0"/>
            </w:tcBorders>
            <w:vAlign w:val="center"/>
          </w:tcPr>
          <w:p w14:paraId="364482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-26,850,015.08</w:t>
            </w:r>
          </w:p>
        </w:tc>
      </w:tr>
    </w:tbl>
    <w:p w14:paraId="7F0B167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其他说明：上表中，损失以“－”号填列，收益以“+”号填列。</w:t>
      </w:r>
    </w:p>
    <w:p w14:paraId="6AA772B0">
      <w:pPr>
        <w:pStyle w:val="3"/>
        <w:spacing w:line="280" w:lineRule="exact"/>
        <w:jc w:val="left"/>
        <w:rPr>
          <w:rFonts w:ascii="Times New Roman" w:hAnsi="Times New Roman" w:cs="Times New Roman" w:eastAsiaTheme="majorEastAsia"/>
          <w:b/>
          <w:bCs/>
        </w:rPr>
      </w:pPr>
      <w:bookmarkStart w:id="360" w:name="_Toc989249"/>
      <w:r>
        <w:rPr>
          <w:rFonts w:ascii="Times New Roman" w:hAnsi="Times New Roman" w:cs="Times New Roman" w:eastAsiaTheme="majorEastAsia"/>
          <w:b/>
          <w:bCs/>
        </w:rPr>
        <w:t>56、资产减值损失</w:t>
      </w:r>
      <w:bookmarkEnd w:id="360"/>
    </w:p>
    <w:p w14:paraId="3865E75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64D4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0234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C117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0798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5CC15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B90583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一、存货跌价损失及合同履约成本减值损失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3F194A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-316,971.40</w:t>
            </w:r>
          </w:p>
        </w:tc>
        <w:tc>
          <w:tcPr>
            <w:tcW w:w="3213" w:type="dxa"/>
            <w:tcBorders>
              <w:top w:val="single" w:color="auto" w:sz="2" w:space="0"/>
              <w:left w:val="single" w:color="auto" w:sz="2" w:space="0"/>
              <w:bottom w:val="single" w:color="auto" w:sz="2" w:space="0"/>
              <w:right w:val="single" w:color="auto" w:sz="2" w:space="0"/>
            </w:tcBorders>
            <w:vAlign w:val="center"/>
          </w:tcPr>
          <w:p w14:paraId="12DA12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-350,815.64</w:t>
            </w:r>
          </w:p>
        </w:tc>
      </w:tr>
      <w:tr w14:paraId="54A8C7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E475332">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二</w:t>
            </w:r>
            <w:r>
              <w:rPr>
                <w:rFonts w:ascii="Times New Roman" w:hAnsi="Times New Roman" w:cs="Times New Roman" w:eastAsiaTheme="majorEastAsia"/>
                <w:sz w:val="18"/>
                <w:szCs w:val="18"/>
              </w:rPr>
              <w:t>、商誉减值损失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32A982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-2,921,491.86</w:t>
            </w:r>
          </w:p>
        </w:tc>
        <w:tc>
          <w:tcPr>
            <w:tcW w:w="3213" w:type="dxa"/>
            <w:tcBorders>
              <w:top w:val="single" w:color="auto" w:sz="2" w:space="0"/>
              <w:left w:val="single" w:color="auto" w:sz="2" w:space="0"/>
              <w:bottom w:val="single" w:color="auto" w:sz="2" w:space="0"/>
              <w:right w:val="single" w:color="auto" w:sz="2" w:space="0"/>
            </w:tcBorders>
            <w:vAlign w:val="center"/>
          </w:tcPr>
          <w:p w14:paraId="265830D3">
            <w:pPr>
              <w:spacing w:line="240" w:lineRule="exact"/>
              <w:jc w:val="right"/>
              <w:rPr>
                <w:rFonts w:ascii="Times New Roman" w:hAnsi="Times New Roman" w:cs="Times New Roman" w:eastAsiaTheme="majorEastAsia"/>
                <w:sz w:val="18"/>
                <w:szCs w:val="18"/>
              </w:rPr>
            </w:pPr>
          </w:p>
        </w:tc>
      </w:tr>
      <w:tr w14:paraId="47686E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CC9175">
            <w:pPr>
              <w:spacing w:before="40" w:after="40" w:line="240" w:lineRule="exact"/>
              <w:rPr>
                <w:rFonts w:ascii="Times New Roman" w:hAnsi="Times New Roman" w:cs="Times New Roman" w:eastAsiaTheme="majorEastAsia"/>
                <w:sz w:val="18"/>
                <w:szCs w:val="18"/>
                <w:shd w:val="clear" w:color="auto" w:fill="D3D3D3"/>
              </w:rPr>
            </w:pPr>
            <w:r>
              <w:rPr>
                <w:rFonts w:hint="eastAsia" w:ascii="Times New Roman" w:hAnsi="Times New Roman" w:cs="Times New Roman" w:eastAsiaTheme="majorEastAsia"/>
                <w:sz w:val="18"/>
                <w:szCs w:val="18"/>
                <w:shd w:val="clear" w:color="auto" w:fill="D3D3D3"/>
              </w:rPr>
              <w:t>三</w:t>
            </w:r>
            <w:r>
              <w:rPr>
                <w:rFonts w:ascii="Times New Roman" w:hAnsi="Times New Roman" w:cs="Times New Roman" w:eastAsiaTheme="majorEastAsia"/>
                <w:sz w:val="18"/>
                <w:szCs w:val="18"/>
                <w:shd w:val="clear" w:color="auto" w:fill="D3D3D3"/>
              </w:rPr>
              <w:t>、合同资产减值损失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5F72DB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-409,797.77</w:t>
            </w:r>
          </w:p>
        </w:tc>
        <w:tc>
          <w:tcPr>
            <w:tcW w:w="3213" w:type="dxa"/>
            <w:tcBorders>
              <w:top w:val="single" w:color="auto" w:sz="2" w:space="0"/>
              <w:left w:val="single" w:color="auto" w:sz="2" w:space="0"/>
              <w:bottom w:val="single" w:color="auto" w:sz="2" w:space="0"/>
              <w:right w:val="single" w:color="auto" w:sz="2" w:space="0"/>
            </w:tcBorders>
            <w:vAlign w:val="center"/>
          </w:tcPr>
          <w:p w14:paraId="55DCDA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-320,927.00</w:t>
            </w:r>
          </w:p>
        </w:tc>
      </w:tr>
      <w:tr w14:paraId="45FBC2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30C5F5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4ACA8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-3,648,261.03</w:t>
            </w:r>
          </w:p>
        </w:tc>
        <w:tc>
          <w:tcPr>
            <w:tcW w:w="3213" w:type="dxa"/>
            <w:tcBorders>
              <w:top w:val="single" w:color="auto" w:sz="2" w:space="0"/>
              <w:left w:val="single" w:color="auto" w:sz="2" w:space="0"/>
              <w:bottom w:val="single" w:color="auto" w:sz="2" w:space="0"/>
              <w:right w:val="single" w:color="auto" w:sz="2" w:space="0"/>
            </w:tcBorders>
            <w:vAlign w:val="center"/>
          </w:tcPr>
          <w:p w14:paraId="668CC1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-671,742.64</w:t>
            </w:r>
          </w:p>
        </w:tc>
      </w:tr>
    </w:tbl>
    <w:p w14:paraId="70C2BC3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其他说明：上表中，损失以“－”号填列，收益以“+”号填列。</w:t>
      </w:r>
    </w:p>
    <w:p w14:paraId="3E6224FE">
      <w:pPr>
        <w:pStyle w:val="3"/>
        <w:spacing w:line="280" w:lineRule="exact"/>
        <w:jc w:val="left"/>
        <w:rPr>
          <w:rFonts w:ascii="Times New Roman" w:hAnsi="Times New Roman" w:cs="Times New Roman" w:eastAsiaTheme="majorEastAsia"/>
          <w:b/>
          <w:bCs/>
        </w:rPr>
      </w:pPr>
      <w:bookmarkStart w:id="361" w:name="_Toc989250"/>
      <w:r>
        <w:rPr>
          <w:rFonts w:ascii="Times New Roman" w:hAnsi="Times New Roman" w:cs="Times New Roman" w:eastAsiaTheme="majorEastAsia"/>
          <w:b/>
          <w:bCs/>
        </w:rPr>
        <w:t>57、资产处置收益</w:t>
      </w:r>
      <w:bookmarkEnd w:id="361"/>
    </w:p>
    <w:p w14:paraId="3ABF3CA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60F02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4DC5CB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资产处置收益的来源</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1CED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7D7B0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7382DE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A23B9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处置非流动资产的利得</w:t>
            </w:r>
          </w:p>
        </w:tc>
        <w:tc>
          <w:tcPr>
            <w:tcW w:w="3213" w:type="dxa"/>
            <w:tcBorders>
              <w:top w:val="single" w:color="auto" w:sz="2" w:space="0"/>
              <w:left w:val="single" w:color="auto" w:sz="2" w:space="0"/>
              <w:bottom w:val="single" w:color="auto" w:sz="2" w:space="0"/>
              <w:right w:val="single" w:color="auto" w:sz="2" w:space="0"/>
            </w:tcBorders>
            <w:vAlign w:val="center"/>
          </w:tcPr>
          <w:p w14:paraId="724640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423,066.06</w:t>
            </w:r>
          </w:p>
        </w:tc>
        <w:tc>
          <w:tcPr>
            <w:tcW w:w="3213" w:type="dxa"/>
            <w:tcBorders>
              <w:top w:val="single" w:color="auto" w:sz="2" w:space="0"/>
              <w:left w:val="single" w:color="auto" w:sz="2" w:space="0"/>
              <w:bottom w:val="single" w:color="auto" w:sz="2" w:space="0"/>
              <w:right w:val="single" w:color="auto" w:sz="2" w:space="0"/>
            </w:tcBorders>
            <w:vAlign w:val="center"/>
          </w:tcPr>
          <w:p w14:paraId="6CD8516D">
            <w:pPr>
              <w:spacing w:line="240" w:lineRule="exact"/>
              <w:jc w:val="right"/>
              <w:rPr>
                <w:rFonts w:ascii="Times New Roman" w:hAnsi="Times New Roman" w:cs="Times New Roman" w:eastAsiaTheme="majorEastAsia"/>
                <w:sz w:val="18"/>
                <w:szCs w:val="18"/>
              </w:rPr>
            </w:pPr>
          </w:p>
        </w:tc>
      </w:tr>
    </w:tbl>
    <w:p w14:paraId="443A3232">
      <w:pPr>
        <w:pStyle w:val="3"/>
        <w:spacing w:line="280" w:lineRule="exact"/>
        <w:jc w:val="left"/>
        <w:rPr>
          <w:rFonts w:ascii="Times New Roman" w:hAnsi="Times New Roman" w:cs="Times New Roman" w:eastAsiaTheme="majorEastAsia"/>
          <w:b/>
          <w:bCs/>
        </w:rPr>
      </w:pPr>
      <w:bookmarkStart w:id="362" w:name="_Toc989251"/>
      <w:r>
        <w:rPr>
          <w:rFonts w:ascii="Times New Roman" w:hAnsi="Times New Roman" w:cs="Times New Roman" w:eastAsiaTheme="majorEastAsia"/>
          <w:b/>
          <w:bCs/>
        </w:rPr>
        <w:t>58、营业外收入</w:t>
      </w:r>
      <w:bookmarkEnd w:id="362"/>
    </w:p>
    <w:p w14:paraId="1630E8D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235"/>
        <w:gridCol w:w="2585"/>
      </w:tblGrid>
      <w:tr w14:paraId="4597DE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592A1A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7A917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2235" w:type="dxa"/>
            <w:tcBorders>
              <w:top w:val="single" w:color="auto" w:sz="2" w:space="0"/>
              <w:left w:val="single" w:color="auto" w:sz="2" w:space="0"/>
              <w:bottom w:val="single" w:color="auto" w:sz="2" w:space="0"/>
              <w:right w:val="single" w:color="auto" w:sz="2" w:space="0"/>
            </w:tcBorders>
            <w:shd w:val="clear" w:color="auto" w:fill="D3D3D3"/>
            <w:vAlign w:val="center"/>
          </w:tcPr>
          <w:p w14:paraId="472AD9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2585" w:type="dxa"/>
            <w:tcBorders>
              <w:top w:val="single" w:color="auto" w:sz="2" w:space="0"/>
              <w:left w:val="single" w:color="auto" w:sz="2" w:space="0"/>
              <w:bottom w:val="single" w:color="auto" w:sz="2" w:space="0"/>
              <w:right w:val="single" w:color="auto" w:sz="2" w:space="0"/>
            </w:tcBorders>
            <w:shd w:val="clear" w:color="auto" w:fill="D3D3D3"/>
            <w:vAlign w:val="center"/>
          </w:tcPr>
          <w:p w14:paraId="26330FF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计入当期非经常性损益的金额</w:t>
            </w:r>
          </w:p>
        </w:tc>
      </w:tr>
      <w:tr w14:paraId="76864E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7E7498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政府补助</w:t>
            </w:r>
          </w:p>
        </w:tc>
        <w:tc>
          <w:tcPr>
            <w:tcW w:w="2410" w:type="dxa"/>
            <w:tcBorders>
              <w:top w:val="single" w:color="auto" w:sz="2" w:space="0"/>
              <w:left w:val="single" w:color="auto" w:sz="2" w:space="0"/>
              <w:bottom w:val="single" w:color="auto" w:sz="2" w:space="0"/>
              <w:right w:val="single" w:color="auto" w:sz="2" w:space="0"/>
            </w:tcBorders>
            <w:vAlign w:val="center"/>
          </w:tcPr>
          <w:p w14:paraId="69D587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297,318.39</w:t>
            </w:r>
          </w:p>
        </w:tc>
        <w:tc>
          <w:tcPr>
            <w:tcW w:w="2235" w:type="dxa"/>
            <w:tcBorders>
              <w:top w:val="single" w:color="auto" w:sz="2" w:space="0"/>
              <w:left w:val="single" w:color="auto" w:sz="2" w:space="0"/>
              <w:bottom w:val="single" w:color="auto" w:sz="2" w:space="0"/>
              <w:right w:val="single" w:color="auto" w:sz="2" w:space="0"/>
            </w:tcBorders>
            <w:vAlign w:val="center"/>
          </w:tcPr>
          <w:p w14:paraId="72A131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134,200.00</w:t>
            </w:r>
          </w:p>
        </w:tc>
        <w:tc>
          <w:tcPr>
            <w:tcW w:w="2585" w:type="dxa"/>
            <w:tcBorders>
              <w:top w:val="single" w:color="auto" w:sz="2" w:space="0"/>
              <w:left w:val="single" w:color="auto" w:sz="2" w:space="0"/>
              <w:bottom w:val="single" w:color="auto" w:sz="2" w:space="0"/>
              <w:right w:val="single" w:color="auto" w:sz="2" w:space="0"/>
            </w:tcBorders>
            <w:vAlign w:val="center"/>
          </w:tcPr>
          <w:p w14:paraId="0878D6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297,318.39</w:t>
            </w:r>
          </w:p>
        </w:tc>
      </w:tr>
      <w:tr w14:paraId="68CC99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C2872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赔款收入</w:t>
            </w:r>
          </w:p>
        </w:tc>
        <w:tc>
          <w:tcPr>
            <w:tcW w:w="2410" w:type="dxa"/>
            <w:tcBorders>
              <w:top w:val="single" w:color="auto" w:sz="2" w:space="0"/>
              <w:left w:val="single" w:color="auto" w:sz="2" w:space="0"/>
              <w:bottom w:val="single" w:color="auto" w:sz="2" w:space="0"/>
              <w:right w:val="single" w:color="auto" w:sz="2" w:space="0"/>
            </w:tcBorders>
            <w:vAlign w:val="center"/>
          </w:tcPr>
          <w:p w14:paraId="48B19C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1,300.00</w:t>
            </w:r>
          </w:p>
        </w:tc>
        <w:tc>
          <w:tcPr>
            <w:tcW w:w="2235" w:type="dxa"/>
            <w:tcBorders>
              <w:top w:val="single" w:color="auto" w:sz="2" w:space="0"/>
              <w:left w:val="single" w:color="auto" w:sz="2" w:space="0"/>
              <w:bottom w:val="single" w:color="auto" w:sz="2" w:space="0"/>
              <w:right w:val="single" w:color="auto" w:sz="2" w:space="0"/>
            </w:tcBorders>
            <w:vAlign w:val="center"/>
          </w:tcPr>
          <w:p w14:paraId="0EEE3BBB">
            <w:pPr>
              <w:spacing w:line="240" w:lineRule="exact"/>
              <w:jc w:val="right"/>
              <w:rPr>
                <w:rFonts w:ascii="Times New Roman" w:hAnsi="Times New Roman" w:cs="Times New Roman" w:eastAsiaTheme="majorEastAsia"/>
                <w:sz w:val="18"/>
                <w:szCs w:val="18"/>
              </w:rPr>
            </w:pPr>
          </w:p>
        </w:tc>
        <w:tc>
          <w:tcPr>
            <w:tcW w:w="2585" w:type="dxa"/>
            <w:tcBorders>
              <w:top w:val="single" w:color="auto" w:sz="2" w:space="0"/>
              <w:left w:val="single" w:color="auto" w:sz="2" w:space="0"/>
              <w:bottom w:val="single" w:color="auto" w:sz="2" w:space="0"/>
              <w:right w:val="single" w:color="auto" w:sz="2" w:space="0"/>
            </w:tcBorders>
            <w:vAlign w:val="center"/>
          </w:tcPr>
          <w:p w14:paraId="1FC7DA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1,300.00</w:t>
            </w:r>
          </w:p>
        </w:tc>
      </w:tr>
      <w:tr w14:paraId="4DA12E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3ABB0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54708A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15,667.88</w:t>
            </w:r>
          </w:p>
        </w:tc>
        <w:tc>
          <w:tcPr>
            <w:tcW w:w="2235" w:type="dxa"/>
            <w:tcBorders>
              <w:top w:val="single" w:color="auto" w:sz="2" w:space="0"/>
              <w:left w:val="single" w:color="auto" w:sz="2" w:space="0"/>
              <w:bottom w:val="single" w:color="auto" w:sz="2" w:space="0"/>
              <w:right w:val="single" w:color="auto" w:sz="2" w:space="0"/>
            </w:tcBorders>
            <w:vAlign w:val="center"/>
          </w:tcPr>
          <w:p w14:paraId="1A1108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22,984.28</w:t>
            </w:r>
          </w:p>
        </w:tc>
        <w:tc>
          <w:tcPr>
            <w:tcW w:w="2585" w:type="dxa"/>
            <w:tcBorders>
              <w:top w:val="single" w:color="auto" w:sz="2" w:space="0"/>
              <w:left w:val="single" w:color="auto" w:sz="2" w:space="0"/>
              <w:bottom w:val="single" w:color="auto" w:sz="2" w:space="0"/>
              <w:right w:val="single" w:color="auto" w:sz="2" w:space="0"/>
            </w:tcBorders>
            <w:vAlign w:val="center"/>
          </w:tcPr>
          <w:p w14:paraId="5E0920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15,667.88</w:t>
            </w:r>
          </w:p>
        </w:tc>
      </w:tr>
      <w:tr w14:paraId="1CAC9F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B05609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C98EB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314,286.27</w:t>
            </w:r>
          </w:p>
        </w:tc>
        <w:tc>
          <w:tcPr>
            <w:tcW w:w="2235" w:type="dxa"/>
            <w:tcBorders>
              <w:top w:val="single" w:color="auto" w:sz="2" w:space="0"/>
              <w:left w:val="single" w:color="auto" w:sz="2" w:space="0"/>
              <w:bottom w:val="single" w:color="auto" w:sz="2" w:space="0"/>
              <w:right w:val="single" w:color="auto" w:sz="2" w:space="0"/>
            </w:tcBorders>
            <w:vAlign w:val="center"/>
          </w:tcPr>
          <w:p w14:paraId="5F4697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157,184.28</w:t>
            </w:r>
          </w:p>
        </w:tc>
        <w:tc>
          <w:tcPr>
            <w:tcW w:w="2585" w:type="dxa"/>
            <w:tcBorders>
              <w:top w:val="single" w:color="auto" w:sz="2" w:space="0"/>
              <w:left w:val="single" w:color="auto" w:sz="2" w:space="0"/>
              <w:bottom w:val="single" w:color="auto" w:sz="2" w:space="0"/>
              <w:right w:val="single" w:color="auto" w:sz="2" w:space="0"/>
            </w:tcBorders>
            <w:vAlign w:val="center"/>
          </w:tcPr>
          <w:p w14:paraId="1ECB3A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314,286.27</w:t>
            </w:r>
          </w:p>
        </w:tc>
      </w:tr>
    </w:tbl>
    <w:p w14:paraId="35559F4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6FFF073B">
      <w:pPr>
        <w:pStyle w:val="3"/>
        <w:spacing w:line="280" w:lineRule="exact"/>
        <w:jc w:val="left"/>
        <w:rPr>
          <w:rFonts w:ascii="Times New Roman" w:hAnsi="Times New Roman" w:cs="Times New Roman" w:eastAsiaTheme="majorEastAsia"/>
          <w:b/>
          <w:bCs/>
        </w:rPr>
      </w:pPr>
      <w:bookmarkStart w:id="363" w:name="_Toc989252"/>
      <w:r>
        <w:rPr>
          <w:rFonts w:ascii="Times New Roman" w:hAnsi="Times New Roman" w:cs="Times New Roman" w:eastAsiaTheme="majorEastAsia"/>
          <w:b/>
          <w:bCs/>
        </w:rPr>
        <w:t>59、营业外支出</w:t>
      </w:r>
      <w:bookmarkEnd w:id="363"/>
    </w:p>
    <w:p w14:paraId="5C12B59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235"/>
        <w:gridCol w:w="2585"/>
      </w:tblGrid>
      <w:tr w14:paraId="2BD8B2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72D2A60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32C4D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2235" w:type="dxa"/>
            <w:tcBorders>
              <w:top w:val="single" w:color="auto" w:sz="2" w:space="0"/>
              <w:left w:val="single" w:color="auto" w:sz="2" w:space="0"/>
              <w:bottom w:val="single" w:color="auto" w:sz="2" w:space="0"/>
              <w:right w:val="single" w:color="auto" w:sz="2" w:space="0"/>
            </w:tcBorders>
            <w:shd w:val="clear" w:color="auto" w:fill="D3D3D3"/>
            <w:vAlign w:val="center"/>
          </w:tcPr>
          <w:p w14:paraId="54BE71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2585" w:type="dxa"/>
            <w:tcBorders>
              <w:top w:val="single" w:color="auto" w:sz="2" w:space="0"/>
              <w:left w:val="single" w:color="auto" w:sz="2" w:space="0"/>
              <w:bottom w:val="single" w:color="auto" w:sz="2" w:space="0"/>
              <w:right w:val="single" w:color="auto" w:sz="2" w:space="0"/>
            </w:tcBorders>
            <w:shd w:val="clear" w:color="auto" w:fill="D3D3D3"/>
            <w:vAlign w:val="center"/>
          </w:tcPr>
          <w:p w14:paraId="39E2B4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计入当期非经常性损益的金额</w:t>
            </w:r>
          </w:p>
        </w:tc>
      </w:tr>
      <w:tr w14:paraId="63DE08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117DE9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对外捐赠</w:t>
            </w:r>
          </w:p>
        </w:tc>
        <w:tc>
          <w:tcPr>
            <w:tcW w:w="2410" w:type="dxa"/>
            <w:tcBorders>
              <w:top w:val="single" w:color="auto" w:sz="2" w:space="0"/>
              <w:left w:val="single" w:color="auto" w:sz="2" w:space="0"/>
              <w:bottom w:val="single" w:color="auto" w:sz="2" w:space="0"/>
              <w:right w:val="single" w:color="auto" w:sz="2" w:space="0"/>
            </w:tcBorders>
            <w:vAlign w:val="center"/>
          </w:tcPr>
          <w:p w14:paraId="1B4FF7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2,125,000.00</w:t>
            </w:r>
          </w:p>
        </w:tc>
        <w:tc>
          <w:tcPr>
            <w:tcW w:w="2235" w:type="dxa"/>
            <w:tcBorders>
              <w:top w:val="single" w:color="auto" w:sz="2" w:space="0"/>
              <w:left w:val="single" w:color="auto" w:sz="2" w:space="0"/>
              <w:bottom w:val="single" w:color="auto" w:sz="2" w:space="0"/>
              <w:right w:val="single" w:color="auto" w:sz="2" w:space="0"/>
            </w:tcBorders>
            <w:vAlign w:val="center"/>
          </w:tcPr>
          <w:p w14:paraId="7AA3FD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90,000.00</w:t>
            </w:r>
          </w:p>
        </w:tc>
        <w:tc>
          <w:tcPr>
            <w:tcW w:w="2585" w:type="dxa"/>
            <w:tcBorders>
              <w:top w:val="single" w:color="auto" w:sz="2" w:space="0"/>
              <w:left w:val="single" w:color="auto" w:sz="2" w:space="0"/>
              <w:bottom w:val="single" w:color="auto" w:sz="2" w:space="0"/>
              <w:right w:val="single" w:color="auto" w:sz="2" w:space="0"/>
            </w:tcBorders>
            <w:vAlign w:val="center"/>
          </w:tcPr>
          <w:p w14:paraId="5AA737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2,125,000.00</w:t>
            </w:r>
          </w:p>
        </w:tc>
      </w:tr>
      <w:tr w14:paraId="08AB8C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3DF9C8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非流动资产毁损报废损失</w:t>
            </w:r>
          </w:p>
        </w:tc>
        <w:tc>
          <w:tcPr>
            <w:tcW w:w="2410" w:type="dxa"/>
            <w:tcBorders>
              <w:top w:val="single" w:color="auto" w:sz="2" w:space="0"/>
              <w:left w:val="single" w:color="auto" w:sz="2" w:space="0"/>
              <w:bottom w:val="single" w:color="auto" w:sz="2" w:space="0"/>
              <w:right w:val="single" w:color="auto" w:sz="2" w:space="0"/>
            </w:tcBorders>
            <w:vAlign w:val="center"/>
          </w:tcPr>
          <w:p w14:paraId="5C5779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7,050.12</w:t>
            </w:r>
          </w:p>
        </w:tc>
        <w:tc>
          <w:tcPr>
            <w:tcW w:w="2235" w:type="dxa"/>
            <w:tcBorders>
              <w:top w:val="single" w:color="auto" w:sz="2" w:space="0"/>
              <w:left w:val="single" w:color="auto" w:sz="2" w:space="0"/>
              <w:bottom w:val="single" w:color="auto" w:sz="2" w:space="0"/>
              <w:right w:val="single" w:color="auto" w:sz="2" w:space="0"/>
            </w:tcBorders>
            <w:vAlign w:val="center"/>
          </w:tcPr>
          <w:p w14:paraId="595E25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14,902.10</w:t>
            </w:r>
          </w:p>
        </w:tc>
        <w:tc>
          <w:tcPr>
            <w:tcW w:w="2585" w:type="dxa"/>
            <w:tcBorders>
              <w:top w:val="single" w:color="auto" w:sz="2" w:space="0"/>
              <w:left w:val="single" w:color="auto" w:sz="2" w:space="0"/>
              <w:bottom w:val="single" w:color="auto" w:sz="2" w:space="0"/>
              <w:right w:val="single" w:color="auto" w:sz="2" w:space="0"/>
            </w:tcBorders>
            <w:vAlign w:val="center"/>
          </w:tcPr>
          <w:p w14:paraId="1062EC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7,050.12</w:t>
            </w:r>
          </w:p>
        </w:tc>
      </w:tr>
      <w:tr w14:paraId="6C2CDE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41D71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滞纳金、罚款</w:t>
            </w:r>
          </w:p>
        </w:tc>
        <w:tc>
          <w:tcPr>
            <w:tcW w:w="2410" w:type="dxa"/>
            <w:tcBorders>
              <w:top w:val="single" w:color="auto" w:sz="2" w:space="0"/>
              <w:left w:val="single" w:color="auto" w:sz="2" w:space="0"/>
              <w:bottom w:val="single" w:color="auto" w:sz="2" w:space="0"/>
              <w:right w:val="single" w:color="auto" w:sz="2" w:space="0"/>
            </w:tcBorders>
            <w:vAlign w:val="center"/>
          </w:tcPr>
          <w:p w14:paraId="7B2FC3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89,766.77</w:t>
            </w:r>
          </w:p>
        </w:tc>
        <w:tc>
          <w:tcPr>
            <w:tcW w:w="2235" w:type="dxa"/>
            <w:tcBorders>
              <w:top w:val="single" w:color="auto" w:sz="2" w:space="0"/>
              <w:left w:val="single" w:color="auto" w:sz="2" w:space="0"/>
              <w:bottom w:val="single" w:color="auto" w:sz="2" w:space="0"/>
              <w:right w:val="single" w:color="auto" w:sz="2" w:space="0"/>
            </w:tcBorders>
            <w:vAlign w:val="center"/>
          </w:tcPr>
          <w:p w14:paraId="1B63C8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18,609.76</w:t>
            </w:r>
          </w:p>
        </w:tc>
        <w:tc>
          <w:tcPr>
            <w:tcW w:w="2585" w:type="dxa"/>
            <w:tcBorders>
              <w:top w:val="single" w:color="auto" w:sz="2" w:space="0"/>
              <w:left w:val="single" w:color="auto" w:sz="2" w:space="0"/>
              <w:bottom w:val="single" w:color="auto" w:sz="2" w:space="0"/>
              <w:right w:val="single" w:color="auto" w:sz="2" w:space="0"/>
            </w:tcBorders>
            <w:vAlign w:val="center"/>
          </w:tcPr>
          <w:p w14:paraId="440BE5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89,766.77</w:t>
            </w:r>
          </w:p>
        </w:tc>
      </w:tr>
      <w:tr w14:paraId="60A676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2AFBBA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2410" w:type="dxa"/>
            <w:tcBorders>
              <w:top w:val="single" w:color="auto" w:sz="2" w:space="0"/>
              <w:left w:val="single" w:color="auto" w:sz="2" w:space="0"/>
              <w:bottom w:val="single" w:color="auto" w:sz="2" w:space="0"/>
              <w:right w:val="single" w:color="auto" w:sz="2" w:space="0"/>
            </w:tcBorders>
            <w:vAlign w:val="center"/>
          </w:tcPr>
          <w:p w14:paraId="391C72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234.03</w:t>
            </w:r>
          </w:p>
        </w:tc>
        <w:tc>
          <w:tcPr>
            <w:tcW w:w="2235" w:type="dxa"/>
            <w:tcBorders>
              <w:top w:val="single" w:color="auto" w:sz="2" w:space="0"/>
              <w:left w:val="single" w:color="auto" w:sz="2" w:space="0"/>
              <w:bottom w:val="single" w:color="auto" w:sz="2" w:space="0"/>
              <w:right w:val="single" w:color="auto" w:sz="2" w:space="0"/>
            </w:tcBorders>
            <w:vAlign w:val="center"/>
          </w:tcPr>
          <w:p w14:paraId="14001F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61,600.00</w:t>
            </w:r>
          </w:p>
        </w:tc>
        <w:tc>
          <w:tcPr>
            <w:tcW w:w="2585" w:type="dxa"/>
            <w:tcBorders>
              <w:top w:val="single" w:color="auto" w:sz="2" w:space="0"/>
              <w:left w:val="single" w:color="auto" w:sz="2" w:space="0"/>
              <w:bottom w:val="single" w:color="auto" w:sz="2" w:space="0"/>
              <w:right w:val="single" w:color="auto" w:sz="2" w:space="0"/>
            </w:tcBorders>
            <w:vAlign w:val="center"/>
          </w:tcPr>
          <w:p w14:paraId="3D640D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234.03</w:t>
            </w:r>
          </w:p>
        </w:tc>
      </w:tr>
      <w:tr w14:paraId="1423E0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894E68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A532E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2,222,050.92</w:t>
            </w:r>
          </w:p>
        </w:tc>
        <w:tc>
          <w:tcPr>
            <w:tcW w:w="2235" w:type="dxa"/>
            <w:tcBorders>
              <w:top w:val="single" w:color="auto" w:sz="2" w:space="0"/>
              <w:left w:val="single" w:color="auto" w:sz="2" w:space="0"/>
              <w:bottom w:val="single" w:color="auto" w:sz="2" w:space="0"/>
              <w:right w:val="single" w:color="auto" w:sz="2" w:space="0"/>
            </w:tcBorders>
            <w:vAlign w:val="center"/>
          </w:tcPr>
          <w:p w14:paraId="1BA94A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185,111.86</w:t>
            </w:r>
          </w:p>
        </w:tc>
        <w:tc>
          <w:tcPr>
            <w:tcW w:w="2585" w:type="dxa"/>
            <w:tcBorders>
              <w:top w:val="single" w:color="auto" w:sz="2" w:space="0"/>
              <w:left w:val="single" w:color="auto" w:sz="2" w:space="0"/>
              <w:bottom w:val="single" w:color="auto" w:sz="2" w:space="0"/>
              <w:right w:val="single" w:color="auto" w:sz="2" w:space="0"/>
            </w:tcBorders>
            <w:vAlign w:val="center"/>
          </w:tcPr>
          <w:p w14:paraId="289F98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2,222,050.92</w:t>
            </w:r>
          </w:p>
        </w:tc>
      </w:tr>
    </w:tbl>
    <w:p w14:paraId="12C60C7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其他说明：捐赠支出2,125,000.00元，其中2,115,000.00元通过汕头市慈善总会捐出，10,000.00通过汕头市澄海慈善总会捐出。</w:t>
      </w:r>
    </w:p>
    <w:p w14:paraId="59ED9F15">
      <w:pPr>
        <w:pStyle w:val="3"/>
        <w:spacing w:line="280" w:lineRule="exact"/>
        <w:jc w:val="left"/>
        <w:rPr>
          <w:rFonts w:ascii="Times New Roman" w:hAnsi="Times New Roman" w:cs="Times New Roman" w:eastAsiaTheme="majorEastAsia"/>
          <w:b/>
          <w:bCs/>
        </w:rPr>
      </w:pPr>
      <w:bookmarkStart w:id="364" w:name="_Toc989253"/>
      <w:r>
        <w:rPr>
          <w:rFonts w:ascii="Times New Roman" w:hAnsi="Times New Roman" w:cs="Times New Roman" w:eastAsiaTheme="majorEastAsia"/>
          <w:b/>
          <w:bCs/>
        </w:rPr>
        <w:t>60、所得税费用</w:t>
      </w:r>
      <w:bookmarkEnd w:id="364"/>
    </w:p>
    <w:p w14:paraId="33E1EA7D">
      <w:pPr>
        <w:keepNext/>
        <w:keepLines/>
        <w:spacing w:before="300" w:after="300" w:line="280" w:lineRule="exact"/>
        <w:outlineLvl w:val="3"/>
        <w:rPr>
          <w:rFonts w:ascii="Times New Roman" w:hAnsi="Times New Roman" w:cs="Times New Roman" w:eastAsiaTheme="majorEastAsia"/>
          <w:b/>
          <w:bCs/>
          <w:szCs w:val="21"/>
        </w:rPr>
      </w:pPr>
      <w:bookmarkStart w:id="365" w:name="_Toc989254"/>
      <w:r>
        <w:rPr>
          <w:rFonts w:ascii="Times New Roman" w:hAnsi="Times New Roman" w:cs="Times New Roman" w:eastAsiaTheme="majorEastAsia"/>
          <w:b/>
          <w:bCs/>
          <w:szCs w:val="21"/>
        </w:rPr>
        <w:t>（1） 所得税费用表</w:t>
      </w:r>
      <w:bookmarkEnd w:id="365"/>
    </w:p>
    <w:p w14:paraId="53B305D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5DF94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0F250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2EA39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7FC6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65188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4FE0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当期所得税费用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7E16AFC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213,651.05</w:t>
            </w:r>
          </w:p>
        </w:tc>
        <w:tc>
          <w:tcPr>
            <w:tcW w:w="3213" w:type="dxa"/>
            <w:tcBorders>
              <w:top w:val="single" w:color="auto" w:sz="2" w:space="0"/>
              <w:left w:val="single" w:color="auto" w:sz="2" w:space="0"/>
              <w:bottom w:val="single" w:color="auto" w:sz="2" w:space="0"/>
              <w:right w:val="single" w:color="auto" w:sz="2" w:space="0"/>
            </w:tcBorders>
            <w:vAlign w:val="center"/>
          </w:tcPr>
          <w:p w14:paraId="23DEDF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4,887,317.30</w:t>
            </w:r>
          </w:p>
        </w:tc>
      </w:tr>
      <w:tr w14:paraId="6F5811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8DF48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递延所得税费用</w:t>
            </w:r>
          </w:p>
        </w:tc>
        <w:tc>
          <w:tcPr>
            <w:tcW w:w="3213" w:type="dxa"/>
            <w:tcBorders>
              <w:top w:val="single" w:color="auto" w:sz="2" w:space="0"/>
              <w:left w:val="single" w:color="auto" w:sz="2" w:space="0"/>
              <w:bottom w:val="single" w:color="auto" w:sz="2" w:space="0"/>
              <w:right w:val="single" w:color="auto" w:sz="2" w:space="0"/>
            </w:tcBorders>
            <w:vAlign w:val="center"/>
          </w:tcPr>
          <w:p w14:paraId="684F8F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-11,322,342.87</w:t>
            </w:r>
          </w:p>
        </w:tc>
        <w:tc>
          <w:tcPr>
            <w:tcW w:w="3213" w:type="dxa"/>
            <w:tcBorders>
              <w:top w:val="single" w:color="auto" w:sz="2" w:space="0"/>
              <w:left w:val="single" w:color="auto" w:sz="2" w:space="0"/>
              <w:bottom w:val="single" w:color="auto" w:sz="2" w:space="0"/>
              <w:right w:val="single" w:color="auto" w:sz="2" w:space="0"/>
            </w:tcBorders>
            <w:vAlign w:val="center"/>
          </w:tcPr>
          <w:p w14:paraId="4EC2F7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-6,777,092.74</w:t>
            </w:r>
          </w:p>
        </w:tc>
      </w:tr>
      <w:tr w14:paraId="174A0C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224FF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CC44B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-11,108,691.82</w:t>
            </w:r>
          </w:p>
        </w:tc>
        <w:tc>
          <w:tcPr>
            <w:tcW w:w="3213" w:type="dxa"/>
            <w:tcBorders>
              <w:top w:val="single" w:color="auto" w:sz="2" w:space="0"/>
              <w:left w:val="single" w:color="auto" w:sz="2" w:space="0"/>
              <w:bottom w:val="single" w:color="auto" w:sz="2" w:space="0"/>
              <w:right w:val="single" w:color="auto" w:sz="2" w:space="0"/>
            </w:tcBorders>
            <w:vAlign w:val="center"/>
          </w:tcPr>
          <w:p w14:paraId="77C078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-1,889,775.44</w:t>
            </w:r>
          </w:p>
        </w:tc>
      </w:tr>
    </w:tbl>
    <w:p w14:paraId="4FBEC889">
      <w:pPr>
        <w:keepNext/>
        <w:keepLines/>
        <w:spacing w:before="300" w:after="300" w:line="280" w:lineRule="exact"/>
        <w:outlineLvl w:val="3"/>
        <w:rPr>
          <w:rFonts w:ascii="Times New Roman" w:hAnsi="Times New Roman" w:cs="Times New Roman" w:eastAsiaTheme="majorEastAsia"/>
          <w:b/>
          <w:bCs/>
          <w:szCs w:val="21"/>
        </w:rPr>
      </w:pPr>
      <w:bookmarkStart w:id="366" w:name="_Toc989255"/>
      <w:r>
        <w:rPr>
          <w:rFonts w:ascii="Times New Roman" w:hAnsi="Times New Roman" w:cs="Times New Roman" w:eastAsiaTheme="majorEastAsia"/>
          <w:b/>
          <w:bCs/>
          <w:szCs w:val="21"/>
        </w:rPr>
        <w:t>（2） 会计利润与所得税费用调整过程</w:t>
      </w:r>
      <w:bookmarkEnd w:id="366"/>
    </w:p>
    <w:p w14:paraId="013ABB7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57B1D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ED931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49C9A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r>
      <w:tr w14:paraId="3B805A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2A8B8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利润总额</w:t>
            </w:r>
          </w:p>
        </w:tc>
        <w:tc>
          <w:tcPr>
            <w:tcW w:w="4820" w:type="dxa"/>
            <w:tcBorders>
              <w:top w:val="single" w:color="auto" w:sz="2" w:space="0"/>
              <w:left w:val="single" w:color="auto" w:sz="2" w:space="0"/>
              <w:bottom w:val="single" w:color="auto" w:sz="2" w:space="0"/>
              <w:right w:val="single" w:color="auto" w:sz="2" w:space="0"/>
            </w:tcBorders>
            <w:vAlign w:val="center"/>
          </w:tcPr>
          <w:p w14:paraId="32DB10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-64,600,485.50</w:t>
            </w:r>
          </w:p>
        </w:tc>
      </w:tr>
      <w:tr w14:paraId="772A0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9DBD95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按法定/适用税率计算的所得税费用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48E90D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-9,690,072.82</w:t>
            </w:r>
          </w:p>
        </w:tc>
      </w:tr>
      <w:tr w14:paraId="0159B2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C6817E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子公司适用不同税率的影响</w:t>
            </w:r>
          </w:p>
        </w:tc>
        <w:tc>
          <w:tcPr>
            <w:tcW w:w="4820" w:type="dxa"/>
            <w:tcBorders>
              <w:top w:val="single" w:color="auto" w:sz="2" w:space="0"/>
              <w:left w:val="single" w:color="auto" w:sz="2" w:space="0"/>
              <w:bottom w:val="single" w:color="auto" w:sz="2" w:space="0"/>
              <w:right w:val="single" w:color="auto" w:sz="2" w:space="0"/>
            </w:tcBorders>
            <w:vAlign w:val="center"/>
          </w:tcPr>
          <w:p w14:paraId="38126A0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-665,765.73</w:t>
            </w:r>
          </w:p>
        </w:tc>
      </w:tr>
      <w:tr w14:paraId="3FEC5A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F3365A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不可抵扣的成本、费用和损失的影响</w:t>
            </w:r>
          </w:p>
        </w:tc>
        <w:tc>
          <w:tcPr>
            <w:tcW w:w="4820" w:type="dxa"/>
            <w:tcBorders>
              <w:top w:val="single" w:color="auto" w:sz="2" w:space="0"/>
              <w:left w:val="single" w:color="auto" w:sz="2" w:space="0"/>
              <w:bottom w:val="single" w:color="auto" w:sz="2" w:space="0"/>
              <w:right w:val="single" w:color="auto" w:sz="2" w:space="0"/>
            </w:tcBorders>
            <w:vAlign w:val="center"/>
          </w:tcPr>
          <w:p w14:paraId="2FA5DD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486,474.76</w:t>
            </w:r>
          </w:p>
        </w:tc>
      </w:tr>
      <w:tr w14:paraId="0D3567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26DC3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税法规定的额外可扣除费用</w:t>
            </w:r>
          </w:p>
        </w:tc>
        <w:tc>
          <w:tcPr>
            <w:tcW w:w="4820" w:type="dxa"/>
            <w:tcBorders>
              <w:top w:val="single" w:color="auto" w:sz="2" w:space="0"/>
              <w:left w:val="single" w:color="auto" w:sz="2" w:space="0"/>
              <w:bottom w:val="single" w:color="auto" w:sz="2" w:space="0"/>
              <w:right w:val="single" w:color="auto" w:sz="2" w:space="0"/>
            </w:tcBorders>
            <w:vAlign w:val="center"/>
          </w:tcPr>
          <w:p w14:paraId="63A0D3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-1,239,328.02</w:t>
            </w:r>
          </w:p>
        </w:tc>
      </w:tr>
      <w:tr w14:paraId="67C759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DBA98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所得税费用</w:t>
            </w:r>
          </w:p>
        </w:tc>
        <w:tc>
          <w:tcPr>
            <w:tcW w:w="4820" w:type="dxa"/>
            <w:tcBorders>
              <w:top w:val="single" w:color="auto" w:sz="2" w:space="0"/>
              <w:left w:val="single" w:color="auto" w:sz="2" w:space="0"/>
              <w:bottom w:val="single" w:color="auto" w:sz="2" w:space="0"/>
              <w:right w:val="single" w:color="auto" w:sz="2" w:space="0"/>
            </w:tcBorders>
            <w:vAlign w:val="center"/>
          </w:tcPr>
          <w:p w14:paraId="416F90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-11,108,691.82</w:t>
            </w:r>
          </w:p>
        </w:tc>
      </w:tr>
    </w:tbl>
    <w:p w14:paraId="0E9B2ED2">
      <w:pPr>
        <w:spacing w:before="100" w:after="100" w:line="240" w:lineRule="exact"/>
        <w:rPr>
          <w:rFonts w:ascii="Times New Roman" w:hAnsi="Times New Roman" w:cs="Times New Roman" w:eastAsiaTheme="majorEastAsia"/>
        </w:rPr>
      </w:pPr>
      <w:r>
        <w:rPr>
          <w:rFonts w:ascii="Times New Roman" w:hAnsi="Times New Roman" w:cs="Times New Roman" w:eastAsiaTheme="majorEastAsia"/>
          <w:sz w:val="18"/>
          <w:szCs w:val="18"/>
        </w:rPr>
        <w:t>其他说明：不适用。</w:t>
      </w:r>
    </w:p>
    <w:p w14:paraId="26DC3456">
      <w:pPr>
        <w:pStyle w:val="3"/>
        <w:spacing w:line="280" w:lineRule="exact"/>
        <w:jc w:val="left"/>
        <w:rPr>
          <w:rFonts w:ascii="Times New Roman" w:hAnsi="Times New Roman" w:cs="Times New Roman" w:eastAsiaTheme="majorEastAsia"/>
          <w:b/>
          <w:bCs/>
        </w:rPr>
      </w:pPr>
      <w:bookmarkStart w:id="367" w:name="_Toc989256"/>
      <w:r>
        <w:rPr>
          <w:rFonts w:ascii="Times New Roman" w:hAnsi="Times New Roman" w:cs="Times New Roman" w:eastAsiaTheme="majorEastAsia"/>
          <w:b/>
          <w:bCs/>
        </w:rPr>
        <w:t>61、其他综合收益</w:t>
      </w:r>
      <w:bookmarkEnd w:id="367"/>
    </w:p>
    <w:p w14:paraId="34A607D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详见附注见本节七、57、其他综合收益。</w:t>
      </w:r>
    </w:p>
    <w:p w14:paraId="0D55F7FE">
      <w:pPr>
        <w:pStyle w:val="3"/>
        <w:spacing w:line="280" w:lineRule="exact"/>
        <w:jc w:val="left"/>
        <w:rPr>
          <w:rFonts w:ascii="Times New Roman" w:hAnsi="Times New Roman" w:cs="Times New Roman" w:eastAsiaTheme="majorEastAsia"/>
          <w:b/>
          <w:bCs/>
        </w:rPr>
      </w:pPr>
      <w:bookmarkStart w:id="368" w:name="_Toc989257"/>
      <w:r>
        <w:rPr>
          <w:rFonts w:ascii="Times New Roman" w:hAnsi="Times New Roman" w:cs="Times New Roman" w:eastAsiaTheme="majorEastAsia"/>
          <w:b/>
          <w:bCs/>
        </w:rPr>
        <w:t>62、现金流量表项目</w:t>
      </w:r>
      <w:bookmarkEnd w:id="368"/>
    </w:p>
    <w:p w14:paraId="616FA428">
      <w:pPr>
        <w:keepNext/>
        <w:keepLines/>
        <w:spacing w:before="300" w:after="300" w:line="280" w:lineRule="exact"/>
        <w:outlineLvl w:val="3"/>
        <w:rPr>
          <w:rFonts w:ascii="Times New Roman" w:hAnsi="Times New Roman" w:cs="Times New Roman" w:eastAsiaTheme="majorEastAsia"/>
          <w:b/>
          <w:bCs/>
          <w:szCs w:val="21"/>
        </w:rPr>
      </w:pPr>
      <w:bookmarkStart w:id="369" w:name="_Toc989258"/>
      <w:r>
        <w:rPr>
          <w:rFonts w:ascii="Times New Roman" w:hAnsi="Times New Roman" w:cs="Times New Roman" w:eastAsiaTheme="majorEastAsia"/>
          <w:b/>
          <w:bCs/>
          <w:szCs w:val="21"/>
        </w:rPr>
        <w:t>（1） 与经营活动有关的现金</w:t>
      </w:r>
      <w:bookmarkEnd w:id="369"/>
    </w:p>
    <w:p w14:paraId="65E1C39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收到的其他与经营活动有关的现金</w:t>
      </w:r>
    </w:p>
    <w:p w14:paraId="5301E2B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6A590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A02CF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565BA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DFB7D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A0CED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BDC48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39ED29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1,211,797.12</w:t>
            </w:r>
          </w:p>
        </w:tc>
        <w:tc>
          <w:tcPr>
            <w:tcW w:w="3213" w:type="dxa"/>
            <w:tcBorders>
              <w:top w:val="single" w:color="auto" w:sz="2" w:space="0"/>
              <w:left w:val="single" w:color="auto" w:sz="2" w:space="0"/>
              <w:bottom w:val="single" w:color="auto" w:sz="2" w:space="0"/>
              <w:right w:val="single" w:color="auto" w:sz="2" w:space="0"/>
            </w:tcBorders>
            <w:vAlign w:val="center"/>
          </w:tcPr>
          <w:p w14:paraId="259210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2,816,477.23</w:t>
            </w:r>
          </w:p>
        </w:tc>
      </w:tr>
      <w:tr w14:paraId="48EC6B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DD0BE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政府补助（含财政贴息）</w:t>
            </w:r>
          </w:p>
        </w:tc>
        <w:tc>
          <w:tcPr>
            <w:tcW w:w="3213" w:type="dxa"/>
            <w:tcBorders>
              <w:top w:val="single" w:color="auto" w:sz="2" w:space="0"/>
              <w:left w:val="single" w:color="auto" w:sz="2" w:space="0"/>
              <w:bottom w:val="single" w:color="auto" w:sz="2" w:space="0"/>
              <w:right w:val="single" w:color="auto" w:sz="2" w:space="0"/>
            </w:tcBorders>
            <w:vAlign w:val="center"/>
          </w:tcPr>
          <w:p w14:paraId="3161D4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390,496.26</w:t>
            </w:r>
          </w:p>
        </w:tc>
        <w:tc>
          <w:tcPr>
            <w:tcW w:w="3213" w:type="dxa"/>
            <w:tcBorders>
              <w:top w:val="single" w:color="auto" w:sz="2" w:space="0"/>
              <w:left w:val="single" w:color="auto" w:sz="2" w:space="0"/>
              <w:bottom w:val="single" w:color="auto" w:sz="2" w:space="0"/>
              <w:right w:val="single" w:color="auto" w:sz="2" w:space="0"/>
            </w:tcBorders>
            <w:vAlign w:val="center"/>
          </w:tcPr>
          <w:p w14:paraId="0BDF58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213,363.99</w:t>
            </w:r>
          </w:p>
        </w:tc>
      </w:tr>
      <w:tr w14:paraId="759E6FF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06AD6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5AB062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2,167,346.13</w:t>
            </w:r>
          </w:p>
        </w:tc>
        <w:tc>
          <w:tcPr>
            <w:tcW w:w="3213" w:type="dxa"/>
            <w:tcBorders>
              <w:top w:val="single" w:color="auto" w:sz="2" w:space="0"/>
              <w:left w:val="single" w:color="auto" w:sz="2" w:space="0"/>
              <w:bottom w:val="single" w:color="auto" w:sz="2" w:space="0"/>
              <w:right w:val="single" w:color="auto" w:sz="2" w:space="0"/>
            </w:tcBorders>
            <w:vAlign w:val="center"/>
          </w:tcPr>
          <w:p w14:paraId="656610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2,561,211.77</w:t>
            </w:r>
          </w:p>
        </w:tc>
      </w:tr>
      <w:tr w14:paraId="7FD3A8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280706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日常往来及其他</w:t>
            </w:r>
          </w:p>
        </w:tc>
        <w:tc>
          <w:tcPr>
            <w:tcW w:w="3213" w:type="dxa"/>
            <w:tcBorders>
              <w:top w:val="single" w:color="auto" w:sz="2" w:space="0"/>
              <w:left w:val="single" w:color="auto" w:sz="2" w:space="0"/>
              <w:bottom w:val="single" w:color="auto" w:sz="2" w:space="0"/>
              <w:right w:val="single" w:color="auto" w:sz="2" w:space="0"/>
            </w:tcBorders>
            <w:vAlign w:val="center"/>
          </w:tcPr>
          <w:p w14:paraId="17F8F3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5,421,565.83</w:t>
            </w:r>
          </w:p>
        </w:tc>
        <w:tc>
          <w:tcPr>
            <w:tcW w:w="3213" w:type="dxa"/>
            <w:tcBorders>
              <w:top w:val="single" w:color="auto" w:sz="2" w:space="0"/>
              <w:left w:val="single" w:color="auto" w:sz="2" w:space="0"/>
              <w:bottom w:val="single" w:color="auto" w:sz="2" w:space="0"/>
              <w:right w:val="single" w:color="auto" w:sz="2" w:space="0"/>
            </w:tcBorders>
            <w:vAlign w:val="center"/>
          </w:tcPr>
          <w:p w14:paraId="2FDBE0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2,586,495.37</w:t>
            </w:r>
          </w:p>
        </w:tc>
      </w:tr>
      <w:tr w14:paraId="157314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9202E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8F0CE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9,191,205.34</w:t>
            </w:r>
          </w:p>
        </w:tc>
        <w:tc>
          <w:tcPr>
            <w:tcW w:w="3213" w:type="dxa"/>
            <w:tcBorders>
              <w:top w:val="single" w:color="auto" w:sz="2" w:space="0"/>
              <w:left w:val="single" w:color="auto" w:sz="2" w:space="0"/>
              <w:bottom w:val="single" w:color="auto" w:sz="2" w:space="0"/>
              <w:right w:val="single" w:color="auto" w:sz="2" w:space="0"/>
            </w:tcBorders>
            <w:vAlign w:val="center"/>
          </w:tcPr>
          <w:p w14:paraId="26DAF1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8,177,548.36</w:t>
            </w:r>
          </w:p>
        </w:tc>
      </w:tr>
    </w:tbl>
    <w:p w14:paraId="68E15A8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收到的其他与经营活动有关的现金说明：不适用。</w:t>
      </w:r>
    </w:p>
    <w:p w14:paraId="552BB05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支付的其他与经营活动有关的现金</w:t>
      </w:r>
    </w:p>
    <w:p w14:paraId="0327945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F6F18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D425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C7FB62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56FA0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21D736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3E2B65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付现费用</w:t>
            </w:r>
          </w:p>
        </w:tc>
        <w:tc>
          <w:tcPr>
            <w:tcW w:w="3213" w:type="dxa"/>
            <w:tcBorders>
              <w:top w:val="single" w:color="auto" w:sz="2" w:space="0"/>
              <w:left w:val="single" w:color="auto" w:sz="2" w:space="0"/>
              <w:bottom w:val="single" w:color="auto" w:sz="2" w:space="0"/>
              <w:right w:val="single" w:color="auto" w:sz="2" w:space="0"/>
            </w:tcBorders>
            <w:vAlign w:val="center"/>
          </w:tcPr>
          <w:p w14:paraId="753B06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20,588,676.37</w:t>
            </w:r>
          </w:p>
        </w:tc>
        <w:tc>
          <w:tcPr>
            <w:tcW w:w="3213" w:type="dxa"/>
            <w:tcBorders>
              <w:top w:val="single" w:color="auto" w:sz="2" w:space="0"/>
              <w:left w:val="single" w:color="auto" w:sz="2" w:space="0"/>
              <w:bottom w:val="single" w:color="auto" w:sz="2" w:space="0"/>
              <w:right w:val="single" w:color="auto" w:sz="2" w:space="0"/>
            </w:tcBorders>
            <w:vAlign w:val="center"/>
          </w:tcPr>
          <w:p w14:paraId="113FC3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15,699,240.05</w:t>
            </w:r>
          </w:p>
        </w:tc>
      </w:tr>
      <w:tr w14:paraId="605B87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CAF18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银行手续费</w:t>
            </w:r>
          </w:p>
        </w:tc>
        <w:tc>
          <w:tcPr>
            <w:tcW w:w="3213" w:type="dxa"/>
            <w:tcBorders>
              <w:top w:val="single" w:color="auto" w:sz="2" w:space="0"/>
              <w:left w:val="single" w:color="auto" w:sz="2" w:space="0"/>
              <w:bottom w:val="single" w:color="auto" w:sz="2" w:space="0"/>
              <w:right w:val="single" w:color="auto" w:sz="2" w:space="0"/>
            </w:tcBorders>
            <w:vAlign w:val="center"/>
          </w:tcPr>
          <w:p w14:paraId="64AD74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70,736.02</w:t>
            </w:r>
          </w:p>
        </w:tc>
        <w:tc>
          <w:tcPr>
            <w:tcW w:w="3213" w:type="dxa"/>
            <w:tcBorders>
              <w:top w:val="single" w:color="auto" w:sz="2" w:space="0"/>
              <w:left w:val="single" w:color="auto" w:sz="2" w:space="0"/>
              <w:bottom w:val="single" w:color="auto" w:sz="2" w:space="0"/>
              <w:right w:val="single" w:color="auto" w:sz="2" w:space="0"/>
            </w:tcBorders>
            <w:vAlign w:val="center"/>
          </w:tcPr>
          <w:p w14:paraId="2695DE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51,059.63</w:t>
            </w:r>
          </w:p>
        </w:tc>
      </w:tr>
      <w:tr w14:paraId="79B5204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9F4B7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24CD9F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652,854.72</w:t>
            </w:r>
          </w:p>
        </w:tc>
        <w:tc>
          <w:tcPr>
            <w:tcW w:w="3213" w:type="dxa"/>
            <w:tcBorders>
              <w:top w:val="single" w:color="auto" w:sz="2" w:space="0"/>
              <w:left w:val="single" w:color="auto" w:sz="2" w:space="0"/>
              <w:bottom w:val="single" w:color="auto" w:sz="2" w:space="0"/>
              <w:right w:val="single" w:color="auto" w:sz="2" w:space="0"/>
            </w:tcBorders>
            <w:vAlign w:val="center"/>
          </w:tcPr>
          <w:p w14:paraId="5E33E7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1,488,830.51</w:t>
            </w:r>
          </w:p>
        </w:tc>
      </w:tr>
      <w:tr w14:paraId="1A5E83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340ED3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日常往来及其他</w:t>
            </w:r>
          </w:p>
        </w:tc>
        <w:tc>
          <w:tcPr>
            <w:tcW w:w="3213" w:type="dxa"/>
            <w:tcBorders>
              <w:top w:val="single" w:color="auto" w:sz="2" w:space="0"/>
              <w:left w:val="single" w:color="auto" w:sz="2" w:space="0"/>
              <w:bottom w:val="single" w:color="auto" w:sz="2" w:space="0"/>
              <w:right w:val="single" w:color="auto" w:sz="2" w:space="0"/>
            </w:tcBorders>
            <w:vAlign w:val="center"/>
          </w:tcPr>
          <w:p w14:paraId="70E1FF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929,892.05</w:t>
            </w:r>
          </w:p>
        </w:tc>
        <w:tc>
          <w:tcPr>
            <w:tcW w:w="3213" w:type="dxa"/>
            <w:tcBorders>
              <w:top w:val="single" w:color="auto" w:sz="2" w:space="0"/>
              <w:left w:val="single" w:color="auto" w:sz="2" w:space="0"/>
              <w:bottom w:val="single" w:color="auto" w:sz="2" w:space="0"/>
              <w:right w:val="single" w:color="auto" w:sz="2" w:space="0"/>
            </w:tcBorders>
            <w:vAlign w:val="center"/>
          </w:tcPr>
          <w:p w14:paraId="534192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131,416.40</w:t>
            </w:r>
          </w:p>
        </w:tc>
      </w:tr>
      <w:tr w14:paraId="5886B5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633E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436E3C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22,242,159.16</w:t>
            </w:r>
          </w:p>
        </w:tc>
        <w:tc>
          <w:tcPr>
            <w:tcW w:w="3213" w:type="dxa"/>
            <w:tcBorders>
              <w:top w:val="single" w:color="auto" w:sz="2" w:space="0"/>
              <w:left w:val="single" w:color="auto" w:sz="2" w:space="0"/>
              <w:bottom w:val="single" w:color="auto" w:sz="2" w:space="0"/>
              <w:right w:val="single" w:color="auto" w:sz="2" w:space="0"/>
            </w:tcBorders>
            <w:vAlign w:val="center"/>
          </w:tcPr>
          <w:p w14:paraId="2BA2C0A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17,370,546.59</w:t>
            </w:r>
          </w:p>
        </w:tc>
      </w:tr>
    </w:tbl>
    <w:p w14:paraId="2636E83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支付的其他与经营活动有关的现金说明：不适用。</w:t>
      </w:r>
    </w:p>
    <w:p w14:paraId="7D1B053C">
      <w:pPr>
        <w:keepNext/>
        <w:keepLines/>
        <w:spacing w:before="300" w:after="300" w:line="280" w:lineRule="exact"/>
        <w:outlineLvl w:val="3"/>
        <w:rPr>
          <w:rFonts w:ascii="Times New Roman" w:hAnsi="Times New Roman" w:cs="Times New Roman" w:eastAsiaTheme="majorEastAsia"/>
          <w:b/>
          <w:bCs/>
          <w:szCs w:val="21"/>
        </w:rPr>
      </w:pPr>
      <w:bookmarkStart w:id="370" w:name="_Toc989259"/>
      <w:r>
        <w:rPr>
          <w:rFonts w:ascii="Times New Roman" w:hAnsi="Times New Roman" w:cs="Times New Roman" w:eastAsiaTheme="majorEastAsia"/>
          <w:b/>
          <w:bCs/>
          <w:szCs w:val="21"/>
        </w:rPr>
        <w:t>（2） 与投资活动有关的现金</w:t>
      </w:r>
      <w:bookmarkEnd w:id="370"/>
    </w:p>
    <w:p w14:paraId="794C023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收到的其他与投资活动有关的现金</w:t>
      </w:r>
    </w:p>
    <w:p w14:paraId="33859A9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D053B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C2DC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EED5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C334E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FC0FC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8A59D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定期存款</w:t>
            </w:r>
          </w:p>
        </w:tc>
        <w:tc>
          <w:tcPr>
            <w:tcW w:w="3213" w:type="dxa"/>
            <w:tcBorders>
              <w:top w:val="single" w:color="auto" w:sz="2" w:space="0"/>
              <w:left w:val="single" w:color="auto" w:sz="2" w:space="0"/>
              <w:bottom w:val="single" w:color="auto" w:sz="2" w:space="0"/>
              <w:right w:val="single" w:color="auto" w:sz="2" w:space="0"/>
            </w:tcBorders>
            <w:vAlign w:val="center"/>
          </w:tcPr>
          <w:p w14:paraId="3907E3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335,000,000.00</w:t>
            </w:r>
          </w:p>
        </w:tc>
        <w:tc>
          <w:tcPr>
            <w:tcW w:w="3213" w:type="dxa"/>
            <w:tcBorders>
              <w:top w:val="single" w:color="auto" w:sz="2" w:space="0"/>
              <w:left w:val="single" w:color="auto" w:sz="2" w:space="0"/>
              <w:bottom w:val="single" w:color="auto" w:sz="2" w:space="0"/>
              <w:right w:val="single" w:color="auto" w:sz="2" w:space="0"/>
            </w:tcBorders>
            <w:vAlign w:val="center"/>
          </w:tcPr>
          <w:p w14:paraId="544A28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30,000,000.00</w:t>
            </w:r>
          </w:p>
        </w:tc>
      </w:tr>
      <w:tr w14:paraId="722A3B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67085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取得子公司收到的现金</w:t>
            </w:r>
          </w:p>
        </w:tc>
        <w:tc>
          <w:tcPr>
            <w:tcW w:w="3213" w:type="dxa"/>
            <w:tcBorders>
              <w:top w:val="single" w:color="auto" w:sz="2" w:space="0"/>
              <w:left w:val="single" w:color="auto" w:sz="2" w:space="0"/>
              <w:bottom w:val="single" w:color="auto" w:sz="2" w:space="0"/>
              <w:right w:val="single" w:color="auto" w:sz="2" w:space="0"/>
            </w:tcBorders>
            <w:vAlign w:val="center"/>
          </w:tcPr>
          <w:p w14:paraId="363E743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202,863.90</w:t>
            </w:r>
          </w:p>
        </w:tc>
        <w:tc>
          <w:tcPr>
            <w:tcW w:w="3213" w:type="dxa"/>
            <w:tcBorders>
              <w:top w:val="single" w:color="auto" w:sz="2" w:space="0"/>
              <w:left w:val="single" w:color="auto" w:sz="2" w:space="0"/>
              <w:bottom w:val="single" w:color="auto" w:sz="2" w:space="0"/>
              <w:right w:val="single" w:color="auto" w:sz="2" w:space="0"/>
            </w:tcBorders>
            <w:vAlign w:val="center"/>
          </w:tcPr>
          <w:p w14:paraId="05FA39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4,711.17</w:t>
            </w:r>
          </w:p>
        </w:tc>
      </w:tr>
      <w:tr w14:paraId="5234E2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9CC231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7CBB4B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5,013,624.81</w:t>
            </w:r>
          </w:p>
        </w:tc>
        <w:tc>
          <w:tcPr>
            <w:tcW w:w="3213" w:type="dxa"/>
            <w:tcBorders>
              <w:top w:val="single" w:color="auto" w:sz="2" w:space="0"/>
              <w:left w:val="single" w:color="auto" w:sz="2" w:space="0"/>
              <w:bottom w:val="single" w:color="auto" w:sz="2" w:space="0"/>
              <w:right w:val="single" w:color="auto" w:sz="2" w:space="0"/>
            </w:tcBorders>
            <w:vAlign w:val="center"/>
          </w:tcPr>
          <w:p w14:paraId="4A955A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7,988,755.88</w:t>
            </w:r>
          </w:p>
        </w:tc>
      </w:tr>
      <w:tr w14:paraId="418249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68CAD8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535F5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340,216,488.71</w:t>
            </w:r>
          </w:p>
        </w:tc>
        <w:tc>
          <w:tcPr>
            <w:tcW w:w="3213" w:type="dxa"/>
            <w:tcBorders>
              <w:top w:val="single" w:color="auto" w:sz="2" w:space="0"/>
              <w:left w:val="single" w:color="auto" w:sz="2" w:space="0"/>
              <w:bottom w:val="single" w:color="auto" w:sz="2" w:space="0"/>
              <w:right w:val="single" w:color="auto" w:sz="2" w:space="0"/>
            </w:tcBorders>
            <w:vAlign w:val="center"/>
          </w:tcPr>
          <w:p w14:paraId="12948C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37,993,467.05</w:t>
            </w:r>
          </w:p>
        </w:tc>
      </w:tr>
    </w:tbl>
    <w:p w14:paraId="38FEBB0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收到的重要的与投资活动有关的现金</w:t>
      </w:r>
    </w:p>
    <w:p w14:paraId="6F7BF3E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3EC23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F013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BB70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8DEE7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3D1D8C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7C566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理财产品-结构性存款</w:t>
            </w:r>
          </w:p>
        </w:tc>
        <w:tc>
          <w:tcPr>
            <w:tcW w:w="3213" w:type="dxa"/>
            <w:tcBorders>
              <w:top w:val="single" w:color="auto" w:sz="2" w:space="0"/>
              <w:left w:val="single" w:color="auto" w:sz="2" w:space="0"/>
              <w:bottom w:val="single" w:color="auto" w:sz="2" w:space="0"/>
              <w:right w:val="single" w:color="auto" w:sz="2" w:space="0"/>
            </w:tcBorders>
            <w:vAlign w:val="center"/>
          </w:tcPr>
          <w:p w14:paraId="42D7A5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210,000,000.00</w:t>
            </w:r>
          </w:p>
        </w:tc>
        <w:tc>
          <w:tcPr>
            <w:tcW w:w="3213" w:type="dxa"/>
            <w:tcBorders>
              <w:top w:val="single" w:color="auto" w:sz="2" w:space="0"/>
              <w:left w:val="single" w:color="auto" w:sz="2" w:space="0"/>
              <w:bottom w:val="single" w:color="auto" w:sz="2" w:space="0"/>
              <w:right w:val="single" w:color="auto" w:sz="2" w:space="0"/>
            </w:tcBorders>
            <w:vAlign w:val="center"/>
          </w:tcPr>
          <w:p w14:paraId="1E2A46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256,000,000.00</w:t>
            </w:r>
          </w:p>
        </w:tc>
      </w:tr>
      <w:tr w14:paraId="750A39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A14EF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3ADC4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210,000,000.00</w:t>
            </w:r>
          </w:p>
        </w:tc>
        <w:tc>
          <w:tcPr>
            <w:tcW w:w="3213" w:type="dxa"/>
            <w:tcBorders>
              <w:top w:val="single" w:color="auto" w:sz="2" w:space="0"/>
              <w:left w:val="single" w:color="auto" w:sz="2" w:space="0"/>
              <w:bottom w:val="single" w:color="auto" w:sz="2" w:space="0"/>
              <w:right w:val="single" w:color="auto" w:sz="2" w:space="0"/>
            </w:tcBorders>
            <w:vAlign w:val="center"/>
          </w:tcPr>
          <w:p w14:paraId="144E65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256,000,000.00</w:t>
            </w:r>
          </w:p>
        </w:tc>
      </w:tr>
    </w:tbl>
    <w:p w14:paraId="5EA4350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收到的其他与投资活动有关的现金说明：不适用。</w:t>
      </w:r>
    </w:p>
    <w:p w14:paraId="2187FF3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支付的其他与投资活动有关的现金</w:t>
      </w:r>
    </w:p>
    <w:p w14:paraId="363A8DB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7544D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2F53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26C5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D50592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99156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CE77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定期存款</w:t>
            </w:r>
          </w:p>
        </w:tc>
        <w:tc>
          <w:tcPr>
            <w:tcW w:w="3213" w:type="dxa"/>
            <w:tcBorders>
              <w:top w:val="single" w:color="auto" w:sz="2" w:space="0"/>
              <w:left w:val="single" w:color="auto" w:sz="2" w:space="0"/>
              <w:bottom w:val="single" w:color="auto" w:sz="2" w:space="0"/>
              <w:right w:val="single" w:color="auto" w:sz="2" w:space="0"/>
            </w:tcBorders>
            <w:vAlign w:val="center"/>
          </w:tcPr>
          <w:p w14:paraId="5EE229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120,000,000.00</w:t>
            </w:r>
          </w:p>
        </w:tc>
        <w:tc>
          <w:tcPr>
            <w:tcW w:w="3213" w:type="dxa"/>
            <w:tcBorders>
              <w:top w:val="single" w:color="auto" w:sz="2" w:space="0"/>
              <w:left w:val="single" w:color="auto" w:sz="2" w:space="0"/>
              <w:bottom w:val="single" w:color="auto" w:sz="2" w:space="0"/>
              <w:right w:val="single" w:color="auto" w:sz="2" w:space="0"/>
            </w:tcBorders>
            <w:vAlign w:val="center"/>
          </w:tcPr>
          <w:p w14:paraId="548409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288,200,000.00</w:t>
            </w:r>
          </w:p>
        </w:tc>
      </w:tr>
      <w:tr w14:paraId="4F799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09C39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定金</w:t>
            </w:r>
          </w:p>
        </w:tc>
        <w:tc>
          <w:tcPr>
            <w:tcW w:w="3213" w:type="dxa"/>
            <w:tcBorders>
              <w:top w:val="single" w:color="auto" w:sz="2" w:space="0"/>
              <w:left w:val="single" w:color="auto" w:sz="2" w:space="0"/>
              <w:bottom w:val="single" w:color="auto" w:sz="2" w:space="0"/>
              <w:right w:val="single" w:color="auto" w:sz="2" w:space="0"/>
            </w:tcBorders>
            <w:vAlign w:val="center"/>
          </w:tcPr>
          <w:p w14:paraId="746A91A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C051D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1,000,000.00</w:t>
            </w:r>
          </w:p>
        </w:tc>
      </w:tr>
      <w:tr w14:paraId="4C4ED2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714D8E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5DC0F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120,000,000.00</w:t>
            </w:r>
          </w:p>
        </w:tc>
        <w:tc>
          <w:tcPr>
            <w:tcW w:w="3213" w:type="dxa"/>
            <w:tcBorders>
              <w:top w:val="single" w:color="auto" w:sz="2" w:space="0"/>
              <w:left w:val="single" w:color="auto" w:sz="2" w:space="0"/>
              <w:bottom w:val="single" w:color="auto" w:sz="2" w:space="0"/>
              <w:right w:val="single" w:color="auto" w:sz="2" w:space="0"/>
            </w:tcBorders>
            <w:vAlign w:val="center"/>
          </w:tcPr>
          <w:p w14:paraId="593AC0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289,200,000.00</w:t>
            </w:r>
          </w:p>
        </w:tc>
      </w:tr>
    </w:tbl>
    <w:p w14:paraId="38EEBAA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支付的重要的与投资活动有关的现金</w:t>
      </w:r>
    </w:p>
    <w:p w14:paraId="3CC01B3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DE1EB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9B7C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24DD1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0BDDE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3920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CD0BC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理财产品-结构性存款</w:t>
            </w:r>
          </w:p>
        </w:tc>
        <w:tc>
          <w:tcPr>
            <w:tcW w:w="3213" w:type="dxa"/>
            <w:tcBorders>
              <w:top w:val="single" w:color="auto" w:sz="2" w:space="0"/>
              <w:left w:val="single" w:color="auto" w:sz="2" w:space="0"/>
              <w:bottom w:val="single" w:color="auto" w:sz="2" w:space="0"/>
              <w:right w:val="single" w:color="auto" w:sz="2" w:space="0"/>
            </w:tcBorders>
            <w:vAlign w:val="center"/>
          </w:tcPr>
          <w:p w14:paraId="311E26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190,000,000.00</w:t>
            </w:r>
          </w:p>
        </w:tc>
        <w:tc>
          <w:tcPr>
            <w:tcW w:w="3213" w:type="dxa"/>
            <w:tcBorders>
              <w:top w:val="single" w:color="auto" w:sz="2" w:space="0"/>
              <w:left w:val="single" w:color="auto" w:sz="2" w:space="0"/>
              <w:bottom w:val="single" w:color="auto" w:sz="2" w:space="0"/>
              <w:right w:val="single" w:color="auto" w:sz="2" w:space="0"/>
            </w:tcBorders>
            <w:vAlign w:val="center"/>
          </w:tcPr>
          <w:p w14:paraId="26AB5B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276,000,000.00</w:t>
            </w:r>
          </w:p>
        </w:tc>
      </w:tr>
      <w:tr w14:paraId="34EB28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B516A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561959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190,000,000.00</w:t>
            </w:r>
          </w:p>
        </w:tc>
        <w:tc>
          <w:tcPr>
            <w:tcW w:w="3213" w:type="dxa"/>
            <w:tcBorders>
              <w:top w:val="single" w:color="auto" w:sz="2" w:space="0"/>
              <w:left w:val="single" w:color="auto" w:sz="2" w:space="0"/>
              <w:bottom w:val="single" w:color="auto" w:sz="2" w:space="0"/>
              <w:right w:val="single" w:color="auto" w:sz="2" w:space="0"/>
            </w:tcBorders>
            <w:vAlign w:val="center"/>
          </w:tcPr>
          <w:p w14:paraId="07853C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276,000,000.00</w:t>
            </w:r>
          </w:p>
        </w:tc>
      </w:tr>
    </w:tbl>
    <w:p w14:paraId="6BC892E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支付的其他与投资活动有关的现金说明：不适用。</w:t>
      </w:r>
    </w:p>
    <w:p w14:paraId="120C7392">
      <w:pPr>
        <w:keepNext/>
        <w:keepLines/>
        <w:spacing w:before="300" w:after="300" w:line="280" w:lineRule="exact"/>
        <w:outlineLvl w:val="3"/>
        <w:rPr>
          <w:rFonts w:ascii="Times New Roman" w:hAnsi="Times New Roman" w:cs="Times New Roman" w:eastAsiaTheme="majorEastAsia"/>
          <w:b/>
          <w:bCs/>
          <w:szCs w:val="21"/>
        </w:rPr>
      </w:pPr>
      <w:bookmarkStart w:id="371" w:name="_Toc989260"/>
      <w:r>
        <w:rPr>
          <w:rFonts w:ascii="Times New Roman" w:hAnsi="Times New Roman" w:cs="Times New Roman" w:eastAsiaTheme="majorEastAsia"/>
          <w:b/>
          <w:bCs/>
          <w:szCs w:val="21"/>
        </w:rPr>
        <w:t>（3） 与筹资活动有关的现金</w:t>
      </w:r>
      <w:bookmarkEnd w:id="371"/>
    </w:p>
    <w:p w14:paraId="7EBD569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收到的其他与筹资活动有关的现金</w:t>
      </w:r>
    </w:p>
    <w:p w14:paraId="72BA680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207A5A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A131DB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AE42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50BE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C2363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1F2AA6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收回租赁押金</w:t>
            </w:r>
          </w:p>
        </w:tc>
        <w:tc>
          <w:tcPr>
            <w:tcW w:w="3213" w:type="dxa"/>
            <w:tcBorders>
              <w:top w:val="single" w:color="auto" w:sz="2" w:space="0"/>
              <w:left w:val="single" w:color="auto" w:sz="2" w:space="0"/>
              <w:bottom w:val="single" w:color="auto" w:sz="2" w:space="0"/>
              <w:right w:val="single" w:color="auto" w:sz="2" w:space="0"/>
            </w:tcBorders>
            <w:vAlign w:val="center"/>
          </w:tcPr>
          <w:p w14:paraId="4C3BBA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588,595.00</w:t>
            </w:r>
          </w:p>
        </w:tc>
        <w:tc>
          <w:tcPr>
            <w:tcW w:w="3213" w:type="dxa"/>
            <w:tcBorders>
              <w:top w:val="single" w:color="auto" w:sz="2" w:space="0"/>
              <w:left w:val="single" w:color="auto" w:sz="2" w:space="0"/>
              <w:bottom w:val="single" w:color="auto" w:sz="2" w:space="0"/>
              <w:right w:val="single" w:color="auto" w:sz="2" w:space="0"/>
            </w:tcBorders>
            <w:vAlign w:val="center"/>
          </w:tcPr>
          <w:p w14:paraId="37EACD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352,072.00</w:t>
            </w:r>
          </w:p>
        </w:tc>
      </w:tr>
      <w:tr w14:paraId="59B279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83AB3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股票认购款</w:t>
            </w:r>
          </w:p>
        </w:tc>
        <w:tc>
          <w:tcPr>
            <w:tcW w:w="3213" w:type="dxa"/>
            <w:tcBorders>
              <w:top w:val="single" w:color="auto" w:sz="2" w:space="0"/>
              <w:left w:val="single" w:color="auto" w:sz="2" w:space="0"/>
              <w:bottom w:val="single" w:color="auto" w:sz="2" w:space="0"/>
              <w:right w:val="single" w:color="auto" w:sz="2" w:space="0"/>
            </w:tcBorders>
            <w:vAlign w:val="center"/>
          </w:tcPr>
          <w:p w14:paraId="4E4627A9">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211FC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7,515,884.00</w:t>
            </w:r>
          </w:p>
        </w:tc>
      </w:tr>
      <w:tr w14:paraId="7C2E12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5717F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保证金</w:t>
            </w:r>
          </w:p>
        </w:tc>
        <w:tc>
          <w:tcPr>
            <w:tcW w:w="3213" w:type="dxa"/>
            <w:tcBorders>
              <w:top w:val="single" w:color="auto" w:sz="2" w:space="0"/>
              <w:left w:val="single" w:color="auto" w:sz="2" w:space="0"/>
              <w:bottom w:val="single" w:color="auto" w:sz="2" w:space="0"/>
              <w:right w:val="single" w:color="auto" w:sz="2" w:space="0"/>
            </w:tcBorders>
            <w:vAlign w:val="center"/>
          </w:tcPr>
          <w:p w14:paraId="40954F8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13,401,503.13</w:t>
            </w:r>
          </w:p>
        </w:tc>
        <w:tc>
          <w:tcPr>
            <w:tcW w:w="3213" w:type="dxa"/>
            <w:tcBorders>
              <w:top w:val="single" w:color="auto" w:sz="2" w:space="0"/>
              <w:left w:val="single" w:color="auto" w:sz="2" w:space="0"/>
              <w:bottom w:val="single" w:color="auto" w:sz="2" w:space="0"/>
              <w:right w:val="single" w:color="auto" w:sz="2" w:space="0"/>
            </w:tcBorders>
            <w:vAlign w:val="center"/>
          </w:tcPr>
          <w:p w14:paraId="05E241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13,800,000.00</w:t>
            </w:r>
          </w:p>
        </w:tc>
      </w:tr>
      <w:tr w14:paraId="3173D9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5D8216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融资租赁款</w:t>
            </w:r>
          </w:p>
        </w:tc>
        <w:tc>
          <w:tcPr>
            <w:tcW w:w="3213" w:type="dxa"/>
            <w:tcBorders>
              <w:top w:val="single" w:color="auto" w:sz="2" w:space="0"/>
              <w:left w:val="single" w:color="auto" w:sz="2" w:space="0"/>
              <w:bottom w:val="single" w:color="auto" w:sz="2" w:space="0"/>
              <w:right w:val="single" w:color="auto" w:sz="2" w:space="0"/>
            </w:tcBorders>
            <w:vAlign w:val="center"/>
          </w:tcPr>
          <w:p w14:paraId="3F5D5E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7,000,000.00</w:t>
            </w:r>
          </w:p>
        </w:tc>
        <w:tc>
          <w:tcPr>
            <w:tcW w:w="3213" w:type="dxa"/>
            <w:tcBorders>
              <w:top w:val="single" w:color="auto" w:sz="2" w:space="0"/>
              <w:left w:val="single" w:color="auto" w:sz="2" w:space="0"/>
              <w:bottom w:val="single" w:color="auto" w:sz="2" w:space="0"/>
              <w:right w:val="single" w:color="auto" w:sz="2" w:space="0"/>
            </w:tcBorders>
            <w:vAlign w:val="center"/>
          </w:tcPr>
          <w:p w14:paraId="0698A1A7">
            <w:pPr>
              <w:spacing w:line="240" w:lineRule="exact"/>
              <w:jc w:val="right"/>
              <w:rPr>
                <w:rFonts w:ascii="Times New Roman" w:hAnsi="Times New Roman" w:cs="Times New Roman" w:eastAsiaTheme="majorEastAsia"/>
                <w:sz w:val="18"/>
                <w:szCs w:val="18"/>
              </w:rPr>
            </w:pPr>
          </w:p>
        </w:tc>
      </w:tr>
      <w:tr w14:paraId="5B89D7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6803F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利息收入</w:t>
            </w:r>
          </w:p>
        </w:tc>
        <w:tc>
          <w:tcPr>
            <w:tcW w:w="3213" w:type="dxa"/>
            <w:tcBorders>
              <w:top w:val="single" w:color="auto" w:sz="2" w:space="0"/>
              <w:left w:val="single" w:color="auto" w:sz="2" w:space="0"/>
              <w:bottom w:val="single" w:color="auto" w:sz="2" w:space="0"/>
              <w:right w:val="single" w:color="auto" w:sz="2" w:space="0"/>
            </w:tcBorders>
            <w:vAlign w:val="center"/>
          </w:tcPr>
          <w:p w14:paraId="46DE43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196,225.79</w:t>
            </w:r>
          </w:p>
        </w:tc>
        <w:tc>
          <w:tcPr>
            <w:tcW w:w="3213" w:type="dxa"/>
            <w:tcBorders>
              <w:top w:val="single" w:color="auto" w:sz="2" w:space="0"/>
              <w:left w:val="single" w:color="auto" w:sz="2" w:space="0"/>
              <w:bottom w:val="single" w:color="auto" w:sz="2" w:space="0"/>
              <w:right w:val="single" w:color="auto" w:sz="2" w:space="0"/>
            </w:tcBorders>
            <w:vAlign w:val="center"/>
          </w:tcPr>
          <w:p w14:paraId="3A8A1C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27,738.85</w:t>
            </w:r>
          </w:p>
        </w:tc>
      </w:tr>
      <w:tr w14:paraId="4888DD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4C4CF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E95B4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21,186,323.92</w:t>
            </w:r>
          </w:p>
        </w:tc>
        <w:tc>
          <w:tcPr>
            <w:tcW w:w="3213" w:type="dxa"/>
            <w:tcBorders>
              <w:top w:val="single" w:color="auto" w:sz="2" w:space="0"/>
              <w:left w:val="single" w:color="auto" w:sz="2" w:space="0"/>
              <w:bottom w:val="single" w:color="auto" w:sz="2" w:space="0"/>
              <w:right w:val="single" w:color="auto" w:sz="2" w:space="0"/>
            </w:tcBorders>
            <w:vAlign w:val="center"/>
          </w:tcPr>
          <w:p w14:paraId="7D7B63D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21,695,694.85</w:t>
            </w:r>
          </w:p>
        </w:tc>
      </w:tr>
    </w:tbl>
    <w:p w14:paraId="05A1269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收到的其他与筹资活动有关的现金说明：不适用。</w:t>
      </w:r>
    </w:p>
    <w:p w14:paraId="166BF1B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支付的其他与筹资活动有关的现金</w:t>
      </w:r>
    </w:p>
    <w:p w14:paraId="63623D1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46EC3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80048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2FECF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0344E3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F30DC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F861B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保证金</w:t>
            </w:r>
          </w:p>
        </w:tc>
        <w:tc>
          <w:tcPr>
            <w:tcW w:w="3213" w:type="dxa"/>
            <w:tcBorders>
              <w:top w:val="single" w:color="auto" w:sz="2" w:space="0"/>
              <w:left w:val="single" w:color="auto" w:sz="2" w:space="0"/>
              <w:bottom w:val="single" w:color="auto" w:sz="2" w:space="0"/>
              <w:right w:val="single" w:color="auto" w:sz="2" w:space="0"/>
            </w:tcBorders>
            <w:vAlign w:val="center"/>
          </w:tcPr>
          <w:p w14:paraId="3B8B9F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2,200,000.00</w:t>
            </w:r>
          </w:p>
        </w:tc>
        <w:tc>
          <w:tcPr>
            <w:tcW w:w="3213" w:type="dxa"/>
            <w:tcBorders>
              <w:top w:val="single" w:color="auto" w:sz="2" w:space="0"/>
              <w:left w:val="single" w:color="auto" w:sz="2" w:space="0"/>
              <w:bottom w:val="single" w:color="auto" w:sz="2" w:space="0"/>
              <w:right w:val="single" w:color="auto" w:sz="2" w:space="0"/>
            </w:tcBorders>
            <w:vAlign w:val="center"/>
          </w:tcPr>
          <w:p w14:paraId="1DF3C7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13,800,000.00</w:t>
            </w:r>
          </w:p>
        </w:tc>
      </w:tr>
      <w:tr w14:paraId="40B20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657277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支付租金和租赁押金</w:t>
            </w:r>
          </w:p>
        </w:tc>
        <w:tc>
          <w:tcPr>
            <w:tcW w:w="3213" w:type="dxa"/>
            <w:tcBorders>
              <w:top w:val="single" w:color="auto" w:sz="2" w:space="0"/>
              <w:left w:val="single" w:color="auto" w:sz="2" w:space="0"/>
              <w:bottom w:val="single" w:color="auto" w:sz="2" w:space="0"/>
              <w:right w:val="single" w:color="auto" w:sz="2" w:space="0"/>
            </w:tcBorders>
            <w:vAlign w:val="center"/>
          </w:tcPr>
          <w:p w14:paraId="082EE03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4,372,343.27</w:t>
            </w:r>
          </w:p>
        </w:tc>
        <w:tc>
          <w:tcPr>
            <w:tcW w:w="3213" w:type="dxa"/>
            <w:tcBorders>
              <w:top w:val="single" w:color="auto" w:sz="2" w:space="0"/>
              <w:left w:val="single" w:color="auto" w:sz="2" w:space="0"/>
              <w:bottom w:val="single" w:color="auto" w:sz="2" w:space="0"/>
              <w:right w:val="single" w:color="auto" w:sz="2" w:space="0"/>
            </w:tcBorders>
            <w:vAlign w:val="center"/>
          </w:tcPr>
          <w:p w14:paraId="0AD8F0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3,850,438.16</w:t>
            </w:r>
          </w:p>
        </w:tc>
      </w:tr>
      <w:tr w14:paraId="49B1D8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8BD3E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股票回购款</w:t>
            </w:r>
          </w:p>
        </w:tc>
        <w:tc>
          <w:tcPr>
            <w:tcW w:w="3213" w:type="dxa"/>
            <w:tcBorders>
              <w:top w:val="single" w:color="auto" w:sz="2" w:space="0"/>
              <w:left w:val="single" w:color="auto" w:sz="2" w:space="0"/>
              <w:bottom w:val="single" w:color="auto" w:sz="2" w:space="0"/>
              <w:right w:val="single" w:color="auto" w:sz="2" w:space="0"/>
            </w:tcBorders>
            <w:vAlign w:val="center"/>
          </w:tcPr>
          <w:p w14:paraId="489ACC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29,057,535.35</w:t>
            </w:r>
          </w:p>
        </w:tc>
        <w:tc>
          <w:tcPr>
            <w:tcW w:w="3213" w:type="dxa"/>
            <w:tcBorders>
              <w:top w:val="single" w:color="auto" w:sz="2" w:space="0"/>
              <w:left w:val="single" w:color="auto" w:sz="2" w:space="0"/>
              <w:bottom w:val="single" w:color="auto" w:sz="2" w:space="0"/>
              <w:right w:val="single" w:color="auto" w:sz="2" w:space="0"/>
            </w:tcBorders>
            <w:vAlign w:val="center"/>
          </w:tcPr>
          <w:p w14:paraId="0411DE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13,292,205.94</w:t>
            </w:r>
          </w:p>
        </w:tc>
      </w:tr>
      <w:tr w14:paraId="013B45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E7C2A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信托业务支付的现金</w:t>
            </w:r>
          </w:p>
        </w:tc>
        <w:tc>
          <w:tcPr>
            <w:tcW w:w="3213" w:type="dxa"/>
            <w:tcBorders>
              <w:top w:val="single" w:color="auto" w:sz="2" w:space="0"/>
              <w:left w:val="single" w:color="auto" w:sz="2" w:space="0"/>
              <w:bottom w:val="single" w:color="auto" w:sz="2" w:space="0"/>
              <w:right w:val="single" w:color="auto" w:sz="2" w:space="0"/>
            </w:tcBorders>
            <w:vAlign w:val="center"/>
          </w:tcPr>
          <w:p w14:paraId="663FCAC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EE87E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17,600,000.00</w:t>
            </w:r>
          </w:p>
        </w:tc>
      </w:tr>
      <w:tr w14:paraId="54A9E5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24CB55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77C8D6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1,156,623.07</w:t>
            </w:r>
          </w:p>
        </w:tc>
        <w:tc>
          <w:tcPr>
            <w:tcW w:w="3213" w:type="dxa"/>
            <w:tcBorders>
              <w:top w:val="single" w:color="auto" w:sz="2" w:space="0"/>
              <w:left w:val="single" w:color="auto" w:sz="2" w:space="0"/>
              <w:bottom w:val="single" w:color="auto" w:sz="2" w:space="0"/>
              <w:right w:val="single" w:color="auto" w:sz="2" w:space="0"/>
            </w:tcBorders>
            <w:vAlign w:val="center"/>
          </w:tcPr>
          <w:p w14:paraId="134F9340">
            <w:pPr>
              <w:spacing w:line="240" w:lineRule="exact"/>
              <w:jc w:val="right"/>
              <w:rPr>
                <w:rFonts w:ascii="Times New Roman" w:hAnsi="Times New Roman" w:cs="Times New Roman" w:eastAsiaTheme="majorEastAsia"/>
                <w:sz w:val="18"/>
                <w:szCs w:val="18"/>
              </w:rPr>
            </w:pPr>
          </w:p>
        </w:tc>
      </w:tr>
      <w:tr w14:paraId="302732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9CAED2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52788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36,786,501.69</w:t>
            </w:r>
          </w:p>
        </w:tc>
        <w:tc>
          <w:tcPr>
            <w:tcW w:w="3213" w:type="dxa"/>
            <w:tcBorders>
              <w:top w:val="single" w:color="auto" w:sz="2" w:space="0"/>
              <w:left w:val="single" w:color="auto" w:sz="2" w:space="0"/>
              <w:bottom w:val="single" w:color="auto" w:sz="2" w:space="0"/>
              <w:right w:val="single" w:color="auto" w:sz="2" w:space="0"/>
            </w:tcBorders>
            <w:vAlign w:val="center"/>
          </w:tcPr>
          <w:p w14:paraId="1E5ABA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48,542,644.10</w:t>
            </w:r>
          </w:p>
        </w:tc>
      </w:tr>
    </w:tbl>
    <w:p w14:paraId="100BA68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支付的其他与筹资活动有关的现金说明：不适用。</w:t>
      </w:r>
    </w:p>
    <w:p w14:paraId="0F93D57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筹资活动产生的各项负债变动情况</w:t>
      </w:r>
    </w:p>
    <w:p w14:paraId="6473189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2B2622A4">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C585A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36D58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C3C06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959D4C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F238B0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828E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07B56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vAlign w:val="center"/>
          </w:tcPr>
          <w:p w14:paraId="58A3A841">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vAlign w:val="center"/>
          </w:tcPr>
          <w:p w14:paraId="4D21C110">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3D064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现金变动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70C6F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非现金变动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96677A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现金变动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CACBB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非现金变动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6BB76BD">
            <w:pPr>
              <w:rPr>
                <w:rFonts w:ascii="Times New Roman" w:hAnsi="Times New Roman" w:cs="Times New Roman" w:eastAsiaTheme="majorEastAsia"/>
              </w:rPr>
            </w:pPr>
          </w:p>
        </w:tc>
      </w:tr>
      <w:tr w14:paraId="5BE67A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9BBBC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短期借款</w:t>
            </w:r>
          </w:p>
        </w:tc>
        <w:tc>
          <w:tcPr>
            <w:tcW w:w="1377" w:type="dxa"/>
            <w:tcBorders>
              <w:top w:val="single" w:color="auto" w:sz="2" w:space="0"/>
              <w:left w:val="single" w:color="auto" w:sz="2" w:space="0"/>
              <w:bottom w:val="single" w:color="auto" w:sz="2" w:space="0"/>
              <w:right w:val="single" w:color="auto" w:sz="2" w:space="0"/>
            </w:tcBorders>
            <w:vAlign w:val="center"/>
          </w:tcPr>
          <w:p w14:paraId="60762B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10,922,480.70</w:t>
            </w:r>
          </w:p>
        </w:tc>
        <w:tc>
          <w:tcPr>
            <w:tcW w:w="1377" w:type="dxa"/>
            <w:tcBorders>
              <w:top w:val="single" w:color="auto" w:sz="2" w:space="0"/>
              <w:left w:val="single" w:color="auto" w:sz="2" w:space="0"/>
              <w:bottom w:val="single" w:color="auto" w:sz="2" w:space="0"/>
              <w:right w:val="single" w:color="auto" w:sz="2" w:space="0"/>
            </w:tcBorders>
            <w:vAlign w:val="center"/>
          </w:tcPr>
          <w:p w14:paraId="43A544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95,414,432.68</w:t>
            </w:r>
          </w:p>
        </w:tc>
        <w:tc>
          <w:tcPr>
            <w:tcW w:w="1377" w:type="dxa"/>
            <w:tcBorders>
              <w:top w:val="single" w:color="auto" w:sz="2" w:space="0"/>
              <w:left w:val="single" w:color="auto" w:sz="2" w:space="0"/>
              <w:bottom w:val="single" w:color="auto" w:sz="2" w:space="0"/>
              <w:right w:val="single" w:color="auto" w:sz="2" w:space="0"/>
            </w:tcBorders>
            <w:vAlign w:val="center"/>
          </w:tcPr>
          <w:p w14:paraId="70B1A8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1,294,134.99</w:t>
            </w:r>
          </w:p>
        </w:tc>
        <w:tc>
          <w:tcPr>
            <w:tcW w:w="1377" w:type="dxa"/>
            <w:tcBorders>
              <w:top w:val="single" w:color="auto" w:sz="2" w:space="0"/>
              <w:left w:val="single" w:color="auto" w:sz="2" w:space="0"/>
              <w:bottom w:val="single" w:color="auto" w:sz="2" w:space="0"/>
              <w:right w:val="single" w:color="auto" w:sz="2" w:space="0"/>
            </w:tcBorders>
            <w:vAlign w:val="center"/>
          </w:tcPr>
          <w:p w14:paraId="1FD0B2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61,407,072.35</w:t>
            </w:r>
          </w:p>
        </w:tc>
        <w:tc>
          <w:tcPr>
            <w:tcW w:w="1377" w:type="dxa"/>
            <w:tcBorders>
              <w:top w:val="single" w:color="auto" w:sz="2" w:space="0"/>
              <w:left w:val="single" w:color="auto" w:sz="2" w:space="0"/>
              <w:bottom w:val="single" w:color="auto" w:sz="2" w:space="0"/>
              <w:right w:val="single" w:color="auto" w:sz="2" w:space="0"/>
            </w:tcBorders>
            <w:vAlign w:val="center"/>
          </w:tcPr>
          <w:p w14:paraId="4EACA0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194.89</w:t>
            </w:r>
          </w:p>
        </w:tc>
        <w:tc>
          <w:tcPr>
            <w:tcW w:w="1377" w:type="dxa"/>
            <w:tcBorders>
              <w:top w:val="single" w:color="auto" w:sz="2" w:space="0"/>
              <w:left w:val="single" w:color="auto" w:sz="2" w:space="0"/>
              <w:bottom w:val="single" w:color="auto" w:sz="2" w:space="0"/>
              <w:right w:val="single" w:color="auto" w:sz="2" w:space="0"/>
            </w:tcBorders>
            <w:vAlign w:val="center"/>
          </w:tcPr>
          <w:p w14:paraId="349472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46,223,781.13</w:t>
            </w:r>
          </w:p>
        </w:tc>
      </w:tr>
      <w:tr w14:paraId="494B82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36748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其他应付款-应付股利</w:t>
            </w:r>
          </w:p>
        </w:tc>
        <w:tc>
          <w:tcPr>
            <w:tcW w:w="1377" w:type="dxa"/>
            <w:tcBorders>
              <w:top w:val="single" w:color="auto" w:sz="2" w:space="0"/>
              <w:left w:val="single" w:color="auto" w:sz="2" w:space="0"/>
              <w:bottom w:val="single" w:color="auto" w:sz="2" w:space="0"/>
              <w:right w:val="single" w:color="auto" w:sz="2" w:space="0"/>
            </w:tcBorders>
            <w:vAlign w:val="center"/>
          </w:tcPr>
          <w:p w14:paraId="4FF0AEB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625250">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1EA20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6,495,066.00</w:t>
            </w:r>
          </w:p>
        </w:tc>
        <w:tc>
          <w:tcPr>
            <w:tcW w:w="1377" w:type="dxa"/>
            <w:tcBorders>
              <w:top w:val="single" w:color="auto" w:sz="2" w:space="0"/>
              <w:left w:val="single" w:color="auto" w:sz="2" w:space="0"/>
              <w:bottom w:val="single" w:color="auto" w:sz="2" w:space="0"/>
              <w:right w:val="single" w:color="auto" w:sz="2" w:space="0"/>
            </w:tcBorders>
            <w:vAlign w:val="center"/>
          </w:tcPr>
          <w:p w14:paraId="23BF02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6,495,066.00</w:t>
            </w:r>
          </w:p>
        </w:tc>
        <w:tc>
          <w:tcPr>
            <w:tcW w:w="1377" w:type="dxa"/>
            <w:tcBorders>
              <w:top w:val="single" w:color="auto" w:sz="2" w:space="0"/>
              <w:left w:val="single" w:color="auto" w:sz="2" w:space="0"/>
              <w:bottom w:val="single" w:color="auto" w:sz="2" w:space="0"/>
              <w:right w:val="single" w:color="auto" w:sz="2" w:space="0"/>
            </w:tcBorders>
            <w:vAlign w:val="center"/>
          </w:tcPr>
          <w:p w14:paraId="2B7EBA6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95C6328">
            <w:pPr>
              <w:spacing w:line="240" w:lineRule="exact"/>
              <w:jc w:val="right"/>
              <w:rPr>
                <w:rFonts w:ascii="Times New Roman" w:hAnsi="Times New Roman" w:cs="Times New Roman" w:eastAsiaTheme="majorEastAsia"/>
                <w:sz w:val="18"/>
                <w:szCs w:val="18"/>
              </w:rPr>
            </w:pPr>
          </w:p>
        </w:tc>
      </w:tr>
      <w:tr w14:paraId="40EAA3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A8D59A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长期借款（一年内到期的非流动负债）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78E1324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310AD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34,657,786.17</w:t>
            </w:r>
          </w:p>
        </w:tc>
        <w:tc>
          <w:tcPr>
            <w:tcW w:w="1377" w:type="dxa"/>
            <w:tcBorders>
              <w:top w:val="single" w:color="auto" w:sz="2" w:space="0"/>
              <w:left w:val="single" w:color="auto" w:sz="2" w:space="0"/>
              <w:bottom w:val="single" w:color="auto" w:sz="2" w:space="0"/>
              <w:right w:val="single" w:color="auto" w:sz="2" w:space="0"/>
            </w:tcBorders>
            <w:vAlign w:val="center"/>
          </w:tcPr>
          <w:p w14:paraId="5F6C13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390,010.17</w:t>
            </w:r>
          </w:p>
        </w:tc>
        <w:tc>
          <w:tcPr>
            <w:tcW w:w="1377" w:type="dxa"/>
            <w:tcBorders>
              <w:top w:val="single" w:color="auto" w:sz="2" w:space="0"/>
              <w:left w:val="single" w:color="auto" w:sz="2" w:space="0"/>
              <w:bottom w:val="single" w:color="auto" w:sz="2" w:space="0"/>
              <w:right w:val="single" w:color="auto" w:sz="2" w:space="0"/>
            </w:tcBorders>
            <w:vAlign w:val="center"/>
          </w:tcPr>
          <w:p w14:paraId="70DB75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354,110.82</w:t>
            </w:r>
          </w:p>
        </w:tc>
        <w:tc>
          <w:tcPr>
            <w:tcW w:w="1377" w:type="dxa"/>
            <w:tcBorders>
              <w:top w:val="single" w:color="auto" w:sz="2" w:space="0"/>
              <w:left w:val="single" w:color="auto" w:sz="2" w:space="0"/>
              <w:bottom w:val="single" w:color="auto" w:sz="2" w:space="0"/>
              <w:right w:val="single" w:color="auto" w:sz="2" w:space="0"/>
            </w:tcBorders>
            <w:vAlign w:val="center"/>
          </w:tcPr>
          <w:p w14:paraId="5560CD1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47D6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34,693,685.52</w:t>
            </w:r>
          </w:p>
        </w:tc>
      </w:tr>
      <w:tr w14:paraId="1AEF5E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C9C1B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长期应付款（一年内到期的非流动负债）</w:t>
            </w:r>
          </w:p>
        </w:tc>
        <w:tc>
          <w:tcPr>
            <w:tcW w:w="1377" w:type="dxa"/>
            <w:tcBorders>
              <w:top w:val="single" w:color="auto" w:sz="2" w:space="0"/>
              <w:left w:val="single" w:color="auto" w:sz="2" w:space="0"/>
              <w:bottom w:val="single" w:color="auto" w:sz="2" w:space="0"/>
              <w:right w:val="single" w:color="auto" w:sz="2" w:space="0"/>
            </w:tcBorders>
            <w:vAlign w:val="center"/>
          </w:tcPr>
          <w:p w14:paraId="4BB1CFE9">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1F8F6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7,000,000.00</w:t>
            </w:r>
          </w:p>
        </w:tc>
        <w:tc>
          <w:tcPr>
            <w:tcW w:w="1377" w:type="dxa"/>
            <w:tcBorders>
              <w:top w:val="single" w:color="auto" w:sz="2" w:space="0"/>
              <w:left w:val="single" w:color="auto" w:sz="2" w:space="0"/>
              <w:bottom w:val="single" w:color="auto" w:sz="2" w:space="0"/>
              <w:right w:val="single" w:color="auto" w:sz="2" w:space="0"/>
            </w:tcBorders>
            <w:vAlign w:val="center"/>
          </w:tcPr>
          <w:p w14:paraId="3BC3F2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20,526,749.32</w:t>
            </w:r>
          </w:p>
        </w:tc>
        <w:tc>
          <w:tcPr>
            <w:tcW w:w="1377" w:type="dxa"/>
            <w:tcBorders>
              <w:top w:val="single" w:color="auto" w:sz="2" w:space="0"/>
              <w:left w:val="single" w:color="auto" w:sz="2" w:space="0"/>
              <w:bottom w:val="single" w:color="auto" w:sz="2" w:space="0"/>
              <w:right w:val="single" w:color="auto" w:sz="2" w:space="0"/>
            </w:tcBorders>
            <w:vAlign w:val="center"/>
          </w:tcPr>
          <w:p w14:paraId="24D19FC9">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E1B90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6,494,665.99</w:t>
            </w:r>
          </w:p>
        </w:tc>
        <w:tc>
          <w:tcPr>
            <w:tcW w:w="1377" w:type="dxa"/>
            <w:tcBorders>
              <w:top w:val="single" w:color="auto" w:sz="2" w:space="0"/>
              <w:left w:val="single" w:color="auto" w:sz="2" w:space="0"/>
              <w:bottom w:val="single" w:color="auto" w:sz="2" w:space="0"/>
              <w:right w:val="single" w:color="auto" w:sz="2" w:space="0"/>
            </w:tcBorders>
            <w:vAlign w:val="center"/>
          </w:tcPr>
          <w:p w14:paraId="764141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21,032,083.33</w:t>
            </w:r>
          </w:p>
        </w:tc>
      </w:tr>
      <w:tr w14:paraId="541D5B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1B877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租赁负债（含一年内到期的租赁负债）</w:t>
            </w:r>
          </w:p>
        </w:tc>
        <w:tc>
          <w:tcPr>
            <w:tcW w:w="1377" w:type="dxa"/>
            <w:tcBorders>
              <w:top w:val="single" w:color="auto" w:sz="2" w:space="0"/>
              <w:left w:val="single" w:color="auto" w:sz="2" w:space="0"/>
              <w:bottom w:val="single" w:color="auto" w:sz="2" w:space="0"/>
              <w:right w:val="single" w:color="auto" w:sz="2" w:space="0"/>
            </w:tcBorders>
            <w:vAlign w:val="center"/>
          </w:tcPr>
          <w:p w14:paraId="15753F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6,442,457.10</w:t>
            </w:r>
          </w:p>
        </w:tc>
        <w:tc>
          <w:tcPr>
            <w:tcW w:w="1377" w:type="dxa"/>
            <w:tcBorders>
              <w:top w:val="single" w:color="auto" w:sz="2" w:space="0"/>
              <w:left w:val="single" w:color="auto" w:sz="2" w:space="0"/>
              <w:bottom w:val="single" w:color="auto" w:sz="2" w:space="0"/>
              <w:right w:val="single" w:color="auto" w:sz="2" w:space="0"/>
            </w:tcBorders>
            <w:vAlign w:val="center"/>
          </w:tcPr>
          <w:p w14:paraId="206A820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D1DA9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10,228,795.10</w:t>
            </w:r>
          </w:p>
        </w:tc>
        <w:tc>
          <w:tcPr>
            <w:tcW w:w="1377" w:type="dxa"/>
            <w:tcBorders>
              <w:top w:val="single" w:color="auto" w:sz="2" w:space="0"/>
              <w:left w:val="single" w:color="auto" w:sz="2" w:space="0"/>
              <w:bottom w:val="single" w:color="auto" w:sz="2" w:space="0"/>
              <w:right w:val="single" w:color="auto" w:sz="2" w:space="0"/>
            </w:tcBorders>
            <w:vAlign w:val="center"/>
          </w:tcPr>
          <w:p w14:paraId="354A09B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3,842,717.87</w:t>
            </w:r>
          </w:p>
        </w:tc>
        <w:tc>
          <w:tcPr>
            <w:tcW w:w="1377" w:type="dxa"/>
            <w:tcBorders>
              <w:top w:val="single" w:color="auto" w:sz="2" w:space="0"/>
              <w:left w:val="single" w:color="auto" w:sz="2" w:space="0"/>
              <w:bottom w:val="single" w:color="auto" w:sz="2" w:space="0"/>
              <w:right w:val="single" w:color="auto" w:sz="2" w:space="0"/>
            </w:tcBorders>
            <w:vAlign w:val="center"/>
          </w:tcPr>
          <w:p w14:paraId="7ADDAD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4,310,789.96</w:t>
            </w:r>
          </w:p>
        </w:tc>
        <w:tc>
          <w:tcPr>
            <w:tcW w:w="1377" w:type="dxa"/>
            <w:tcBorders>
              <w:top w:val="single" w:color="auto" w:sz="2" w:space="0"/>
              <w:left w:val="single" w:color="auto" w:sz="2" w:space="0"/>
              <w:bottom w:val="single" w:color="auto" w:sz="2" w:space="0"/>
              <w:right w:val="single" w:color="auto" w:sz="2" w:space="0"/>
            </w:tcBorders>
            <w:vAlign w:val="center"/>
          </w:tcPr>
          <w:p w14:paraId="4873733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8,517,744.37</w:t>
            </w:r>
          </w:p>
        </w:tc>
      </w:tr>
      <w:tr w14:paraId="63CC2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8DB93B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5D27A8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17,364,937.80</w:t>
            </w:r>
          </w:p>
        </w:tc>
        <w:tc>
          <w:tcPr>
            <w:tcW w:w="1377" w:type="dxa"/>
            <w:tcBorders>
              <w:top w:val="single" w:color="auto" w:sz="2" w:space="0"/>
              <w:left w:val="single" w:color="auto" w:sz="2" w:space="0"/>
              <w:bottom w:val="single" w:color="auto" w:sz="2" w:space="0"/>
              <w:right w:val="single" w:color="auto" w:sz="2" w:space="0"/>
            </w:tcBorders>
            <w:vAlign w:val="center"/>
          </w:tcPr>
          <w:p w14:paraId="36D0B2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137,072,218.85</w:t>
            </w:r>
          </w:p>
        </w:tc>
        <w:tc>
          <w:tcPr>
            <w:tcW w:w="1377" w:type="dxa"/>
            <w:tcBorders>
              <w:top w:val="single" w:color="auto" w:sz="2" w:space="0"/>
              <w:left w:val="single" w:color="auto" w:sz="2" w:space="0"/>
              <w:bottom w:val="single" w:color="auto" w:sz="2" w:space="0"/>
              <w:right w:val="single" w:color="auto" w:sz="2" w:space="0"/>
            </w:tcBorders>
            <w:vAlign w:val="center"/>
          </w:tcPr>
          <w:p w14:paraId="6156A5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38,934,755.58</w:t>
            </w:r>
          </w:p>
        </w:tc>
        <w:tc>
          <w:tcPr>
            <w:tcW w:w="1377" w:type="dxa"/>
            <w:tcBorders>
              <w:top w:val="single" w:color="auto" w:sz="2" w:space="0"/>
              <w:left w:val="single" w:color="auto" w:sz="2" w:space="0"/>
              <w:bottom w:val="single" w:color="auto" w:sz="2" w:space="0"/>
              <w:right w:val="single" w:color="auto" w:sz="2" w:space="0"/>
            </w:tcBorders>
            <w:vAlign w:val="center"/>
          </w:tcPr>
          <w:p w14:paraId="43BE7E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72,098,967.04</w:t>
            </w:r>
          </w:p>
        </w:tc>
        <w:tc>
          <w:tcPr>
            <w:tcW w:w="1377" w:type="dxa"/>
            <w:tcBorders>
              <w:top w:val="single" w:color="auto" w:sz="2" w:space="0"/>
              <w:left w:val="single" w:color="auto" w:sz="2" w:space="0"/>
              <w:bottom w:val="single" w:color="auto" w:sz="2" w:space="0"/>
              <w:right w:val="single" w:color="auto" w:sz="2" w:space="0"/>
            </w:tcBorders>
            <w:vAlign w:val="center"/>
          </w:tcPr>
          <w:p w14:paraId="1A8454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10,805,650.84</w:t>
            </w:r>
          </w:p>
        </w:tc>
        <w:tc>
          <w:tcPr>
            <w:tcW w:w="1377" w:type="dxa"/>
            <w:tcBorders>
              <w:top w:val="single" w:color="auto" w:sz="2" w:space="0"/>
              <w:left w:val="single" w:color="auto" w:sz="2" w:space="0"/>
              <w:bottom w:val="single" w:color="auto" w:sz="2" w:space="0"/>
              <w:right w:val="single" w:color="auto" w:sz="2" w:space="0"/>
            </w:tcBorders>
            <w:vAlign w:val="center"/>
          </w:tcPr>
          <w:p w14:paraId="400925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110,467,294.35</w:t>
            </w:r>
          </w:p>
        </w:tc>
      </w:tr>
    </w:tbl>
    <w:p w14:paraId="6C973DED">
      <w:pPr>
        <w:keepNext/>
        <w:keepLines/>
        <w:spacing w:before="300" w:after="300" w:line="280" w:lineRule="exact"/>
        <w:outlineLvl w:val="3"/>
        <w:rPr>
          <w:rFonts w:ascii="Times New Roman" w:hAnsi="Times New Roman" w:cs="Times New Roman" w:eastAsiaTheme="majorEastAsia"/>
          <w:b/>
          <w:bCs/>
          <w:szCs w:val="21"/>
        </w:rPr>
      </w:pPr>
      <w:bookmarkStart w:id="372" w:name="_Toc989261"/>
      <w:r>
        <w:rPr>
          <w:rFonts w:ascii="Times New Roman" w:hAnsi="Times New Roman" w:cs="Times New Roman" w:eastAsiaTheme="majorEastAsia"/>
          <w:b/>
          <w:bCs/>
          <w:szCs w:val="21"/>
        </w:rPr>
        <w:t>（4） 以净额列报现金流量的说明</w:t>
      </w:r>
      <w:bookmarkEnd w:id="372"/>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315E6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F8D23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2C8D0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相关事实情况</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E20E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采用净额列报的依据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31376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财务影响</w:t>
            </w:r>
          </w:p>
        </w:tc>
      </w:tr>
      <w:tr w14:paraId="1A6010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9C53F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2410" w:type="dxa"/>
            <w:tcBorders>
              <w:top w:val="single" w:color="auto" w:sz="2" w:space="0"/>
              <w:left w:val="single" w:color="auto" w:sz="2" w:space="0"/>
              <w:bottom w:val="single" w:color="auto" w:sz="2" w:space="0"/>
              <w:right w:val="single" w:color="auto" w:sz="2" w:space="0"/>
            </w:tcBorders>
            <w:vAlign w:val="center"/>
          </w:tcPr>
          <w:p w14:paraId="2FCD1A77">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3116CDB">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4EF6BB4">
            <w:pPr>
              <w:spacing w:line="240" w:lineRule="exact"/>
              <w:rPr>
                <w:rFonts w:ascii="Times New Roman" w:hAnsi="Times New Roman" w:cs="Times New Roman" w:eastAsiaTheme="majorEastAsia"/>
                <w:sz w:val="18"/>
                <w:szCs w:val="18"/>
              </w:rPr>
            </w:pPr>
          </w:p>
        </w:tc>
      </w:tr>
    </w:tbl>
    <w:p w14:paraId="01448161">
      <w:pPr>
        <w:keepNext/>
        <w:keepLines/>
        <w:spacing w:before="300" w:after="300" w:line="280" w:lineRule="exact"/>
        <w:outlineLvl w:val="3"/>
        <w:rPr>
          <w:rFonts w:ascii="Times New Roman" w:hAnsi="Times New Roman" w:cs="Times New Roman" w:eastAsiaTheme="majorEastAsia"/>
          <w:b/>
          <w:bCs/>
          <w:szCs w:val="21"/>
        </w:rPr>
      </w:pPr>
      <w:bookmarkStart w:id="373" w:name="_Toc989262"/>
      <w:r>
        <w:rPr>
          <w:rFonts w:ascii="Times New Roman" w:hAnsi="Times New Roman" w:cs="Times New Roman" w:eastAsiaTheme="majorEastAsia"/>
          <w:b/>
          <w:bCs/>
          <w:szCs w:val="21"/>
        </w:rPr>
        <w:t>（5） 不涉及当期现金收支、但影响企业财务状况或在未来可能影响企业现金流量的重大活动及财务影响</w:t>
      </w:r>
      <w:bookmarkEnd w:id="373"/>
    </w:p>
    <w:p w14:paraId="35FC2247">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2A2C11D1">
      <w:pPr>
        <w:pStyle w:val="3"/>
        <w:spacing w:line="280" w:lineRule="exact"/>
        <w:jc w:val="left"/>
        <w:rPr>
          <w:rFonts w:ascii="Times New Roman" w:hAnsi="Times New Roman" w:cs="Times New Roman" w:eastAsiaTheme="majorEastAsia"/>
          <w:b/>
          <w:bCs/>
        </w:rPr>
      </w:pPr>
      <w:bookmarkStart w:id="374" w:name="_Toc989263"/>
      <w:r>
        <w:rPr>
          <w:rFonts w:ascii="Times New Roman" w:hAnsi="Times New Roman" w:cs="Times New Roman" w:eastAsiaTheme="majorEastAsia"/>
          <w:b/>
          <w:bCs/>
        </w:rPr>
        <w:t>63、现金流量表补充资料</w:t>
      </w:r>
      <w:bookmarkEnd w:id="374"/>
    </w:p>
    <w:p w14:paraId="0ABA79D0">
      <w:pPr>
        <w:keepNext/>
        <w:keepLines/>
        <w:spacing w:before="300" w:after="300" w:line="280" w:lineRule="exact"/>
        <w:outlineLvl w:val="3"/>
        <w:rPr>
          <w:rFonts w:ascii="Times New Roman" w:hAnsi="Times New Roman" w:cs="Times New Roman" w:eastAsiaTheme="majorEastAsia"/>
          <w:b/>
          <w:bCs/>
          <w:szCs w:val="21"/>
        </w:rPr>
      </w:pPr>
      <w:bookmarkStart w:id="375" w:name="_Toc989264"/>
      <w:r>
        <w:rPr>
          <w:rFonts w:ascii="Times New Roman" w:hAnsi="Times New Roman" w:cs="Times New Roman" w:eastAsiaTheme="majorEastAsia"/>
          <w:b/>
          <w:bCs/>
          <w:szCs w:val="21"/>
        </w:rPr>
        <w:t>（1） 现金流量表补充资料</w:t>
      </w:r>
      <w:bookmarkEnd w:id="375"/>
    </w:p>
    <w:p w14:paraId="2B2A87CB">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079E4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6606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补充资料</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A2BA6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0FAA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上期金额</w:t>
            </w:r>
          </w:p>
        </w:tc>
      </w:tr>
      <w:tr w14:paraId="158F63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12246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1．将净利润调节为经营活动现金流量</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B0D73A">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10C28D">
            <w:pPr>
              <w:rPr>
                <w:rFonts w:ascii="Times New Roman" w:hAnsi="Times New Roman" w:cs="Times New Roman" w:eastAsiaTheme="majorEastAsia"/>
              </w:rPr>
            </w:pPr>
          </w:p>
        </w:tc>
      </w:tr>
      <w:tr w14:paraId="114C16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ABD9F8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净利润</w:t>
            </w:r>
          </w:p>
        </w:tc>
        <w:tc>
          <w:tcPr>
            <w:tcW w:w="3213" w:type="dxa"/>
            <w:tcBorders>
              <w:top w:val="single" w:color="auto" w:sz="2" w:space="0"/>
              <w:left w:val="single" w:color="auto" w:sz="2" w:space="0"/>
              <w:bottom w:val="single" w:color="auto" w:sz="2" w:space="0"/>
              <w:right w:val="single" w:color="auto" w:sz="2" w:space="0"/>
            </w:tcBorders>
            <w:vAlign w:val="center"/>
          </w:tcPr>
          <w:p w14:paraId="6C89091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-53,491,793.68</w:t>
            </w:r>
          </w:p>
        </w:tc>
        <w:tc>
          <w:tcPr>
            <w:tcW w:w="3213" w:type="dxa"/>
            <w:tcBorders>
              <w:top w:val="single" w:color="auto" w:sz="2" w:space="0"/>
              <w:left w:val="single" w:color="auto" w:sz="2" w:space="0"/>
              <w:bottom w:val="single" w:color="auto" w:sz="2" w:space="0"/>
              <w:right w:val="single" w:color="auto" w:sz="2" w:space="0"/>
            </w:tcBorders>
            <w:vAlign w:val="center"/>
          </w:tcPr>
          <w:p w14:paraId="4FB297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4,387,795.91</w:t>
            </w:r>
          </w:p>
        </w:tc>
      </w:tr>
      <w:tr w14:paraId="36E835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3C4AA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加：资产减值准备</w:t>
            </w:r>
          </w:p>
        </w:tc>
        <w:tc>
          <w:tcPr>
            <w:tcW w:w="3213" w:type="dxa"/>
            <w:tcBorders>
              <w:top w:val="single" w:color="auto" w:sz="2" w:space="0"/>
              <w:left w:val="single" w:color="auto" w:sz="2" w:space="0"/>
              <w:bottom w:val="single" w:color="auto" w:sz="2" w:space="0"/>
              <w:right w:val="single" w:color="auto" w:sz="2" w:space="0"/>
            </w:tcBorders>
            <w:vAlign w:val="center"/>
          </w:tcPr>
          <w:p w14:paraId="020FA0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3,648,261.03</w:t>
            </w:r>
          </w:p>
        </w:tc>
        <w:tc>
          <w:tcPr>
            <w:tcW w:w="3213" w:type="dxa"/>
            <w:tcBorders>
              <w:top w:val="single" w:color="auto" w:sz="2" w:space="0"/>
              <w:left w:val="single" w:color="auto" w:sz="2" w:space="0"/>
              <w:bottom w:val="single" w:color="auto" w:sz="2" w:space="0"/>
              <w:right w:val="single" w:color="auto" w:sz="2" w:space="0"/>
            </w:tcBorders>
            <w:vAlign w:val="center"/>
          </w:tcPr>
          <w:p w14:paraId="1C2560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671,742.64</w:t>
            </w:r>
          </w:p>
        </w:tc>
      </w:tr>
      <w:tr w14:paraId="11F35D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221DF9B">
            <w:pPr>
              <w:spacing w:before="40" w:after="40" w:line="240" w:lineRule="exact"/>
              <w:ind w:firstLine="180" w:firstLineChars="100"/>
              <w:rPr>
                <w:rFonts w:ascii="Times New Roman" w:hAnsi="Times New Roman" w:cs="Times New Roman" w:eastAsiaTheme="majorEastAsia"/>
                <w:szCs w:val="21"/>
              </w:rPr>
            </w:pPr>
            <w:r>
              <w:rPr>
                <w:rFonts w:ascii="Times New Roman" w:hAnsi="Times New Roman" w:cs="Times New Roman" w:eastAsiaTheme="majorEastAsia"/>
                <w:sz w:val="18"/>
                <w:szCs w:val="18"/>
              </w:rPr>
              <w:t>信用减值损失</w:t>
            </w:r>
          </w:p>
        </w:tc>
        <w:tc>
          <w:tcPr>
            <w:tcW w:w="3213" w:type="dxa"/>
            <w:tcBorders>
              <w:top w:val="single" w:color="auto" w:sz="2" w:space="0"/>
              <w:left w:val="single" w:color="auto" w:sz="2" w:space="0"/>
              <w:bottom w:val="single" w:color="auto" w:sz="2" w:space="0"/>
              <w:right w:val="single" w:color="auto" w:sz="2" w:space="0"/>
            </w:tcBorders>
            <w:vAlign w:val="center"/>
          </w:tcPr>
          <w:p w14:paraId="53A2F14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21,461,693.75</w:t>
            </w:r>
          </w:p>
        </w:tc>
        <w:tc>
          <w:tcPr>
            <w:tcW w:w="3213" w:type="dxa"/>
            <w:tcBorders>
              <w:top w:val="single" w:color="auto" w:sz="2" w:space="0"/>
              <w:left w:val="single" w:color="auto" w:sz="2" w:space="0"/>
              <w:bottom w:val="single" w:color="auto" w:sz="2" w:space="0"/>
              <w:right w:val="single" w:color="auto" w:sz="2" w:space="0"/>
            </w:tcBorders>
            <w:vAlign w:val="center"/>
          </w:tcPr>
          <w:p w14:paraId="06AA64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26,850,015.08</w:t>
            </w:r>
          </w:p>
        </w:tc>
      </w:tr>
      <w:tr w14:paraId="34EE00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599B81">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固定资产折旧、油气资产折耗、生产性生物资产折旧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5CCBCC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3,165,168.88</w:t>
            </w:r>
          </w:p>
        </w:tc>
        <w:tc>
          <w:tcPr>
            <w:tcW w:w="3213" w:type="dxa"/>
            <w:tcBorders>
              <w:top w:val="single" w:color="auto" w:sz="2" w:space="0"/>
              <w:left w:val="single" w:color="auto" w:sz="2" w:space="0"/>
              <w:bottom w:val="single" w:color="auto" w:sz="2" w:space="0"/>
              <w:right w:val="single" w:color="auto" w:sz="2" w:space="0"/>
            </w:tcBorders>
            <w:vAlign w:val="center"/>
          </w:tcPr>
          <w:p w14:paraId="0FB91C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480,642.88</w:t>
            </w:r>
          </w:p>
        </w:tc>
      </w:tr>
      <w:tr w14:paraId="23DB01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3FF07B">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使用权资产折旧</w:t>
            </w:r>
          </w:p>
        </w:tc>
        <w:tc>
          <w:tcPr>
            <w:tcW w:w="3213" w:type="dxa"/>
            <w:tcBorders>
              <w:top w:val="single" w:color="auto" w:sz="2" w:space="0"/>
              <w:left w:val="single" w:color="auto" w:sz="2" w:space="0"/>
              <w:bottom w:val="single" w:color="auto" w:sz="2" w:space="0"/>
              <w:right w:val="single" w:color="auto" w:sz="2" w:space="0"/>
            </w:tcBorders>
            <w:vAlign w:val="center"/>
          </w:tcPr>
          <w:p w14:paraId="5AEE9F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3,472,840.50</w:t>
            </w:r>
          </w:p>
        </w:tc>
        <w:tc>
          <w:tcPr>
            <w:tcW w:w="3213" w:type="dxa"/>
            <w:tcBorders>
              <w:top w:val="single" w:color="auto" w:sz="2" w:space="0"/>
              <w:left w:val="single" w:color="auto" w:sz="2" w:space="0"/>
              <w:bottom w:val="single" w:color="auto" w:sz="2" w:space="0"/>
              <w:right w:val="single" w:color="auto" w:sz="2" w:space="0"/>
            </w:tcBorders>
            <w:vAlign w:val="center"/>
          </w:tcPr>
          <w:p w14:paraId="3050AD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3,214,374.69</w:t>
            </w:r>
          </w:p>
        </w:tc>
      </w:tr>
      <w:tr w14:paraId="2607AF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615DEC">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无形资产摊销</w:t>
            </w:r>
          </w:p>
        </w:tc>
        <w:tc>
          <w:tcPr>
            <w:tcW w:w="3213" w:type="dxa"/>
            <w:tcBorders>
              <w:top w:val="single" w:color="auto" w:sz="2" w:space="0"/>
              <w:left w:val="single" w:color="auto" w:sz="2" w:space="0"/>
              <w:bottom w:val="single" w:color="auto" w:sz="2" w:space="0"/>
              <w:right w:val="single" w:color="auto" w:sz="2" w:space="0"/>
            </w:tcBorders>
            <w:vAlign w:val="center"/>
          </w:tcPr>
          <w:p w14:paraId="4CB83A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952,915.10</w:t>
            </w:r>
          </w:p>
        </w:tc>
        <w:tc>
          <w:tcPr>
            <w:tcW w:w="3213" w:type="dxa"/>
            <w:tcBorders>
              <w:top w:val="single" w:color="auto" w:sz="2" w:space="0"/>
              <w:left w:val="single" w:color="auto" w:sz="2" w:space="0"/>
              <w:bottom w:val="single" w:color="auto" w:sz="2" w:space="0"/>
              <w:right w:val="single" w:color="auto" w:sz="2" w:space="0"/>
            </w:tcBorders>
            <w:vAlign w:val="center"/>
          </w:tcPr>
          <w:p w14:paraId="73F386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1,161,180.00</w:t>
            </w:r>
          </w:p>
        </w:tc>
      </w:tr>
      <w:tr w14:paraId="56708C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614379">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长期待摊费用摊销</w:t>
            </w:r>
          </w:p>
        </w:tc>
        <w:tc>
          <w:tcPr>
            <w:tcW w:w="3213" w:type="dxa"/>
            <w:tcBorders>
              <w:top w:val="single" w:color="auto" w:sz="2" w:space="0"/>
              <w:left w:val="single" w:color="auto" w:sz="2" w:space="0"/>
              <w:bottom w:val="single" w:color="auto" w:sz="2" w:space="0"/>
              <w:right w:val="single" w:color="auto" w:sz="2" w:space="0"/>
            </w:tcBorders>
            <w:vAlign w:val="center"/>
          </w:tcPr>
          <w:p w14:paraId="0C668C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415,243.70</w:t>
            </w:r>
          </w:p>
        </w:tc>
        <w:tc>
          <w:tcPr>
            <w:tcW w:w="3213" w:type="dxa"/>
            <w:tcBorders>
              <w:top w:val="single" w:color="auto" w:sz="2" w:space="0"/>
              <w:left w:val="single" w:color="auto" w:sz="2" w:space="0"/>
              <w:bottom w:val="single" w:color="auto" w:sz="2" w:space="0"/>
              <w:right w:val="single" w:color="auto" w:sz="2" w:space="0"/>
            </w:tcBorders>
            <w:vAlign w:val="center"/>
          </w:tcPr>
          <w:p w14:paraId="3619E3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379,778.04</w:t>
            </w:r>
          </w:p>
        </w:tc>
      </w:tr>
      <w:tr w14:paraId="27B134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563B33D">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处置固定资产、无形资产和其他长期资产的损失（收益以“－”号填列）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D598A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-423,066.06</w:t>
            </w:r>
          </w:p>
        </w:tc>
        <w:tc>
          <w:tcPr>
            <w:tcW w:w="3213" w:type="dxa"/>
            <w:tcBorders>
              <w:top w:val="single" w:color="auto" w:sz="2" w:space="0"/>
              <w:left w:val="single" w:color="auto" w:sz="2" w:space="0"/>
              <w:bottom w:val="single" w:color="auto" w:sz="2" w:space="0"/>
              <w:right w:val="single" w:color="auto" w:sz="2" w:space="0"/>
            </w:tcBorders>
            <w:vAlign w:val="center"/>
          </w:tcPr>
          <w:p w14:paraId="3C718F96">
            <w:pPr>
              <w:spacing w:line="240" w:lineRule="exact"/>
              <w:jc w:val="right"/>
              <w:rPr>
                <w:rFonts w:ascii="Times New Roman" w:hAnsi="Times New Roman" w:cs="Times New Roman" w:eastAsiaTheme="majorEastAsia"/>
                <w:sz w:val="18"/>
                <w:szCs w:val="18"/>
              </w:rPr>
            </w:pPr>
          </w:p>
        </w:tc>
      </w:tr>
      <w:tr w14:paraId="5476F7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673E71D">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固定资产报废损失（收益以“－”号填列）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6A23E8B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11548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14,902.10</w:t>
            </w:r>
          </w:p>
        </w:tc>
      </w:tr>
      <w:tr w14:paraId="73F3D5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5D43B1D">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公允价值变动损失（收益以“－”号填列）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416EB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c>
          <w:tcPr>
            <w:tcW w:w="3213" w:type="dxa"/>
            <w:tcBorders>
              <w:top w:val="single" w:color="auto" w:sz="2" w:space="0"/>
              <w:left w:val="single" w:color="auto" w:sz="2" w:space="0"/>
              <w:bottom w:val="single" w:color="auto" w:sz="2" w:space="0"/>
              <w:right w:val="single" w:color="auto" w:sz="2" w:space="0"/>
            </w:tcBorders>
            <w:vAlign w:val="center"/>
          </w:tcPr>
          <w:p w14:paraId="0505A0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-17,095.89</w:t>
            </w:r>
          </w:p>
        </w:tc>
      </w:tr>
      <w:tr w14:paraId="3289EE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9606B5">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财务费用（收益以“－”号填列）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08CD7F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-5,143,957.18</w:t>
            </w:r>
          </w:p>
        </w:tc>
        <w:tc>
          <w:tcPr>
            <w:tcW w:w="3213" w:type="dxa"/>
            <w:tcBorders>
              <w:top w:val="single" w:color="auto" w:sz="2" w:space="0"/>
              <w:left w:val="single" w:color="auto" w:sz="2" w:space="0"/>
              <w:bottom w:val="single" w:color="auto" w:sz="2" w:space="0"/>
              <w:right w:val="single" w:color="auto" w:sz="2" w:space="0"/>
            </w:tcBorders>
            <w:vAlign w:val="center"/>
          </w:tcPr>
          <w:p w14:paraId="16AE21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-8,786,026.59</w:t>
            </w:r>
          </w:p>
        </w:tc>
      </w:tr>
      <w:tr w14:paraId="07805F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FC55A1C">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投资损失（收益以“－”号填列）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8F39B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4C9EF5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5667C5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510CC45">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递延所得税资产减少（增加以“－”号填列）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12EF06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-11,618,015.27</w:t>
            </w:r>
          </w:p>
        </w:tc>
        <w:tc>
          <w:tcPr>
            <w:tcW w:w="3213" w:type="dxa"/>
            <w:tcBorders>
              <w:top w:val="single" w:color="auto" w:sz="2" w:space="0"/>
              <w:left w:val="single" w:color="auto" w:sz="2" w:space="0"/>
              <w:bottom w:val="single" w:color="auto" w:sz="2" w:space="0"/>
              <w:right w:val="single" w:color="auto" w:sz="2" w:space="0"/>
            </w:tcBorders>
            <w:vAlign w:val="center"/>
          </w:tcPr>
          <w:p w14:paraId="18951C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-7,794,928.98</w:t>
            </w:r>
          </w:p>
        </w:tc>
      </w:tr>
      <w:tr w14:paraId="4F226D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C7C99FA">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051B0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295,672.42</w:t>
            </w:r>
          </w:p>
        </w:tc>
        <w:tc>
          <w:tcPr>
            <w:tcW w:w="3213" w:type="dxa"/>
            <w:tcBorders>
              <w:top w:val="single" w:color="auto" w:sz="2" w:space="0"/>
              <w:left w:val="single" w:color="auto" w:sz="2" w:space="0"/>
              <w:bottom w:val="single" w:color="auto" w:sz="2" w:space="0"/>
              <w:right w:val="single" w:color="auto" w:sz="2" w:space="0"/>
            </w:tcBorders>
            <w:vAlign w:val="center"/>
          </w:tcPr>
          <w:p w14:paraId="4E9BF2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299,612.85</w:t>
            </w:r>
          </w:p>
        </w:tc>
      </w:tr>
      <w:tr w14:paraId="715AB7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3EC68C">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2CE7E9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-43,907,568.00</w:t>
            </w:r>
          </w:p>
        </w:tc>
        <w:tc>
          <w:tcPr>
            <w:tcW w:w="3213" w:type="dxa"/>
            <w:tcBorders>
              <w:top w:val="single" w:color="auto" w:sz="2" w:space="0"/>
              <w:left w:val="single" w:color="auto" w:sz="2" w:space="0"/>
              <w:bottom w:val="single" w:color="auto" w:sz="2" w:space="0"/>
              <w:right w:val="single" w:color="auto" w:sz="2" w:space="0"/>
            </w:tcBorders>
            <w:vAlign w:val="center"/>
          </w:tcPr>
          <w:p w14:paraId="596DE2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2,836,985.88</w:t>
            </w:r>
          </w:p>
        </w:tc>
      </w:tr>
      <w:tr w14:paraId="01832E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16AD12">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经营性应收项目的减少（增加以“－”号填列）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74BEA3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-25,765,099.77</w:t>
            </w:r>
          </w:p>
        </w:tc>
        <w:tc>
          <w:tcPr>
            <w:tcW w:w="3213" w:type="dxa"/>
            <w:tcBorders>
              <w:top w:val="single" w:color="auto" w:sz="2" w:space="0"/>
              <w:left w:val="single" w:color="auto" w:sz="2" w:space="0"/>
              <w:bottom w:val="single" w:color="auto" w:sz="2" w:space="0"/>
              <w:right w:val="single" w:color="auto" w:sz="2" w:space="0"/>
            </w:tcBorders>
            <w:vAlign w:val="center"/>
          </w:tcPr>
          <w:p w14:paraId="5728E8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-19,379,758.37</w:t>
            </w:r>
          </w:p>
        </w:tc>
      </w:tr>
      <w:tr w14:paraId="1CF2E7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8AE3546">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经营性应付项目的增加（减少以“－”号填列）</w:t>
            </w:r>
          </w:p>
        </w:tc>
        <w:tc>
          <w:tcPr>
            <w:tcW w:w="3213" w:type="dxa"/>
            <w:tcBorders>
              <w:top w:val="single" w:color="auto" w:sz="2" w:space="0"/>
              <w:left w:val="single" w:color="auto" w:sz="2" w:space="0"/>
              <w:bottom w:val="single" w:color="auto" w:sz="2" w:space="0"/>
              <w:right w:val="single" w:color="auto" w:sz="2" w:space="0"/>
            </w:tcBorders>
            <w:vAlign w:val="center"/>
          </w:tcPr>
          <w:p w14:paraId="44B47B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53,327,570.07</w:t>
            </w:r>
          </w:p>
        </w:tc>
        <w:tc>
          <w:tcPr>
            <w:tcW w:w="3213" w:type="dxa"/>
            <w:tcBorders>
              <w:top w:val="single" w:color="auto" w:sz="2" w:space="0"/>
              <w:left w:val="single" w:color="auto" w:sz="2" w:space="0"/>
              <w:bottom w:val="single" w:color="auto" w:sz="2" w:space="0"/>
              <w:right w:val="single" w:color="auto" w:sz="2" w:space="0"/>
            </w:tcBorders>
            <w:vAlign w:val="center"/>
          </w:tcPr>
          <w:p w14:paraId="190924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5,645,770.61</w:t>
            </w:r>
          </w:p>
        </w:tc>
      </w:tr>
      <w:tr w14:paraId="3F7A83D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388C87E">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213" w:type="dxa"/>
            <w:tcBorders>
              <w:top w:val="single" w:color="auto" w:sz="2" w:space="0"/>
              <w:left w:val="single" w:color="auto" w:sz="2" w:space="0"/>
              <w:bottom w:val="single" w:color="auto" w:sz="2" w:space="0"/>
              <w:right w:val="single" w:color="auto" w:sz="2" w:space="0"/>
            </w:tcBorders>
            <w:vAlign w:val="center"/>
          </w:tcPr>
          <w:p w14:paraId="5F97FFF3">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59920980">
            <w:pPr>
              <w:spacing w:line="240" w:lineRule="exact"/>
              <w:jc w:val="right"/>
              <w:rPr>
                <w:rFonts w:ascii="Times New Roman" w:hAnsi="Times New Roman" w:cs="Times New Roman" w:eastAsiaTheme="majorEastAsia"/>
                <w:sz w:val="18"/>
                <w:szCs w:val="18"/>
              </w:rPr>
            </w:pPr>
          </w:p>
        </w:tc>
      </w:tr>
      <w:tr w14:paraId="70D50E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277FE6C">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经营活动产生的现金流量净额</w:t>
            </w:r>
          </w:p>
        </w:tc>
        <w:tc>
          <w:tcPr>
            <w:tcW w:w="3213" w:type="dxa"/>
            <w:tcBorders>
              <w:top w:val="single" w:color="auto" w:sz="2" w:space="0"/>
              <w:left w:val="single" w:color="auto" w:sz="2" w:space="0"/>
              <w:bottom w:val="single" w:color="auto" w:sz="2" w:space="0"/>
              <w:right w:val="single" w:color="auto" w:sz="2" w:space="0"/>
            </w:tcBorders>
            <w:vAlign w:val="center"/>
          </w:tcPr>
          <w:p w14:paraId="79C45E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-54,239,504.38</w:t>
            </w:r>
          </w:p>
        </w:tc>
        <w:tc>
          <w:tcPr>
            <w:tcW w:w="3213" w:type="dxa"/>
            <w:tcBorders>
              <w:top w:val="single" w:color="auto" w:sz="2" w:space="0"/>
              <w:left w:val="single" w:color="auto" w:sz="2" w:space="0"/>
              <w:bottom w:val="single" w:color="auto" w:sz="2" w:space="0"/>
              <w:right w:val="single" w:color="auto" w:sz="2" w:space="0"/>
            </w:tcBorders>
            <w:vAlign w:val="center"/>
          </w:tcPr>
          <w:p w14:paraId="3E93EF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8,380,672.05</w:t>
            </w:r>
          </w:p>
        </w:tc>
      </w:tr>
      <w:tr w14:paraId="752FC4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A0B335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2．不涉及现金收支的重大投资和筹资活动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888FBE7">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9A4C7A7">
            <w:pPr>
              <w:rPr>
                <w:rFonts w:ascii="Times New Roman" w:hAnsi="Times New Roman" w:cs="Times New Roman" w:eastAsiaTheme="majorEastAsia"/>
              </w:rPr>
            </w:pPr>
          </w:p>
        </w:tc>
      </w:tr>
      <w:tr w14:paraId="331662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0B9A5F5">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债务转为资本</w:t>
            </w:r>
          </w:p>
        </w:tc>
        <w:tc>
          <w:tcPr>
            <w:tcW w:w="3213" w:type="dxa"/>
            <w:tcBorders>
              <w:top w:val="single" w:color="auto" w:sz="2" w:space="0"/>
              <w:left w:val="single" w:color="auto" w:sz="2" w:space="0"/>
              <w:bottom w:val="single" w:color="auto" w:sz="2" w:space="0"/>
              <w:right w:val="single" w:color="auto" w:sz="2" w:space="0"/>
            </w:tcBorders>
            <w:vAlign w:val="center"/>
          </w:tcPr>
          <w:p w14:paraId="5F213ED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B3B98D">
            <w:pPr>
              <w:spacing w:line="240" w:lineRule="exact"/>
              <w:jc w:val="right"/>
              <w:rPr>
                <w:rFonts w:ascii="Times New Roman" w:hAnsi="Times New Roman" w:cs="Times New Roman" w:eastAsiaTheme="majorEastAsia"/>
                <w:sz w:val="18"/>
                <w:szCs w:val="18"/>
              </w:rPr>
            </w:pPr>
          </w:p>
        </w:tc>
      </w:tr>
      <w:tr w14:paraId="2BCB15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37F822">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一年内到期的可转换公司债券</w:t>
            </w:r>
          </w:p>
        </w:tc>
        <w:tc>
          <w:tcPr>
            <w:tcW w:w="3213" w:type="dxa"/>
            <w:tcBorders>
              <w:top w:val="single" w:color="auto" w:sz="2" w:space="0"/>
              <w:left w:val="single" w:color="auto" w:sz="2" w:space="0"/>
              <w:bottom w:val="single" w:color="auto" w:sz="2" w:space="0"/>
              <w:right w:val="single" w:color="auto" w:sz="2" w:space="0"/>
            </w:tcBorders>
            <w:vAlign w:val="center"/>
          </w:tcPr>
          <w:p w14:paraId="670EAA8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A610477">
            <w:pPr>
              <w:spacing w:line="240" w:lineRule="exact"/>
              <w:jc w:val="right"/>
              <w:rPr>
                <w:rFonts w:ascii="Times New Roman" w:hAnsi="Times New Roman" w:cs="Times New Roman" w:eastAsiaTheme="majorEastAsia"/>
                <w:sz w:val="18"/>
                <w:szCs w:val="18"/>
              </w:rPr>
            </w:pPr>
          </w:p>
        </w:tc>
      </w:tr>
      <w:tr w14:paraId="195BAE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B3ED0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融资租入固定资产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78C387E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4E6BF4F2">
            <w:pPr>
              <w:spacing w:line="240" w:lineRule="exact"/>
              <w:jc w:val="right"/>
              <w:rPr>
                <w:rFonts w:ascii="Times New Roman" w:hAnsi="Times New Roman" w:cs="Times New Roman" w:eastAsiaTheme="majorEastAsia"/>
                <w:sz w:val="18"/>
                <w:szCs w:val="18"/>
              </w:rPr>
            </w:pPr>
          </w:p>
        </w:tc>
      </w:tr>
      <w:tr w14:paraId="1A62AD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FE3EF5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3．现金及现金等价物净变动情况：</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20CF1A">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BB3BE2">
            <w:pPr>
              <w:rPr>
                <w:rFonts w:ascii="Times New Roman" w:hAnsi="Times New Roman" w:cs="Times New Roman" w:eastAsiaTheme="majorEastAsia"/>
              </w:rPr>
            </w:pPr>
          </w:p>
        </w:tc>
      </w:tr>
      <w:tr w14:paraId="3E90CA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371F368">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75487B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271,722,181.78</w:t>
            </w:r>
          </w:p>
        </w:tc>
        <w:tc>
          <w:tcPr>
            <w:tcW w:w="3213" w:type="dxa"/>
            <w:tcBorders>
              <w:top w:val="single" w:color="auto" w:sz="2" w:space="0"/>
              <w:left w:val="single" w:color="auto" w:sz="2" w:space="0"/>
              <w:bottom w:val="single" w:color="auto" w:sz="2" w:space="0"/>
              <w:right w:val="single" w:color="auto" w:sz="2" w:space="0"/>
            </w:tcBorders>
            <w:vAlign w:val="center"/>
          </w:tcPr>
          <w:p w14:paraId="45B16B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r>
      <w:tr w14:paraId="1B63A0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D0B85B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减：现金的期初余额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59D9A1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c>
          <w:tcPr>
            <w:tcW w:w="3213" w:type="dxa"/>
            <w:tcBorders>
              <w:top w:val="single" w:color="auto" w:sz="2" w:space="0"/>
              <w:left w:val="single" w:color="auto" w:sz="2" w:space="0"/>
              <w:bottom w:val="single" w:color="auto" w:sz="2" w:space="0"/>
              <w:right w:val="single" w:color="auto" w:sz="2" w:space="0"/>
            </w:tcBorders>
            <w:vAlign w:val="center"/>
          </w:tcPr>
          <w:p w14:paraId="2AF99A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553,471,308.39</w:t>
            </w:r>
          </w:p>
        </w:tc>
      </w:tr>
      <w:tr w14:paraId="05E76D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FE84C7">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加：现金等价物的期末余额</w:t>
            </w:r>
          </w:p>
        </w:tc>
        <w:tc>
          <w:tcPr>
            <w:tcW w:w="3213" w:type="dxa"/>
            <w:tcBorders>
              <w:top w:val="single" w:color="auto" w:sz="2" w:space="0"/>
              <w:left w:val="single" w:color="auto" w:sz="2" w:space="0"/>
              <w:bottom w:val="single" w:color="auto" w:sz="2" w:space="0"/>
              <w:right w:val="single" w:color="auto" w:sz="2" w:space="0"/>
            </w:tcBorders>
            <w:vAlign w:val="center"/>
          </w:tcPr>
          <w:p w14:paraId="65125B2E">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CFB1002">
            <w:pPr>
              <w:spacing w:line="240" w:lineRule="exact"/>
              <w:jc w:val="right"/>
              <w:rPr>
                <w:rFonts w:ascii="Times New Roman" w:hAnsi="Times New Roman" w:cs="Times New Roman" w:eastAsiaTheme="majorEastAsia"/>
                <w:sz w:val="18"/>
                <w:szCs w:val="18"/>
              </w:rPr>
            </w:pPr>
          </w:p>
        </w:tc>
      </w:tr>
      <w:tr w14:paraId="7997C6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E1EA661">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减：现金等价物的期初余额</w:t>
            </w:r>
          </w:p>
        </w:tc>
        <w:tc>
          <w:tcPr>
            <w:tcW w:w="3213" w:type="dxa"/>
            <w:tcBorders>
              <w:top w:val="single" w:color="auto" w:sz="2" w:space="0"/>
              <w:left w:val="single" w:color="auto" w:sz="2" w:space="0"/>
              <w:bottom w:val="single" w:color="auto" w:sz="2" w:space="0"/>
              <w:right w:val="single" w:color="auto" w:sz="2" w:space="0"/>
            </w:tcBorders>
            <w:vAlign w:val="center"/>
          </w:tcPr>
          <w:p w14:paraId="7D9270EF">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182098FD">
            <w:pPr>
              <w:spacing w:line="240" w:lineRule="exact"/>
              <w:jc w:val="right"/>
              <w:rPr>
                <w:rFonts w:ascii="Times New Roman" w:hAnsi="Times New Roman" w:cs="Times New Roman" w:eastAsiaTheme="majorEastAsia"/>
                <w:sz w:val="18"/>
                <w:szCs w:val="18"/>
              </w:rPr>
            </w:pPr>
          </w:p>
        </w:tc>
      </w:tr>
      <w:tr w14:paraId="246246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A73F70">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现金及现金等价物净增加额</w:t>
            </w:r>
          </w:p>
        </w:tc>
        <w:tc>
          <w:tcPr>
            <w:tcW w:w="3213" w:type="dxa"/>
            <w:tcBorders>
              <w:top w:val="single" w:color="auto" w:sz="2" w:space="0"/>
              <w:left w:val="single" w:color="auto" w:sz="2" w:space="0"/>
              <w:bottom w:val="single" w:color="auto" w:sz="2" w:space="0"/>
              <w:right w:val="single" w:color="auto" w:sz="2" w:space="0"/>
            </w:tcBorders>
            <w:vAlign w:val="center"/>
          </w:tcPr>
          <w:p w14:paraId="1CECC3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57,177,551.33</w:t>
            </w:r>
          </w:p>
        </w:tc>
        <w:tc>
          <w:tcPr>
            <w:tcW w:w="3213" w:type="dxa"/>
            <w:tcBorders>
              <w:top w:val="single" w:color="auto" w:sz="2" w:space="0"/>
              <w:left w:val="single" w:color="auto" w:sz="2" w:space="0"/>
              <w:bottom w:val="single" w:color="auto" w:sz="2" w:space="0"/>
              <w:right w:val="single" w:color="auto" w:sz="2" w:space="0"/>
            </w:tcBorders>
            <w:vAlign w:val="center"/>
          </w:tcPr>
          <w:p w14:paraId="64DEF7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-338,926,677.94</w:t>
            </w:r>
          </w:p>
        </w:tc>
      </w:tr>
    </w:tbl>
    <w:p w14:paraId="3208C2DB">
      <w:pPr>
        <w:keepNext/>
        <w:keepLines/>
        <w:spacing w:before="300" w:after="300" w:line="280" w:lineRule="exact"/>
        <w:outlineLvl w:val="3"/>
        <w:rPr>
          <w:rFonts w:ascii="Times New Roman" w:hAnsi="Times New Roman" w:cs="Times New Roman" w:eastAsiaTheme="majorEastAsia"/>
          <w:b/>
          <w:bCs/>
          <w:szCs w:val="21"/>
        </w:rPr>
      </w:pPr>
      <w:bookmarkStart w:id="376" w:name="_Toc989265"/>
      <w:r>
        <w:rPr>
          <w:rFonts w:ascii="Times New Roman" w:hAnsi="Times New Roman" w:cs="Times New Roman" w:eastAsiaTheme="majorEastAsia"/>
          <w:b/>
          <w:bCs/>
          <w:szCs w:val="21"/>
        </w:rPr>
        <w:t>（2） 本期支付的取得子公司的现金净额</w:t>
      </w:r>
      <w:bookmarkEnd w:id="376"/>
    </w:p>
    <w:p w14:paraId="0DC57CA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9E1C5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0C8ACFA">
            <w:pPr>
              <w:rPr>
                <w:rFonts w:ascii="Times New Roman" w:hAnsi="Times New Roman" w:cs="Times New Roman" w:eastAsiaTheme="majorEastAsia"/>
              </w:rPr>
            </w:pP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DDAC4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r>
      <w:tr w14:paraId="094FA4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4F7739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本期发生的企业合并于本期支付的现金或现金等价物</w:t>
            </w:r>
          </w:p>
        </w:tc>
        <w:tc>
          <w:tcPr>
            <w:tcW w:w="4820" w:type="dxa"/>
            <w:tcBorders>
              <w:top w:val="single" w:color="auto" w:sz="2" w:space="0"/>
              <w:left w:val="single" w:color="auto" w:sz="2" w:space="0"/>
              <w:bottom w:val="single" w:color="auto" w:sz="2" w:space="0"/>
              <w:right w:val="single" w:color="auto" w:sz="2" w:space="0"/>
            </w:tcBorders>
            <w:vAlign w:val="center"/>
          </w:tcPr>
          <w:p w14:paraId="73BBA9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r>
      <w:tr w14:paraId="0006E5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6C12EC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94A528">
            <w:pPr>
              <w:rPr>
                <w:rFonts w:ascii="Times New Roman" w:hAnsi="Times New Roman" w:cs="Times New Roman" w:eastAsiaTheme="majorEastAsia"/>
              </w:rPr>
            </w:pPr>
          </w:p>
        </w:tc>
      </w:tr>
      <w:tr w14:paraId="14FFCB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3B1D1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183DC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r>
      <w:tr w14:paraId="412436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39B86D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减：购买日子公司持有的现金及现金等价物</w:t>
            </w:r>
          </w:p>
        </w:tc>
        <w:tc>
          <w:tcPr>
            <w:tcW w:w="4820" w:type="dxa"/>
            <w:tcBorders>
              <w:top w:val="single" w:color="auto" w:sz="2" w:space="0"/>
              <w:left w:val="single" w:color="auto" w:sz="2" w:space="0"/>
              <w:bottom w:val="single" w:color="auto" w:sz="2" w:space="0"/>
              <w:right w:val="single" w:color="auto" w:sz="2" w:space="0"/>
            </w:tcBorders>
            <w:vAlign w:val="center"/>
          </w:tcPr>
          <w:p w14:paraId="3186904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202,863.90</w:t>
            </w:r>
          </w:p>
        </w:tc>
      </w:tr>
      <w:tr w14:paraId="5F38B4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F1B6CA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03D7347">
            <w:pPr>
              <w:rPr>
                <w:rFonts w:ascii="Times New Roman" w:hAnsi="Times New Roman" w:cs="Times New Roman" w:eastAsiaTheme="majorEastAsia"/>
              </w:rPr>
            </w:pPr>
          </w:p>
        </w:tc>
      </w:tr>
      <w:tr w14:paraId="058007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FFD47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7E49A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191,382.73</w:t>
            </w:r>
          </w:p>
        </w:tc>
      </w:tr>
      <w:tr w14:paraId="6A1D0E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DEECE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1E4992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11,481.17</w:t>
            </w:r>
          </w:p>
        </w:tc>
      </w:tr>
      <w:tr w14:paraId="324687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668617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E6F453">
            <w:pPr>
              <w:rPr>
                <w:rFonts w:ascii="Times New Roman" w:hAnsi="Times New Roman" w:cs="Times New Roman" w:eastAsiaTheme="majorEastAsia"/>
              </w:rPr>
            </w:pPr>
          </w:p>
        </w:tc>
      </w:tr>
      <w:tr w14:paraId="21E2C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B4839C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取得子公司支付的现金净额</w:t>
            </w:r>
          </w:p>
        </w:tc>
        <w:tc>
          <w:tcPr>
            <w:tcW w:w="4820" w:type="dxa"/>
            <w:tcBorders>
              <w:top w:val="single" w:color="auto" w:sz="2" w:space="0"/>
              <w:left w:val="single" w:color="auto" w:sz="2" w:space="0"/>
              <w:bottom w:val="single" w:color="auto" w:sz="2" w:space="0"/>
              <w:right w:val="single" w:color="auto" w:sz="2" w:space="0"/>
            </w:tcBorders>
            <w:vAlign w:val="center"/>
          </w:tcPr>
          <w:p w14:paraId="087640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-202,862.90</w:t>
            </w:r>
          </w:p>
        </w:tc>
      </w:tr>
    </w:tbl>
    <w:p w14:paraId="5CC4680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7FD63066">
      <w:pPr>
        <w:keepNext/>
        <w:keepLines/>
        <w:spacing w:before="300" w:after="300" w:line="280" w:lineRule="exact"/>
        <w:outlineLvl w:val="3"/>
        <w:rPr>
          <w:rFonts w:ascii="Times New Roman" w:hAnsi="Times New Roman" w:cs="Times New Roman" w:eastAsiaTheme="majorEastAsia"/>
          <w:b/>
          <w:bCs/>
          <w:szCs w:val="21"/>
        </w:rPr>
      </w:pPr>
      <w:bookmarkStart w:id="377" w:name="_Toc989266"/>
      <w:r>
        <w:rPr>
          <w:rFonts w:ascii="Times New Roman" w:hAnsi="Times New Roman" w:cs="Times New Roman" w:eastAsiaTheme="majorEastAsia"/>
          <w:b/>
          <w:bCs/>
          <w:szCs w:val="21"/>
        </w:rPr>
        <w:t>（3） 本期收到的处置子公司的现金净额</w:t>
      </w:r>
      <w:bookmarkEnd w:id="377"/>
    </w:p>
    <w:p w14:paraId="560B415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A3007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D43C83">
            <w:pPr>
              <w:rPr>
                <w:rFonts w:ascii="Times New Roman" w:hAnsi="Times New Roman" w:cs="Times New Roman" w:eastAsiaTheme="majorEastAsia"/>
              </w:rPr>
            </w:pP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E9C52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r>
      <w:tr w14:paraId="24D9DF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563E21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51CEE4A">
            <w:pPr>
              <w:rPr>
                <w:rFonts w:ascii="Times New Roman" w:hAnsi="Times New Roman" w:cs="Times New Roman" w:eastAsiaTheme="majorEastAsia"/>
              </w:rPr>
            </w:pPr>
          </w:p>
        </w:tc>
      </w:tr>
      <w:tr w14:paraId="212694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0FA125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73DBC38">
            <w:pPr>
              <w:rPr>
                <w:rFonts w:ascii="Times New Roman" w:hAnsi="Times New Roman" w:cs="Times New Roman" w:eastAsiaTheme="majorEastAsia"/>
              </w:rPr>
            </w:pPr>
          </w:p>
        </w:tc>
      </w:tr>
      <w:tr w14:paraId="0CFFFE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624D40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6A92C74">
            <w:pPr>
              <w:rPr>
                <w:rFonts w:ascii="Times New Roman" w:hAnsi="Times New Roman" w:cs="Times New Roman" w:eastAsiaTheme="majorEastAsia"/>
              </w:rPr>
            </w:pPr>
          </w:p>
        </w:tc>
      </w:tr>
    </w:tbl>
    <w:p w14:paraId="5540BB0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4F4363BA">
      <w:pPr>
        <w:keepNext/>
        <w:keepLines/>
        <w:spacing w:before="300" w:after="300" w:line="280" w:lineRule="exact"/>
        <w:outlineLvl w:val="3"/>
        <w:rPr>
          <w:rFonts w:ascii="Times New Roman" w:hAnsi="Times New Roman" w:cs="Times New Roman" w:eastAsiaTheme="majorEastAsia"/>
          <w:b/>
          <w:bCs/>
          <w:szCs w:val="21"/>
        </w:rPr>
      </w:pPr>
      <w:bookmarkStart w:id="378" w:name="_Toc989267"/>
      <w:r>
        <w:rPr>
          <w:rFonts w:ascii="Times New Roman" w:hAnsi="Times New Roman" w:cs="Times New Roman" w:eastAsiaTheme="majorEastAsia"/>
          <w:b/>
          <w:bCs/>
          <w:szCs w:val="21"/>
        </w:rPr>
        <w:t>（4） 现金和现金等价物的构成</w:t>
      </w:r>
      <w:bookmarkEnd w:id="378"/>
    </w:p>
    <w:p w14:paraId="452747D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786"/>
        <w:gridCol w:w="2410"/>
        <w:gridCol w:w="2443"/>
      </w:tblGrid>
      <w:tr w14:paraId="7B4F58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7D2CE27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67A62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2443" w:type="dxa"/>
            <w:tcBorders>
              <w:top w:val="single" w:color="auto" w:sz="2" w:space="0"/>
              <w:left w:val="single" w:color="auto" w:sz="2" w:space="0"/>
              <w:bottom w:val="single" w:color="auto" w:sz="2" w:space="0"/>
              <w:right w:val="single" w:color="auto" w:sz="2" w:space="0"/>
            </w:tcBorders>
            <w:shd w:val="clear" w:color="auto" w:fill="D3D3D3"/>
            <w:vAlign w:val="center"/>
          </w:tcPr>
          <w:p w14:paraId="6B545A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3D813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63E4344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一、现金</w:t>
            </w:r>
          </w:p>
        </w:tc>
        <w:tc>
          <w:tcPr>
            <w:tcW w:w="2410" w:type="dxa"/>
            <w:tcBorders>
              <w:top w:val="single" w:color="auto" w:sz="2" w:space="0"/>
              <w:left w:val="single" w:color="auto" w:sz="2" w:space="0"/>
              <w:bottom w:val="single" w:color="auto" w:sz="2" w:space="0"/>
              <w:right w:val="single" w:color="auto" w:sz="2" w:space="0"/>
            </w:tcBorders>
            <w:vAlign w:val="center"/>
          </w:tcPr>
          <w:p w14:paraId="24FA20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271,722,181.78</w:t>
            </w:r>
          </w:p>
        </w:tc>
        <w:tc>
          <w:tcPr>
            <w:tcW w:w="2443" w:type="dxa"/>
            <w:tcBorders>
              <w:top w:val="single" w:color="auto" w:sz="2" w:space="0"/>
              <w:left w:val="single" w:color="auto" w:sz="2" w:space="0"/>
              <w:bottom w:val="single" w:color="auto" w:sz="2" w:space="0"/>
              <w:right w:val="single" w:color="auto" w:sz="2" w:space="0"/>
            </w:tcBorders>
            <w:vAlign w:val="center"/>
          </w:tcPr>
          <w:p w14:paraId="5684F4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r>
      <w:tr w14:paraId="0E22B8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4E5966A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其中：库存现金</w:t>
            </w:r>
          </w:p>
        </w:tc>
        <w:tc>
          <w:tcPr>
            <w:tcW w:w="2410" w:type="dxa"/>
            <w:tcBorders>
              <w:top w:val="single" w:color="auto" w:sz="2" w:space="0"/>
              <w:left w:val="single" w:color="auto" w:sz="2" w:space="0"/>
              <w:bottom w:val="single" w:color="auto" w:sz="2" w:space="0"/>
              <w:right w:val="single" w:color="auto" w:sz="2" w:space="0"/>
            </w:tcBorders>
            <w:vAlign w:val="center"/>
          </w:tcPr>
          <w:p w14:paraId="7FFC22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118,274.31</w:t>
            </w:r>
          </w:p>
        </w:tc>
        <w:tc>
          <w:tcPr>
            <w:tcW w:w="2443" w:type="dxa"/>
            <w:tcBorders>
              <w:top w:val="single" w:color="auto" w:sz="2" w:space="0"/>
              <w:left w:val="single" w:color="auto" w:sz="2" w:space="0"/>
              <w:bottom w:val="single" w:color="auto" w:sz="2" w:space="0"/>
              <w:right w:val="single" w:color="auto" w:sz="2" w:space="0"/>
            </w:tcBorders>
            <w:vAlign w:val="center"/>
          </w:tcPr>
          <w:p w14:paraId="428A35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21,725.40</w:t>
            </w:r>
          </w:p>
        </w:tc>
      </w:tr>
      <w:tr w14:paraId="62FBD4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3C615F37">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可随时用于支付的银行存款</w:t>
            </w:r>
          </w:p>
        </w:tc>
        <w:tc>
          <w:tcPr>
            <w:tcW w:w="2410" w:type="dxa"/>
            <w:tcBorders>
              <w:top w:val="single" w:color="auto" w:sz="2" w:space="0"/>
              <w:left w:val="single" w:color="auto" w:sz="2" w:space="0"/>
              <w:bottom w:val="single" w:color="auto" w:sz="2" w:space="0"/>
              <w:right w:val="single" w:color="auto" w:sz="2" w:space="0"/>
            </w:tcBorders>
            <w:vAlign w:val="center"/>
          </w:tcPr>
          <w:p w14:paraId="43A6FE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270,882,832.98</w:t>
            </w:r>
          </w:p>
        </w:tc>
        <w:tc>
          <w:tcPr>
            <w:tcW w:w="2443" w:type="dxa"/>
            <w:tcBorders>
              <w:top w:val="single" w:color="auto" w:sz="2" w:space="0"/>
              <w:left w:val="single" w:color="auto" w:sz="2" w:space="0"/>
              <w:bottom w:val="single" w:color="auto" w:sz="2" w:space="0"/>
              <w:right w:val="single" w:color="auto" w:sz="2" w:space="0"/>
            </w:tcBorders>
            <w:vAlign w:val="center"/>
          </w:tcPr>
          <w:p w14:paraId="1A1156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193,795,211.36</w:t>
            </w:r>
          </w:p>
        </w:tc>
      </w:tr>
      <w:tr w14:paraId="74E331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61EEEDCF">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可随时用于支付的其他货币资金</w:t>
            </w:r>
          </w:p>
        </w:tc>
        <w:tc>
          <w:tcPr>
            <w:tcW w:w="2410" w:type="dxa"/>
            <w:tcBorders>
              <w:top w:val="single" w:color="auto" w:sz="2" w:space="0"/>
              <w:left w:val="single" w:color="auto" w:sz="2" w:space="0"/>
              <w:bottom w:val="single" w:color="auto" w:sz="2" w:space="0"/>
              <w:right w:val="single" w:color="auto" w:sz="2" w:space="0"/>
            </w:tcBorders>
            <w:vAlign w:val="center"/>
          </w:tcPr>
          <w:p w14:paraId="3851F7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721,074.49</w:t>
            </w:r>
          </w:p>
        </w:tc>
        <w:tc>
          <w:tcPr>
            <w:tcW w:w="2443" w:type="dxa"/>
            <w:tcBorders>
              <w:top w:val="single" w:color="auto" w:sz="2" w:space="0"/>
              <w:left w:val="single" w:color="auto" w:sz="2" w:space="0"/>
              <w:bottom w:val="single" w:color="auto" w:sz="2" w:space="0"/>
              <w:right w:val="single" w:color="auto" w:sz="2" w:space="0"/>
            </w:tcBorders>
            <w:vAlign w:val="center"/>
          </w:tcPr>
          <w:p w14:paraId="46A5AB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20,727,693.69</w:t>
            </w:r>
          </w:p>
        </w:tc>
      </w:tr>
      <w:tr w14:paraId="4C5850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786" w:type="dxa"/>
            <w:tcBorders>
              <w:top w:val="single" w:color="auto" w:sz="2" w:space="0"/>
              <w:left w:val="single" w:color="auto" w:sz="2" w:space="0"/>
              <w:bottom w:val="single" w:color="auto" w:sz="2" w:space="0"/>
              <w:right w:val="single" w:color="auto" w:sz="2" w:space="0"/>
            </w:tcBorders>
            <w:shd w:val="clear" w:color="auto" w:fill="D3D3D3"/>
            <w:vAlign w:val="center"/>
          </w:tcPr>
          <w:p w14:paraId="3397313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三、期末现金及现金等价物余额</w:t>
            </w:r>
          </w:p>
        </w:tc>
        <w:tc>
          <w:tcPr>
            <w:tcW w:w="2410" w:type="dxa"/>
            <w:tcBorders>
              <w:top w:val="single" w:color="auto" w:sz="2" w:space="0"/>
              <w:left w:val="single" w:color="auto" w:sz="2" w:space="0"/>
              <w:bottom w:val="single" w:color="auto" w:sz="2" w:space="0"/>
              <w:right w:val="single" w:color="auto" w:sz="2" w:space="0"/>
            </w:tcBorders>
            <w:vAlign w:val="center"/>
          </w:tcPr>
          <w:p w14:paraId="769A76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271,722,181.78</w:t>
            </w:r>
          </w:p>
        </w:tc>
        <w:tc>
          <w:tcPr>
            <w:tcW w:w="2443" w:type="dxa"/>
            <w:tcBorders>
              <w:top w:val="single" w:color="auto" w:sz="2" w:space="0"/>
              <w:left w:val="single" w:color="auto" w:sz="2" w:space="0"/>
              <w:bottom w:val="single" w:color="auto" w:sz="2" w:space="0"/>
              <w:right w:val="single" w:color="auto" w:sz="2" w:space="0"/>
            </w:tcBorders>
            <w:vAlign w:val="center"/>
          </w:tcPr>
          <w:p w14:paraId="0EAD18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214,544,630.45</w:t>
            </w:r>
          </w:p>
        </w:tc>
      </w:tr>
    </w:tbl>
    <w:p w14:paraId="3285A075">
      <w:pPr>
        <w:keepNext/>
        <w:keepLines/>
        <w:spacing w:before="300" w:after="300" w:line="280" w:lineRule="exact"/>
        <w:outlineLvl w:val="3"/>
        <w:rPr>
          <w:rFonts w:ascii="Times New Roman" w:hAnsi="Times New Roman" w:cs="Times New Roman" w:eastAsiaTheme="majorEastAsia"/>
          <w:b/>
          <w:bCs/>
          <w:szCs w:val="21"/>
        </w:rPr>
      </w:pPr>
      <w:bookmarkStart w:id="379" w:name="_Toc989268"/>
      <w:r>
        <w:rPr>
          <w:rFonts w:ascii="Times New Roman" w:hAnsi="Times New Roman" w:cs="Times New Roman" w:eastAsiaTheme="majorEastAsia"/>
          <w:b/>
          <w:bCs/>
          <w:szCs w:val="21"/>
        </w:rPr>
        <w:t>（5） 使用范围受限但仍属于现金及现金等价物列示的情况</w:t>
      </w:r>
      <w:bookmarkEnd w:id="379"/>
    </w:p>
    <w:p w14:paraId="6031397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3B433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4CBAE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AA52B9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7FE3C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上期金额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66ED6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仍属于现金及现金等价物的理由</w:t>
            </w:r>
          </w:p>
        </w:tc>
      </w:tr>
      <w:tr w14:paraId="5E4ECD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84B13C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2410" w:type="dxa"/>
            <w:tcBorders>
              <w:top w:val="single" w:color="auto" w:sz="2" w:space="0"/>
              <w:left w:val="single" w:color="auto" w:sz="2" w:space="0"/>
              <w:bottom w:val="single" w:color="auto" w:sz="2" w:space="0"/>
              <w:right w:val="single" w:color="auto" w:sz="2" w:space="0"/>
            </w:tcBorders>
            <w:vAlign w:val="center"/>
          </w:tcPr>
          <w:p w14:paraId="735C13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2410" w:type="dxa"/>
            <w:tcBorders>
              <w:top w:val="single" w:color="auto" w:sz="2" w:space="0"/>
              <w:left w:val="single" w:color="auto" w:sz="2" w:space="0"/>
              <w:bottom w:val="single" w:color="auto" w:sz="2" w:space="0"/>
              <w:right w:val="single" w:color="auto" w:sz="2" w:space="0"/>
            </w:tcBorders>
            <w:vAlign w:val="center"/>
          </w:tcPr>
          <w:p w14:paraId="0C3CBE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2410" w:type="dxa"/>
            <w:tcBorders>
              <w:top w:val="single" w:color="auto" w:sz="2" w:space="0"/>
              <w:left w:val="single" w:color="auto" w:sz="2" w:space="0"/>
              <w:bottom w:val="single" w:color="auto" w:sz="2" w:space="0"/>
              <w:right w:val="single" w:color="auto" w:sz="2" w:space="0"/>
            </w:tcBorders>
            <w:vAlign w:val="center"/>
          </w:tcPr>
          <w:p w14:paraId="410FB9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承兑保证金、保函保证金、质押存款、大额定期存单</w:t>
            </w:r>
          </w:p>
        </w:tc>
      </w:tr>
      <w:tr w14:paraId="13F004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557C87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4C4598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62,901,653.46</w:t>
            </w:r>
          </w:p>
        </w:tc>
        <w:tc>
          <w:tcPr>
            <w:tcW w:w="2410" w:type="dxa"/>
            <w:tcBorders>
              <w:top w:val="single" w:color="auto" w:sz="2" w:space="0"/>
              <w:left w:val="single" w:color="auto" w:sz="2" w:space="0"/>
              <w:bottom w:val="single" w:color="auto" w:sz="2" w:space="0"/>
              <w:right w:val="single" w:color="auto" w:sz="2" w:space="0"/>
            </w:tcBorders>
            <w:vAlign w:val="center"/>
          </w:tcPr>
          <w:p w14:paraId="452C44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292,172,477.31</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715F90">
            <w:pPr>
              <w:rPr>
                <w:rFonts w:ascii="Times New Roman" w:hAnsi="Times New Roman" w:cs="Times New Roman" w:eastAsiaTheme="majorEastAsia"/>
              </w:rPr>
            </w:pPr>
          </w:p>
        </w:tc>
      </w:tr>
    </w:tbl>
    <w:p w14:paraId="1D49949C">
      <w:pPr>
        <w:keepNext/>
        <w:keepLines/>
        <w:spacing w:before="300" w:after="300" w:line="280" w:lineRule="exact"/>
        <w:outlineLvl w:val="3"/>
        <w:rPr>
          <w:rFonts w:ascii="Times New Roman" w:hAnsi="Times New Roman" w:cs="Times New Roman" w:eastAsiaTheme="majorEastAsia"/>
          <w:b/>
          <w:bCs/>
          <w:szCs w:val="21"/>
        </w:rPr>
      </w:pPr>
      <w:bookmarkStart w:id="380" w:name="_Toc989269"/>
      <w:r>
        <w:rPr>
          <w:rFonts w:ascii="Times New Roman" w:hAnsi="Times New Roman" w:cs="Times New Roman" w:eastAsiaTheme="majorEastAsia"/>
          <w:b/>
          <w:bCs/>
          <w:szCs w:val="21"/>
        </w:rPr>
        <w:t>（6） 不属于现金及现金等价物的货币资金</w:t>
      </w:r>
      <w:bookmarkEnd w:id="380"/>
    </w:p>
    <w:p w14:paraId="0FD8724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036BD9C4">
      <w:pPr>
        <w:keepNext/>
        <w:keepLines/>
        <w:spacing w:before="300" w:after="300" w:line="280" w:lineRule="exact"/>
        <w:outlineLvl w:val="3"/>
        <w:rPr>
          <w:rFonts w:ascii="Times New Roman" w:hAnsi="Times New Roman" w:cs="Times New Roman" w:eastAsiaTheme="majorEastAsia"/>
          <w:b/>
          <w:bCs/>
          <w:szCs w:val="21"/>
        </w:rPr>
      </w:pPr>
      <w:bookmarkStart w:id="381" w:name="_Toc989270"/>
      <w:r>
        <w:rPr>
          <w:rFonts w:ascii="Times New Roman" w:hAnsi="Times New Roman" w:cs="Times New Roman" w:eastAsiaTheme="majorEastAsia"/>
          <w:b/>
          <w:bCs/>
          <w:szCs w:val="21"/>
        </w:rPr>
        <w:t>（7） 其他重大活动说明</w:t>
      </w:r>
      <w:bookmarkEnd w:id="381"/>
    </w:p>
    <w:p w14:paraId="333BB16F">
      <w:pPr>
        <w:rPr>
          <w:rFonts w:ascii="Times New Roman" w:hAnsi="Times New Roman" w:cs="Times New Roman" w:eastAsiaTheme="majorEastAsia"/>
          <w:sz w:val="18"/>
          <w:szCs w:val="18"/>
        </w:rPr>
      </w:pPr>
    </w:p>
    <w:p w14:paraId="4DA60DEE">
      <w:pPr>
        <w:pStyle w:val="3"/>
        <w:spacing w:line="280" w:lineRule="exact"/>
        <w:jc w:val="left"/>
        <w:rPr>
          <w:rFonts w:ascii="Times New Roman" w:hAnsi="Times New Roman" w:cs="Times New Roman" w:eastAsiaTheme="majorEastAsia"/>
          <w:b/>
          <w:bCs/>
        </w:rPr>
      </w:pPr>
      <w:bookmarkStart w:id="382" w:name="_Toc989271"/>
      <w:r>
        <w:rPr>
          <w:rFonts w:ascii="Times New Roman" w:hAnsi="Times New Roman" w:cs="Times New Roman" w:eastAsiaTheme="majorEastAsia"/>
          <w:b/>
          <w:bCs/>
        </w:rPr>
        <w:t>64、所有者权益变动表项目注释</w:t>
      </w:r>
      <w:bookmarkEnd w:id="382"/>
    </w:p>
    <w:p w14:paraId="5807CB2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说明对上年年末余额进</w:t>
      </w:r>
      <w:r>
        <w:rPr>
          <w:rFonts w:cs="Times New Roman" w:asciiTheme="minorEastAsia" w:hAnsiTheme="minorEastAsia"/>
          <w:sz w:val="18"/>
          <w:szCs w:val="18"/>
        </w:rPr>
        <w:t>行调整的“其他”项目名称及</w:t>
      </w:r>
      <w:r>
        <w:rPr>
          <w:rFonts w:ascii="Times New Roman" w:hAnsi="Times New Roman" w:cs="Times New Roman" w:eastAsiaTheme="majorEastAsia"/>
          <w:sz w:val="18"/>
          <w:szCs w:val="18"/>
        </w:rPr>
        <w:t>调整金额等事项：不适用。</w:t>
      </w:r>
    </w:p>
    <w:p w14:paraId="6DA1088C">
      <w:pPr>
        <w:pStyle w:val="3"/>
        <w:spacing w:line="280" w:lineRule="exact"/>
        <w:jc w:val="left"/>
        <w:rPr>
          <w:rFonts w:ascii="Times New Roman" w:hAnsi="Times New Roman" w:cs="Times New Roman" w:eastAsiaTheme="majorEastAsia"/>
          <w:b/>
          <w:bCs/>
        </w:rPr>
      </w:pPr>
      <w:bookmarkStart w:id="383" w:name="_Toc989272"/>
      <w:r>
        <w:rPr>
          <w:rFonts w:ascii="Times New Roman" w:hAnsi="Times New Roman" w:cs="Times New Roman" w:eastAsiaTheme="majorEastAsia"/>
          <w:b/>
          <w:bCs/>
        </w:rPr>
        <w:t>65、外币货币性项目</w:t>
      </w:r>
      <w:bookmarkEnd w:id="383"/>
    </w:p>
    <w:p w14:paraId="53A9BBC8">
      <w:pPr>
        <w:keepNext/>
        <w:keepLines/>
        <w:spacing w:before="300" w:after="300" w:line="280" w:lineRule="exact"/>
        <w:outlineLvl w:val="3"/>
        <w:rPr>
          <w:rFonts w:ascii="Times New Roman" w:hAnsi="Times New Roman" w:cs="Times New Roman" w:eastAsiaTheme="majorEastAsia"/>
          <w:b/>
          <w:bCs/>
          <w:szCs w:val="21"/>
        </w:rPr>
      </w:pPr>
      <w:bookmarkStart w:id="384" w:name="_Toc989273"/>
      <w:r>
        <w:rPr>
          <w:rFonts w:ascii="Times New Roman" w:hAnsi="Times New Roman" w:cs="Times New Roman" w:eastAsiaTheme="majorEastAsia"/>
          <w:b/>
          <w:bCs/>
          <w:szCs w:val="21"/>
        </w:rPr>
        <w:t>（1） 外币货币性项目</w:t>
      </w:r>
      <w:bookmarkEnd w:id="384"/>
    </w:p>
    <w:p w14:paraId="19BDFCB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17B4B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6D816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CB2DA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期末外币余额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8E8C11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折算汇率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19047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期末折算人民币余额</w:t>
            </w:r>
          </w:p>
        </w:tc>
      </w:tr>
      <w:tr w14:paraId="468CDD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5716E8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C8B3BFC">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8EB7693">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vAlign w:val="center"/>
          </w:tcPr>
          <w:p w14:paraId="2CC06B3E">
            <w:pPr>
              <w:spacing w:line="240" w:lineRule="exact"/>
              <w:jc w:val="right"/>
              <w:rPr>
                <w:rFonts w:ascii="Times New Roman" w:hAnsi="Times New Roman" w:cs="Times New Roman" w:eastAsiaTheme="majorEastAsia"/>
                <w:sz w:val="18"/>
                <w:szCs w:val="18"/>
              </w:rPr>
            </w:pPr>
          </w:p>
        </w:tc>
      </w:tr>
      <w:tr w14:paraId="701FC2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B1ED9C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2E90B143">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7E4DB4C">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FA013AE">
            <w:pPr>
              <w:spacing w:line="240" w:lineRule="exact"/>
              <w:jc w:val="right"/>
              <w:rPr>
                <w:rFonts w:ascii="Times New Roman" w:hAnsi="Times New Roman" w:cs="Times New Roman" w:eastAsiaTheme="majorEastAsia"/>
                <w:sz w:val="18"/>
                <w:szCs w:val="18"/>
              </w:rPr>
            </w:pPr>
          </w:p>
        </w:tc>
      </w:tr>
      <w:tr w14:paraId="352938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617E4861">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7474ED10">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DEB4E21">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06AB693">
            <w:pPr>
              <w:spacing w:line="240" w:lineRule="exact"/>
              <w:jc w:val="right"/>
              <w:rPr>
                <w:rFonts w:ascii="Times New Roman" w:hAnsi="Times New Roman" w:cs="Times New Roman" w:eastAsiaTheme="majorEastAsia"/>
                <w:sz w:val="18"/>
                <w:szCs w:val="18"/>
              </w:rPr>
            </w:pPr>
          </w:p>
        </w:tc>
      </w:tr>
      <w:tr w14:paraId="169650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4026E050">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2A8BE4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3,593,662.27</w:t>
            </w:r>
          </w:p>
        </w:tc>
        <w:tc>
          <w:tcPr>
            <w:tcW w:w="2410" w:type="dxa"/>
            <w:tcBorders>
              <w:top w:val="single" w:color="auto" w:sz="2" w:space="0"/>
              <w:left w:val="single" w:color="auto" w:sz="2" w:space="0"/>
              <w:bottom w:val="single" w:color="auto" w:sz="2" w:space="0"/>
              <w:right w:val="single" w:color="auto" w:sz="2" w:space="0"/>
            </w:tcBorders>
            <w:vAlign w:val="center"/>
          </w:tcPr>
          <w:p w14:paraId="7A49F0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0.92604</w:t>
            </w:r>
          </w:p>
        </w:tc>
        <w:tc>
          <w:tcPr>
            <w:tcW w:w="2410" w:type="dxa"/>
            <w:tcBorders>
              <w:top w:val="single" w:color="auto" w:sz="2" w:space="0"/>
              <w:left w:val="single" w:color="auto" w:sz="2" w:space="0"/>
              <w:bottom w:val="single" w:color="auto" w:sz="2" w:space="0"/>
              <w:right w:val="single" w:color="auto" w:sz="2" w:space="0"/>
            </w:tcBorders>
            <w:vAlign w:val="center"/>
          </w:tcPr>
          <w:p w14:paraId="336CB7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3,327,875.01</w:t>
            </w:r>
          </w:p>
        </w:tc>
      </w:tr>
      <w:tr w14:paraId="4612430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5F2F52C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81AB912">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01FC2DE">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vAlign w:val="center"/>
          </w:tcPr>
          <w:p w14:paraId="70EE4D1D">
            <w:pPr>
              <w:spacing w:line="240" w:lineRule="exact"/>
              <w:jc w:val="right"/>
              <w:rPr>
                <w:rFonts w:ascii="Times New Roman" w:hAnsi="Times New Roman" w:cs="Times New Roman" w:eastAsiaTheme="majorEastAsia"/>
                <w:sz w:val="18"/>
                <w:szCs w:val="18"/>
              </w:rPr>
            </w:pPr>
          </w:p>
        </w:tc>
      </w:tr>
      <w:tr w14:paraId="63C9FD1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2FAAE0E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5AAB8CFC">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ADFFF72">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D856941">
            <w:pPr>
              <w:spacing w:line="240" w:lineRule="exact"/>
              <w:jc w:val="right"/>
              <w:rPr>
                <w:rFonts w:ascii="Times New Roman" w:hAnsi="Times New Roman" w:cs="Times New Roman" w:eastAsiaTheme="majorEastAsia"/>
                <w:sz w:val="18"/>
                <w:szCs w:val="18"/>
              </w:rPr>
            </w:pPr>
          </w:p>
        </w:tc>
      </w:tr>
      <w:tr w14:paraId="30F765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4BAA5A91">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66B76CC4">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4D7FFA37">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A513A24">
            <w:pPr>
              <w:spacing w:line="240" w:lineRule="exact"/>
              <w:jc w:val="right"/>
              <w:rPr>
                <w:rFonts w:ascii="Times New Roman" w:hAnsi="Times New Roman" w:cs="Times New Roman" w:eastAsiaTheme="majorEastAsia"/>
                <w:sz w:val="18"/>
                <w:szCs w:val="18"/>
              </w:rPr>
            </w:pPr>
          </w:p>
        </w:tc>
      </w:tr>
      <w:tr w14:paraId="7EF6CF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379E7F5E">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68829BAF">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1E726AB0">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845915A">
            <w:pPr>
              <w:spacing w:line="240" w:lineRule="exact"/>
              <w:jc w:val="right"/>
              <w:rPr>
                <w:rFonts w:ascii="Times New Roman" w:hAnsi="Times New Roman" w:cs="Times New Roman" w:eastAsiaTheme="majorEastAsia"/>
                <w:sz w:val="18"/>
                <w:szCs w:val="18"/>
              </w:rPr>
            </w:pPr>
          </w:p>
        </w:tc>
      </w:tr>
      <w:tr w14:paraId="6DFBD0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0286021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长期借款</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D6CA678">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F0BC42">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vAlign w:val="center"/>
          </w:tcPr>
          <w:p w14:paraId="4E6C2DFE">
            <w:pPr>
              <w:spacing w:line="240" w:lineRule="exact"/>
              <w:jc w:val="right"/>
              <w:rPr>
                <w:rFonts w:ascii="Times New Roman" w:hAnsi="Times New Roman" w:cs="Times New Roman" w:eastAsiaTheme="majorEastAsia"/>
                <w:sz w:val="18"/>
                <w:szCs w:val="18"/>
              </w:rPr>
            </w:pPr>
          </w:p>
        </w:tc>
      </w:tr>
      <w:tr w14:paraId="57222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1A93EAD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其中：美元</w:t>
            </w:r>
          </w:p>
        </w:tc>
        <w:tc>
          <w:tcPr>
            <w:tcW w:w="2410" w:type="dxa"/>
            <w:tcBorders>
              <w:top w:val="single" w:color="auto" w:sz="2" w:space="0"/>
              <w:left w:val="single" w:color="auto" w:sz="2" w:space="0"/>
              <w:bottom w:val="single" w:color="auto" w:sz="2" w:space="0"/>
              <w:right w:val="single" w:color="auto" w:sz="2" w:space="0"/>
            </w:tcBorders>
            <w:vAlign w:val="center"/>
          </w:tcPr>
          <w:p w14:paraId="764E47A8">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4EE3682">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261F0488">
            <w:pPr>
              <w:spacing w:line="240" w:lineRule="exact"/>
              <w:jc w:val="right"/>
              <w:rPr>
                <w:rFonts w:ascii="Times New Roman" w:hAnsi="Times New Roman" w:cs="Times New Roman" w:eastAsiaTheme="majorEastAsia"/>
                <w:sz w:val="18"/>
                <w:szCs w:val="18"/>
              </w:rPr>
            </w:pPr>
          </w:p>
        </w:tc>
      </w:tr>
      <w:tr w14:paraId="42ACBF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475D7AE0">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欧元</w:t>
            </w:r>
          </w:p>
        </w:tc>
        <w:tc>
          <w:tcPr>
            <w:tcW w:w="2410" w:type="dxa"/>
            <w:tcBorders>
              <w:top w:val="single" w:color="auto" w:sz="2" w:space="0"/>
              <w:left w:val="single" w:color="auto" w:sz="2" w:space="0"/>
              <w:bottom w:val="single" w:color="auto" w:sz="2" w:space="0"/>
              <w:right w:val="single" w:color="auto" w:sz="2" w:space="0"/>
            </w:tcBorders>
            <w:vAlign w:val="center"/>
          </w:tcPr>
          <w:p w14:paraId="0DD86C46">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BA69610">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F39C17E">
            <w:pPr>
              <w:spacing w:line="240" w:lineRule="exact"/>
              <w:jc w:val="right"/>
              <w:rPr>
                <w:rFonts w:ascii="Times New Roman" w:hAnsi="Times New Roman" w:cs="Times New Roman" w:eastAsiaTheme="majorEastAsia"/>
                <w:sz w:val="18"/>
                <w:szCs w:val="18"/>
              </w:rPr>
            </w:pPr>
          </w:p>
        </w:tc>
      </w:tr>
      <w:tr w14:paraId="2D62A5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BC642F6">
            <w:pPr>
              <w:spacing w:before="40" w:after="40" w:line="240" w:lineRule="exact"/>
              <w:ind w:firstLine="540" w:firstLineChars="3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港币</w:t>
            </w:r>
          </w:p>
        </w:tc>
        <w:tc>
          <w:tcPr>
            <w:tcW w:w="2410" w:type="dxa"/>
            <w:tcBorders>
              <w:top w:val="single" w:color="auto" w:sz="2" w:space="0"/>
              <w:left w:val="single" w:color="auto" w:sz="2" w:space="0"/>
              <w:bottom w:val="single" w:color="auto" w:sz="2" w:space="0"/>
              <w:right w:val="single" w:color="auto" w:sz="2" w:space="0"/>
            </w:tcBorders>
            <w:vAlign w:val="center"/>
          </w:tcPr>
          <w:p w14:paraId="087AB662">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BFD97C2">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75DE86B6">
            <w:pPr>
              <w:spacing w:line="240" w:lineRule="exact"/>
              <w:jc w:val="right"/>
              <w:rPr>
                <w:rFonts w:ascii="Times New Roman" w:hAnsi="Times New Roman" w:cs="Times New Roman" w:eastAsiaTheme="majorEastAsia"/>
                <w:sz w:val="18"/>
                <w:szCs w:val="18"/>
              </w:rPr>
            </w:pPr>
          </w:p>
        </w:tc>
      </w:tr>
      <w:tr w14:paraId="63F66A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1262D5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其他流动资产</w:t>
            </w:r>
          </w:p>
        </w:tc>
        <w:tc>
          <w:tcPr>
            <w:tcW w:w="2410" w:type="dxa"/>
            <w:tcBorders>
              <w:top w:val="single" w:color="auto" w:sz="2" w:space="0"/>
              <w:left w:val="single" w:color="auto" w:sz="2" w:space="0"/>
              <w:bottom w:val="single" w:color="auto" w:sz="2" w:space="0"/>
              <w:right w:val="single" w:color="auto" w:sz="2" w:space="0"/>
            </w:tcBorders>
            <w:vAlign w:val="center"/>
          </w:tcPr>
          <w:p w14:paraId="33DA01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130,052.05</w:t>
            </w:r>
          </w:p>
        </w:tc>
        <w:tc>
          <w:tcPr>
            <w:tcW w:w="2410" w:type="dxa"/>
            <w:tcBorders>
              <w:top w:val="single" w:color="auto" w:sz="2" w:space="0"/>
              <w:left w:val="single" w:color="auto" w:sz="2" w:space="0"/>
              <w:bottom w:val="single" w:color="auto" w:sz="2" w:space="0"/>
              <w:right w:val="single" w:color="auto" w:sz="2" w:space="0"/>
            </w:tcBorders>
            <w:vAlign w:val="center"/>
          </w:tcPr>
          <w:p w14:paraId="2CBDFF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0.92604</w:t>
            </w:r>
          </w:p>
        </w:tc>
        <w:tc>
          <w:tcPr>
            <w:tcW w:w="2410" w:type="dxa"/>
            <w:tcBorders>
              <w:top w:val="single" w:color="auto" w:sz="2" w:space="0"/>
              <w:left w:val="single" w:color="auto" w:sz="2" w:space="0"/>
              <w:bottom w:val="single" w:color="auto" w:sz="2" w:space="0"/>
              <w:right w:val="single" w:color="auto" w:sz="2" w:space="0"/>
            </w:tcBorders>
            <w:vAlign w:val="center"/>
          </w:tcPr>
          <w:p w14:paraId="680CA0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120,433.40</w:t>
            </w:r>
          </w:p>
        </w:tc>
      </w:tr>
      <w:tr w14:paraId="0F39072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B1215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其中：港元</w:t>
            </w:r>
          </w:p>
        </w:tc>
        <w:tc>
          <w:tcPr>
            <w:tcW w:w="2410" w:type="dxa"/>
            <w:tcBorders>
              <w:top w:val="single" w:color="auto" w:sz="2" w:space="0"/>
              <w:left w:val="single" w:color="auto" w:sz="2" w:space="0"/>
              <w:bottom w:val="single" w:color="auto" w:sz="2" w:space="0"/>
              <w:right w:val="single" w:color="auto" w:sz="2" w:space="0"/>
            </w:tcBorders>
            <w:vAlign w:val="center"/>
          </w:tcPr>
          <w:p w14:paraId="36F695A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130,052.05</w:t>
            </w:r>
          </w:p>
        </w:tc>
        <w:tc>
          <w:tcPr>
            <w:tcW w:w="2410" w:type="dxa"/>
            <w:tcBorders>
              <w:top w:val="single" w:color="auto" w:sz="2" w:space="0"/>
              <w:left w:val="single" w:color="auto" w:sz="2" w:space="0"/>
              <w:bottom w:val="single" w:color="auto" w:sz="2" w:space="0"/>
              <w:right w:val="single" w:color="auto" w:sz="2" w:space="0"/>
            </w:tcBorders>
            <w:vAlign w:val="center"/>
          </w:tcPr>
          <w:p w14:paraId="29DAB7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0.92604</w:t>
            </w:r>
          </w:p>
        </w:tc>
        <w:tc>
          <w:tcPr>
            <w:tcW w:w="2410" w:type="dxa"/>
            <w:tcBorders>
              <w:top w:val="single" w:color="auto" w:sz="2" w:space="0"/>
              <w:left w:val="single" w:color="auto" w:sz="2" w:space="0"/>
              <w:bottom w:val="single" w:color="auto" w:sz="2" w:space="0"/>
              <w:right w:val="single" w:color="auto" w:sz="2" w:space="0"/>
            </w:tcBorders>
            <w:vAlign w:val="center"/>
          </w:tcPr>
          <w:p w14:paraId="46C3B9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120,433.40</w:t>
            </w:r>
          </w:p>
        </w:tc>
      </w:tr>
    </w:tbl>
    <w:p w14:paraId="1D17767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4BF87E0D">
      <w:pPr>
        <w:keepNext/>
        <w:keepLines/>
        <w:spacing w:before="300" w:after="300" w:line="280" w:lineRule="exact"/>
        <w:outlineLvl w:val="3"/>
        <w:rPr>
          <w:rFonts w:ascii="Times New Roman" w:hAnsi="Times New Roman" w:cs="Times New Roman" w:eastAsiaTheme="majorEastAsia"/>
          <w:b/>
          <w:bCs/>
          <w:szCs w:val="21"/>
        </w:rPr>
      </w:pPr>
      <w:bookmarkStart w:id="385" w:name="_Toc989274"/>
      <w:r>
        <w:rPr>
          <w:rFonts w:ascii="Times New Roman" w:hAnsi="Times New Roman" w:cs="Times New Roman" w:eastAsiaTheme="majorEastAsia"/>
          <w:b/>
          <w:bCs/>
          <w:szCs w:val="21"/>
        </w:rPr>
        <w:t>（2） 境外经营实体说明，包括对于重要的境外经营实体，应披露其境外主要经营地、记账本位币及选择依据，记账本位币发生变化的还应披露原因。</w:t>
      </w:r>
      <w:bookmarkEnd w:id="385"/>
    </w:p>
    <w:p w14:paraId="0F5C944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tbl>
      <w:tblPr>
        <w:tblStyle w:val="12"/>
        <w:tblW w:w="5000" w:type="pct"/>
        <w:tblInd w:w="0" w:type="dxa"/>
        <w:tblLayout w:type="autofit"/>
        <w:tblCellMar>
          <w:top w:w="15" w:type="dxa"/>
          <w:left w:w="15" w:type="dxa"/>
          <w:bottom w:w="15" w:type="dxa"/>
          <w:right w:w="15" w:type="dxa"/>
        </w:tblCellMar>
      </w:tblPr>
      <w:tblGrid>
        <w:gridCol w:w="3724"/>
        <w:gridCol w:w="1892"/>
        <w:gridCol w:w="1431"/>
        <w:gridCol w:w="2806"/>
      </w:tblGrid>
      <w:tr w14:paraId="153CD797">
        <w:tblPrEx>
          <w:tblCellMar>
            <w:top w:w="15" w:type="dxa"/>
            <w:left w:w="15" w:type="dxa"/>
            <w:bottom w:w="15" w:type="dxa"/>
            <w:right w:w="15" w:type="dxa"/>
          </w:tblCellMar>
        </w:tblPrEx>
        <w:trPr>
          <w:trHeight w:val="284" w:hRule="atLeast"/>
        </w:trPr>
        <w:tc>
          <w:tcPr>
            <w:tcW w:w="1890"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5B708FAC">
            <w:pPr>
              <w:pStyle w:val="10"/>
              <w:spacing w:before="0" w:beforeAutospacing="0" w:after="0" w:afterAutospacing="0"/>
              <w:jc w:val="center"/>
              <w:rPr>
                <w:rFonts w:ascii="Times New Roman" w:hAnsi="Times New Roman" w:cs="Times New Roman" w:eastAsiaTheme="majorEastAsia"/>
                <w:sz w:val="18"/>
              </w:rPr>
            </w:pPr>
            <w:r>
              <w:rPr>
                <w:rStyle w:val="23"/>
                <w:rFonts w:ascii="Times New Roman" w:hAnsi="Times New Roman" w:cs="Times New Roman" w:eastAsiaTheme="majorEastAsia"/>
                <w:bCs/>
                <w:sz w:val="18"/>
                <w:szCs w:val="21"/>
              </w:rPr>
              <w:t>项目</w:t>
            </w:r>
          </w:p>
        </w:tc>
        <w:tc>
          <w:tcPr>
            <w:tcW w:w="960"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42550C29">
            <w:pPr>
              <w:pStyle w:val="10"/>
              <w:spacing w:before="0" w:beforeAutospacing="0" w:after="0" w:afterAutospacing="0"/>
              <w:jc w:val="center"/>
              <w:rPr>
                <w:rFonts w:ascii="Times New Roman" w:hAnsi="Times New Roman" w:cs="Times New Roman" w:eastAsiaTheme="majorEastAsia"/>
                <w:sz w:val="18"/>
              </w:rPr>
            </w:pPr>
            <w:r>
              <w:rPr>
                <w:rStyle w:val="23"/>
                <w:rFonts w:ascii="Times New Roman" w:hAnsi="Times New Roman" w:cs="Times New Roman" w:eastAsiaTheme="majorEastAsia"/>
                <w:bCs/>
                <w:sz w:val="18"/>
                <w:szCs w:val="21"/>
              </w:rPr>
              <w:t>境外主要经营地</w:t>
            </w:r>
          </w:p>
        </w:tc>
        <w:tc>
          <w:tcPr>
            <w:tcW w:w="726"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38EE2852">
            <w:pPr>
              <w:pStyle w:val="10"/>
              <w:spacing w:before="0" w:beforeAutospacing="0" w:after="0" w:afterAutospacing="0"/>
              <w:jc w:val="center"/>
              <w:rPr>
                <w:rFonts w:ascii="Times New Roman" w:hAnsi="Times New Roman" w:cs="Times New Roman" w:eastAsiaTheme="majorEastAsia"/>
                <w:sz w:val="18"/>
              </w:rPr>
            </w:pPr>
            <w:r>
              <w:rPr>
                <w:rStyle w:val="23"/>
                <w:rFonts w:ascii="Times New Roman" w:hAnsi="Times New Roman" w:cs="Times New Roman" w:eastAsiaTheme="majorEastAsia"/>
                <w:bCs/>
                <w:sz w:val="18"/>
                <w:szCs w:val="21"/>
              </w:rPr>
              <w:t>记账本位币</w:t>
            </w:r>
          </w:p>
        </w:tc>
        <w:tc>
          <w:tcPr>
            <w:tcW w:w="1424"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08" w:type="dxa"/>
              <w:bottom w:w="0" w:type="dxa"/>
              <w:right w:w="108" w:type="dxa"/>
            </w:tcMar>
            <w:vAlign w:val="center"/>
          </w:tcPr>
          <w:p w14:paraId="7E7FE6C7">
            <w:pPr>
              <w:pStyle w:val="10"/>
              <w:spacing w:before="0" w:beforeAutospacing="0" w:after="0" w:afterAutospacing="0"/>
              <w:jc w:val="center"/>
              <w:rPr>
                <w:rFonts w:ascii="Times New Roman" w:hAnsi="Times New Roman" w:cs="Times New Roman" w:eastAsiaTheme="majorEastAsia"/>
                <w:sz w:val="18"/>
              </w:rPr>
            </w:pPr>
            <w:r>
              <w:rPr>
                <w:rStyle w:val="23"/>
                <w:rFonts w:ascii="Times New Roman" w:hAnsi="Times New Roman" w:cs="Times New Roman" w:eastAsiaTheme="majorEastAsia"/>
                <w:bCs/>
                <w:sz w:val="18"/>
                <w:szCs w:val="21"/>
              </w:rPr>
              <w:t>记账本位币的选择依据</w:t>
            </w:r>
          </w:p>
        </w:tc>
      </w:tr>
      <w:tr w14:paraId="72B54B41">
        <w:tblPrEx>
          <w:tblCellMar>
            <w:top w:w="15" w:type="dxa"/>
            <w:left w:w="15" w:type="dxa"/>
            <w:bottom w:w="15" w:type="dxa"/>
            <w:right w:w="15" w:type="dxa"/>
          </w:tblCellMar>
        </w:tblPrEx>
        <w:trPr>
          <w:trHeight w:val="284" w:hRule="atLeast"/>
        </w:trPr>
        <w:tc>
          <w:tcPr>
            <w:tcW w:w="1890" w:type="pc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CC2A0DD">
            <w:pPr>
              <w:pStyle w:val="10"/>
              <w:spacing w:before="0" w:beforeAutospacing="0" w:after="0" w:afterAutospacing="0"/>
              <w:jc w:val="both"/>
              <w:rPr>
                <w:rFonts w:ascii="Times New Roman" w:hAnsi="Times New Roman" w:cs="Times New Roman" w:eastAsiaTheme="majorEastAsia"/>
                <w:sz w:val="18"/>
              </w:rPr>
            </w:pPr>
            <w:r>
              <w:rPr>
                <w:rFonts w:ascii="Times New Roman" w:hAnsi="Times New Roman" w:cs="Times New Roman" w:eastAsiaTheme="majorEastAsia"/>
                <w:sz w:val="18"/>
                <w:szCs w:val="21"/>
              </w:rPr>
              <w:t>天亿马（香港）信息产业有限公司</w:t>
            </w:r>
          </w:p>
        </w:tc>
        <w:tc>
          <w:tcPr>
            <w:tcW w:w="960" w:type="pct"/>
            <w:tcBorders>
              <w:top w:val="nil"/>
              <w:left w:val="nil"/>
              <w:bottom w:val="single" w:color="auto" w:sz="8" w:space="0"/>
              <w:right w:val="single" w:color="auto" w:sz="8" w:space="0"/>
            </w:tcBorders>
            <w:tcMar>
              <w:top w:w="0" w:type="dxa"/>
              <w:left w:w="108" w:type="dxa"/>
              <w:bottom w:w="0" w:type="dxa"/>
              <w:right w:w="108" w:type="dxa"/>
            </w:tcMar>
            <w:vAlign w:val="center"/>
          </w:tcPr>
          <w:p w14:paraId="26D6FF8C">
            <w:pPr>
              <w:pStyle w:val="10"/>
              <w:spacing w:before="0" w:beforeAutospacing="0" w:after="0" w:afterAutospacing="0"/>
              <w:jc w:val="center"/>
              <w:rPr>
                <w:rFonts w:ascii="Times New Roman" w:hAnsi="Times New Roman" w:cs="Times New Roman" w:eastAsiaTheme="majorEastAsia"/>
                <w:sz w:val="18"/>
              </w:rPr>
            </w:pPr>
            <w:r>
              <w:rPr>
                <w:rFonts w:ascii="Times New Roman" w:hAnsi="Times New Roman" w:cs="Times New Roman" w:eastAsiaTheme="majorEastAsia"/>
                <w:sz w:val="18"/>
                <w:szCs w:val="21"/>
              </w:rPr>
              <w:t>香港</w:t>
            </w:r>
          </w:p>
        </w:tc>
        <w:tc>
          <w:tcPr>
            <w:tcW w:w="726" w:type="pct"/>
            <w:tcBorders>
              <w:top w:val="nil"/>
              <w:left w:val="nil"/>
              <w:bottom w:val="single" w:color="auto" w:sz="8" w:space="0"/>
              <w:right w:val="single" w:color="auto" w:sz="8" w:space="0"/>
            </w:tcBorders>
            <w:tcMar>
              <w:top w:w="0" w:type="dxa"/>
              <w:left w:w="108" w:type="dxa"/>
              <w:bottom w:w="0" w:type="dxa"/>
              <w:right w:w="108" w:type="dxa"/>
            </w:tcMar>
            <w:vAlign w:val="center"/>
          </w:tcPr>
          <w:p w14:paraId="1196AB06">
            <w:pPr>
              <w:pStyle w:val="10"/>
              <w:spacing w:before="0" w:beforeAutospacing="0" w:after="0" w:afterAutospacing="0"/>
              <w:jc w:val="center"/>
              <w:rPr>
                <w:rFonts w:ascii="Times New Roman" w:hAnsi="Times New Roman" w:cs="Times New Roman" w:eastAsiaTheme="majorEastAsia"/>
                <w:sz w:val="18"/>
              </w:rPr>
            </w:pPr>
            <w:r>
              <w:rPr>
                <w:rFonts w:ascii="Times New Roman" w:hAnsi="Times New Roman" w:cs="Times New Roman" w:eastAsiaTheme="majorEastAsia"/>
                <w:sz w:val="18"/>
                <w:szCs w:val="21"/>
              </w:rPr>
              <w:t>港币</w:t>
            </w:r>
          </w:p>
        </w:tc>
        <w:tc>
          <w:tcPr>
            <w:tcW w:w="1424" w:type="pct"/>
            <w:tcBorders>
              <w:top w:val="nil"/>
              <w:left w:val="nil"/>
              <w:bottom w:val="single" w:color="auto" w:sz="8" w:space="0"/>
              <w:right w:val="single" w:color="auto" w:sz="8" w:space="0"/>
            </w:tcBorders>
            <w:tcMar>
              <w:top w:w="0" w:type="dxa"/>
              <w:left w:w="108" w:type="dxa"/>
              <w:bottom w:w="0" w:type="dxa"/>
              <w:right w:w="108" w:type="dxa"/>
            </w:tcMar>
            <w:vAlign w:val="center"/>
          </w:tcPr>
          <w:p w14:paraId="160252A0">
            <w:pPr>
              <w:pStyle w:val="10"/>
              <w:spacing w:before="0" w:beforeAutospacing="0" w:after="0" w:afterAutospacing="0"/>
              <w:jc w:val="center"/>
              <w:rPr>
                <w:rFonts w:ascii="Times New Roman" w:hAnsi="Times New Roman" w:cs="Times New Roman" w:eastAsiaTheme="majorEastAsia"/>
                <w:sz w:val="18"/>
              </w:rPr>
            </w:pPr>
            <w:r>
              <w:rPr>
                <w:rFonts w:ascii="Times New Roman" w:hAnsi="Times New Roman" w:cs="Times New Roman" w:eastAsiaTheme="majorEastAsia"/>
                <w:sz w:val="18"/>
                <w:szCs w:val="21"/>
              </w:rPr>
              <w:t>公司交易主要以港币结算</w:t>
            </w:r>
          </w:p>
        </w:tc>
      </w:tr>
    </w:tbl>
    <w:p w14:paraId="04E2F4F0">
      <w:pPr>
        <w:pStyle w:val="3"/>
        <w:spacing w:line="280" w:lineRule="exact"/>
        <w:jc w:val="left"/>
        <w:rPr>
          <w:rFonts w:ascii="Times New Roman" w:hAnsi="Times New Roman" w:cs="Times New Roman" w:eastAsiaTheme="majorEastAsia"/>
          <w:b/>
          <w:bCs/>
        </w:rPr>
      </w:pPr>
      <w:bookmarkStart w:id="386" w:name="_Toc989275"/>
      <w:r>
        <w:rPr>
          <w:rFonts w:ascii="Times New Roman" w:hAnsi="Times New Roman" w:cs="Times New Roman" w:eastAsiaTheme="majorEastAsia"/>
          <w:b/>
          <w:bCs/>
        </w:rPr>
        <w:t>66、租赁</w:t>
      </w:r>
      <w:bookmarkEnd w:id="386"/>
    </w:p>
    <w:p w14:paraId="05BF5C05">
      <w:pPr>
        <w:keepNext/>
        <w:keepLines/>
        <w:spacing w:before="300" w:after="300" w:line="280" w:lineRule="exact"/>
        <w:outlineLvl w:val="3"/>
        <w:rPr>
          <w:rFonts w:ascii="Times New Roman" w:hAnsi="Times New Roman" w:cs="Times New Roman" w:eastAsiaTheme="majorEastAsia"/>
          <w:b/>
          <w:bCs/>
          <w:szCs w:val="21"/>
        </w:rPr>
      </w:pPr>
      <w:bookmarkStart w:id="387" w:name="_Toc989276"/>
      <w:r>
        <w:rPr>
          <w:rFonts w:ascii="Times New Roman" w:hAnsi="Times New Roman" w:cs="Times New Roman" w:eastAsiaTheme="majorEastAsia"/>
          <w:b/>
          <w:bCs/>
          <w:szCs w:val="21"/>
        </w:rPr>
        <w:t>（1） 本公司作为承租方</w:t>
      </w:r>
      <w:bookmarkEnd w:id="387"/>
    </w:p>
    <w:p w14:paraId="1A4D64E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02CA4AC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未纳入租赁负债计量的可变租赁付款额</w:t>
      </w:r>
    </w:p>
    <w:p w14:paraId="3AD6A22E">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A709F9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简化处理的短期租赁或低价值资产的租赁费用</w:t>
      </w:r>
    </w:p>
    <w:p w14:paraId="66B490C7">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4D127D7">
      <w:pPr>
        <w:spacing w:before="100" w:after="100" w:line="240" w:lineRule="exact"/>
        <w:rPr>
          <w:rFonts w:ascii="Times New Roman" w:hAnsi="Times New Roman" w:cs="Times New Roman" w:eastAsiaTheme="majorEastAsia"/>
        </w:rPr>
      </w:pPr>
      <w:r>
        <w:rPr>
          <w:rFonts w:ascii="Times New Roman" w:hAnsi="Times New Roman" w:cs="Times New Roman" w:eastAsiaTheme="majorEastAsia"/>
          <w:sz w:val="18"/>
          <w:szCs w:val="18"/>
        </w:rPr>
        <w:t>涉及售后租回交易的情况</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3D2CC3E5">
      <w:pPr>
        <w:keepNext/>
        <w:keepLines/>
        <w:spacing w:before="300" w:after="300" w:line="280" w:lineRule="exact"/>
        <w:outlineLvl w:val="3"/>
        <w:rPr>
          <w:rFonts w:ascii="Times New Roman" w:hAnsi="Times New Roman" w:cs="Times New Roman" w:eastAsiaTheme="majorEastAsia"/>
          <w:b/>
          <w:bCs/>
          <w:szCs w:val="21"/>
        </w:rPr>
      </w:pPr>
      <w:bookmarkStart w:id="388" w:name="_Toc989277"/>
      <w:r>
        <w:rPr>
          <w:rFonts w:ascii="Times New Roman" w:hAnsi="Times New Roman" w:cs="Times New Roman" w:eastAsiaTheme="majorEastAsia"/>
          <w:b/>
          <w:bCs/>
          <w:szCs w:val="21"/>
        </w:rPr>
        <w:t>（2） 本公司作为出租方</w:t>
      </w:r>
      <w:bookmarkEnd w:id="388"/>
    </w:p>
    <w:p w14:paraId="248D267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作为出租人的经营租赁</w:t>
      </w:r>
    </w:p>
    <w:p w14:paraId="0C745869">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428202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作为出租人的融资租赁</w:t>
      </w:r>
    </w:p>
    <w:p w14:paraId="32FF0E2B">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584EBF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未来五年每年未折现租赁收款额</w:t>
      </w:r>
    </w:p>
    <w:p w14:paraId="1417F3F0">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638B04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未折现租赁收款额与租赁投资净额的调节表</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3AEEAE9A">
      <w:pPr>
        <w:keepNext/>
        <w:keepLines/>
        <w:spacing w:before="300" w:after="300" w:line="280" w:lineRule="exact"/>
        <w:outlineLvl w:val="3"/>
        <w:rPr>
          <w:rFonts w:ascii="Times New Roman" w:hAnsi="Times New Roman" w:cs="Times New Roman" w:eastAsiaTheme="majorEastAsia"/>
          <w:b/>
          <w:bCs/>
          <w:szCs w:val="21"/>
        </w:rPr>
      </w:pPr>
      <w:bookmarkStart w:id="389" w:name="_Toc989278"/>
      <w:r>
        <w:rPr>
          <w:rFonts w:ascii="Times New Roman" w:hAnsi="Times New Roman" w:cs="Times New Roman" w:eastAsiaTheme="majorEastAsia"/>
          <w:b/>
          <w:bCs/>
          <w:szCs w:val="21"/>
        </w:rPr>
        <w:t>（3） 作为生产商或经销商确认融资租赁销售损益</w:t>
      </w:r>
      <w:bookmarkEnd w:id="389"/>
    </w:p>
    <w:p w14:paraId="7663853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621CC45">
      <w:pPr>
        <w:pStyle w:val="2"/>
        <w:spacing w:before="300" w:after="300" w:line="320" w:lineRule="exact"/>
        <w:rPr>
          <w:rFonts w:ascii="Times New Roman" w:hAnsi="Times New Roman" w:cs="Times New Roman" w:eastAsiaTheme="majorEastAsia"/>
          <w:b/>
          <w:bCs/>
          <w:sz w:val="24"/>
          <w:szCs w:val="24"/>
        </w:rPr>
      </w:pPr>
      <w:bookmarkStart w:id="390" w:name="_Toc989279"/>
      <w:r>
        <w:rPr>
          <w:rFonts w:ascii="Times New Roman" w:hAnsi="Times New Roman" w:cs="Times New Roman" w:eastAsiaTheme="majorEastAsia"/>
          <w:b/>
          <w:bCs/>
          <w:sz w:val="24"/>
          <w:szCs w:val="24"/>
        </w:rPr>
        <w:t>八、研发支出</w:t>
      </w:r>
      <w:bookmarkEnd w:id="390"/>
    </w:p>
    <w:p w14:paraId="7FB5E7E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6A58D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8810D3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C4075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2D65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63A70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4CD337D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人员人工费用</w:t>
            </w:r>
          </w:p>
        </w:tc>
        <w:tc>
          <w:tcPr>
            <w:tcW w:w="3213" w:type="dxa"/>
            <w:tcBorders>
              <w:top w:val="single" w:color="auto" w:sz="2" w:space="0"/>
              <w:left w:val="single" w:color="auto" w:sz="2" w:space="0"/>
              <w:bottom w:val="single" w:color="auto" w:sz="2" w:space="0"/>
              <w:right w:val="single" w:color="auto" w:sz="2" w:space="0"/>
            </w:tcBorders>
            <w:vAlign w:val="center"/>
          </w:tcPr>
          <w:p w14:paraId="043C48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11,403,418.76</w:t>
            </w:r>
          </w:p>
        </w:tc>
        <w:tc>
          <w:tcPr>
            <w:tcW w:w="3213" w:type="dxa"/>
            <w:tcBorders>
              <w:top w:val="single" w:color="auto" w:sz="2" w:space="0"/>
              <w:left w:val="single" w:color="auto" w:sz="2" w:space="0"/>
              <w:bottom w:val="single" w:color="auto" w:sz="2" w:space="0"/>
              <w:right w:val="single" w:color="auto" w:sz="2" w:space="0"/>
            </w:tcBorders>
            <w:vAlign w:val="center"/>
          </w:tcPr>
          <w:p w14:paraId="36395C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9,848,464.33</w:t>
            </w:r>
          </w:p>
        </w:tc>
      </w:tr>
      <w:tr w14:paraId="55D495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E1F286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直接投入费用</w:t>
            </w:r>
          </w:p>
        </w:tc>
        <w:tc>
          <w:tcPr>
            <w:tcW w:w="3213" w:type="dxa"/>
            <w:tcBorders>
              <w:top w:val="single" w:color="auto" w:sz="2" w:space="0"/>
              <w:left w:val="single" w:color="auto" w:sz="2" w:space="0"/>
              <w:bottom w:val="single" w:color="auto" w:sz="2" w:space="0"/>
              <w:right w:val="single" w:color="auto" w:sz="2" w:space="0"/>
            </w:tcBorders>
            <w:vAlign w:val="center"/>
          </w:tcPr>
          <w:p w14:paraId="4C9605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665,768.94</w:t>
            </w:r>
          </w:p>
        </w:tc>
        <w:tc>
          <w:tcPr>
            <w:tcW w:w="3213" w:type="dxa"/>
            <w:tcBorders>
              <w:top w:val="single" w:color="auto" w:sz="2" w:space="0"/>
              <w:left w:val="single" w:color="auto" w:sz="2" w:space="0"/>
              <w:bottom w:val="single" w:color="auto" w:sz="2" w:space="0"/>
              <w:right w:val="single" w:color="auto" w:sz="2" w:space="0"/>
            </w:tcBorders>
            <w:vAlign w:val="center"/>
          </w:tcPr>
          <w:p w14:paraId="267FDB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87,427.62</w:t>
            </w:r>
          </w:p>
        </w:tc>
      </w:tr>
      <w:tr w14:paraId="4C7EF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6F2CF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折旧摊销费用</w:t>
            </w:r>
          </w:p>
        </w:tc>
        <w:tc>
          <w:tcPr>
            <w:tcW w:w="3213" w:type="dxa"/>
            <w:tcBorders>
              <w:top w:val="single" w:color="auto" w:sz="2" w:space="0"/>
              <w:left w:val="single" w:color="auto" w:sz="2" w:space="0"/>
              <w:bottom w:val="single" w:color="auto" w:sz="2" w:space="0"/>
              <w:right w:val="single" w:color="auto" w:sz="2" w:space="0"/>
            </w:tcBorders>
            <w:vAlign w:val="center"/>
          </w:tcPr>
          <w:p w14:paraId="35C850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2,379,224.60</w:t>
            </w:r>
          </w:p>
        </w:tc>
        <w:tc>
          <w:tcPr>
            <w:tcW w:w="3213" w:type="dxa"/>
            <w:tcBorders>
              <w:top w:val="single" w:color="auto" w:sz="2" w:space="0"/>
              <w:left w:val="single" w:color="auto" w:sz="2" w:space="0"/>
              <w:bottom w:val="single" w:color="auto" w:sz="2" w:space="0"/>
              <w:right w:val="single" w:color="auto" w:sz="2" w:space="0"/>
            </w:tcBorders>
            <w:vAlign w:val="center"/>
          </w:tcPr>
          <w:p w14:paraId="6F5300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1,686,534.88</w:t>
            </w:r>
          </w:p>
        </w:tc>
      </w:tr>
      <w:tr w14:paraId="0E9D9D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0E39E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新产品设计费用</w:t>
            </w:r>
          </w:p>
        </w:tc>
        <w:tc>
          <w:tcPr>
            <w:tcW w:w="3213" w:type="dxa"/>
            <w:tcBorders>
              <w:top w:val="single" w:color="auto" w:sz="2" w:space="0"/>
              <w:left w:val="single" w:color="auto" w:sz="2" w:space="0"/>
              <w:bottom w:val="single" w:color="auto" w:sz="2" w:space="0"/>
              <w:right w:val="single" w:color="auto" w:sz="2" w:space="0"/>
            </w:tcBorders>
            <w:vAlign w:val="center"/>
          </w:tcPr>
          <w:p w14:paraId="60182E4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845,308.04</w:t>
            </w:r>
          </w:p>
        </w:tc>
        <w:tc>
          <w:tcPr>
            <w:tcW w:w="3213" w:type="dxa"/>
            <w:tcBorders>
              <w:top w:val="single" w:color="auto" w:sz="2" w:space="0"/>
              <w:left w:val="single" w:color="auto" w:sz="2" w:space="0"/>
              <w:bottom w:val="single" w:color="auto" w:sz="2" w:space="0"/>
              <w:right w:val="single" w:color="auto" w:sz="2" w:space="0"/>
            </w:tcBorders>
            <w:vAlign w:val="center"/>
          </w:tcPr>
          <w:p w14:paraId="09B1A017">
            <w:pPr>
              <w:spacing w:line="240" w:lineRule="exact"/>
              <w:jc w:val="right"/>
              <w:rPr>
                <w:rFonts w:ascii="Times New Roman" w:hAnsi="Times New Roman" w:cs="Times New Roman" w:eastAsiaTheme="majorEastAsia"/>
                <w:sz w:val="18"/>
                <w:szCs w:val="18"/>
              </w:rPr>
            </w:pPr>
          </w:p>
        </w:tc>
      </w:tr>
      <w:tr w14:paraId="0DAB4A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E86493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其他相关费用</w:t>
            </w:r>
          </w:p>
        </w:tc>
        <w:tc>
          <w:tcPr>
            <w:tcW w:w="3213" w:type="dxa"/>
            <w:tcBorders>
              <w:top w:val="single" w:color="auto" w:sz="2" w:space="0"/>
              <w:left w:val="single" w:color="auto" w:sz="2" w:space="0"/>
              <w:bottom w:val="single" w:color="auto" w:sz="2" w:space="0"/>
              <w:right w:val="single" w:color="auto" w:sz="2" w:space="0"/>
            </w:tcBorders>
            <w:vAlign w:val="center"/>
          </w:tcPr>
          <w:p w14:paraId="404A0B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998,827.43</w:t>
            </w:r>
          </w:p>
        </w:tc>
        <w:tc>
          <w:tcPr>
            <w:tcW w:w="3213" w:type="dxa"/>
            <w:tcBorders>
              <w:top w:val="single" w:color="auto" w:sz="2" w:space="0"/>
              <w:left w:val="single" w:color="auto" w:sz="2" w:space="0"/>
              <w:bottom w:val="single" w:color="auto" w:sz="2" w:space="0"/>
              <w:right w:val="single" w:color="auto" w:sz="2" w:space="0"/>
            </w:tcBorders>
            <w:vAlign w:val="center"/>
          </w:tcPr>
          <w:p w14:paraId="3751CB5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640,934.97</w:t>
            </w:r>
          </w:p>
        </w:tc>
      </w:tr>
      <w:tr w14:paraId="170BF6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FF77E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委托研发费用</w:t>
            </w:r>
          </w:p>
        </w:tc>
        <w:tc>
          <w:tcPr>
            <w:tcW w:w="3213" w:type="dxa"/>
            <w:tcBorders>
              <w:top w:val="single" w:color="auto" w:sz="2" w:space="0"/>
              <w:left w:val="single" w:color="auto" w:sz="2" w:space="0"/>
              <w:bottom w:val="single" w:color="auto" w:sz="2" w:space="0"/>
              <w:right w:val="single" w:color="auto" w:sz="2" w:space="0"/>
            </w:tcBorders>
            <w:vAlign w:val="center"/>
          </w:tcPr>
          <w:p w14:paraId="05F4079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610,377.36</w:t>
            </w:r>
          </w:p>
        </w:tc>
        <w:tc>
          <w:tcPr>
            <w:tcW w:w="3213" w:type="dxa"/>
            <w:tcBorders>
              <w:top w:val="single" w:color="auto" w:sz="2" w:space="0"/>
              <w:left w:val="single" w:color="auto" w:sz="2" w:space="0"/>
              <w:bottom w:val="single" w:color="auto" w:sz="2" w:space="0"/>
              <w:right w:val="single" w:color="auto" w:sz="2" w:space="0"/>
            </w:tcBorders>
            <w:vAlign w:val="center"/>
          </w:tcPr>
          <w:p w14:paraId="380E40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5,622,778.30</w:t>
            </w:r>
          </w:p>
        </w:tc>
      </w:tr>
      <w:tr w14:paraId="6BF587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3D1EF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股权激励</w:t>
            </w:r>
          </w:p>
        </w:tc>
        <w:tc>
          <w:tcPr>
            <w:tcW w:w="3213" w:type="dxa"/>
            <w:tcBorders>
              <w:top w:val="single" w:color="auto" w:sz="2" w:space="0"/>
              <w:left w:val="single" w:color="auto" w:sz="2" w:space="0"/>
              <w:bottom w:val="single" w:color="auto" w:sz="2" w:space="0"/>
              <w:right w:val="single" w:color="auto" w:sz="2" w:space="0"/>
            </w:tcBorders>
            <w:vAlign w:val="center"/>
          </w:tcPr>
          <w:p w14:paraId="65A7263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408,337.40</w:t>
            </w:r>
          </w:p>
        </w:tc>
        <w:tc>
          <w:tcPr>
            <w:tcW w:w="3213" w:type="dxa"/>
            <w:tcBorders>
              <w:top w:val="single" w:color="auto" w:sz="2" w:space="0"/>
              <w:left w:val="single" w:color="auto" w:sz="2" w:space="0"/>
              <w:bottom w:val="single" w:color="auto" w:sz="2" w:space="0"/>
              <w:right w:val="single" w:color="auto" w:sz="2" w:space="0"/>
            </w:tcBorders>
            <w:vAlign w:val="center"/>
          </w:tcPr>
          <w:p w14:paraId="4EFF0E1F">
            <w:pPr>
              <w:spacing w:line="240" w:lineRule="exact"/>
              <w:jc w:val="right"/>
              <w:rPr>
                <w:rFonts w:ascii="Times New Roman" w:hAnsi="Times New Roman" w:cs="Times New Roman" w:eastAsiaTheme="majorEastAsia"/>
                <w:sz w:val="18"/>
                <w:szCs w:val="18"/>
              </w:rPr>
            </w:pPr>
          </w:p>
        </w:tc>
      </w:tr>
      <w:tr w14:paraId="35480B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599029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601E79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3213" w:type="dxa"/>
            <w:tcBorders>
              <w:top w:val="single" w:color="auto" w:sz="2" w:space="0"/>
              <w:left w:val="single" w:color="auto" w:sz="2" w:space="0"/>
              <w:bottom w:val="single" w:color="auto" w:sz="2" w:space="0"/>
              <w:right w:val="single" w:color="auto" w:sz="2" w:space="0"/>
            </w:tcBorders>
            <w:vAlign w:val="center"/>
          </w:tcPr>
          <w:p w14:paraId="75E59EB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r>
      <w:tr w14:paraId="3585B8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2F642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其中：费用化研发支出</w:t>
            </w:r>
          </w:p>
        </w:tc>
        <w:tc>
          <w:tcPr>
            <w:tcW w:w="3213" w:type="dxa"/>
            <w:tcBorders>
              <w:top w:val="single" w:color="auto" w:sz="2" w:space="0"/>
              <w:left w:val="single" w:color="auto" w:sz="2" w:space="0"/>
              <w:bottom w:val="single" w:color="auto" w:sz="2" w:space="0"/>
              <w:right w:val="single" w:color="auto" w:sz="2" w:space="0"/>
            </w:tcBorders>
            <w:vAlign w:val="center"/>
          </w:tcPr>
          <w:p w14:paraId="105865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17,311,262.53</w:t>
            </w:r>
          </w:p>
        </w:tc>
        <w:tc>
          <w:tcPr>
            <w:tcW w:w="3213" w:type="dxa"/>
            <w:tcBorders>
              <w:top w:val="single" w:color="auto" w:sz="2" w:space="0"/>
              <w:left w:val="single" w:color="auto" w:sz="2" w:space="0"/>
              <w:bottom w:val="single" w:color="auto" w:sz="2" w:space="0"/>
              <w:right w:val="single" w:color="auto" w:sz="2" w:space="0"/>
            </w:tcBorders>
            <w:vAlign w:val="center"/>
          </w:tcPr>
          <w:p w14:paraId="3FB998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17,886,140.10</w:t>
            </w:r>
          </w:p>
        </w:tc>
      </w:tr>
    </w:tbl>
    <w:p w14:paraId="7EB1C043">
      <w:pPr>
        <w:pStyle w:val="3"/>
        <w:spacing w:line="280" w:lineRule="exact"/>
        <w:jc w:val="left"/>
        <w:rPr>
          <w:rFonts w:ascii="Times New Roman" w:hAnsi="Times New Roman" w:cs="Times New Roman" w:eastAsiaTheme="majorEastAsia"/>
          <w:b/>
          <w:bCs/>
        </w:rPr>
      </w:pPr>
      <w:bookmarkStart w:id="391" w:name="_Toc989280"/>
      <w:r>
        <w:rPr>
          <w:rFonts w:ascii="Times New Roman" w:hAnsi="Times New Roman" w:cs="Times New Roman" w:eastAsiaTheme="majorEastAsia"/>
          <w:b/>
          <w:bCs/>
        </w:rPr>
        <w:t>1、符合资本化条件的研发项目</w:t>
      </w:r>
      <w:bookmarkEnd w:id="391"/>
    </w:p>
    <w:p w14:paraId="6271844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0"/>
        <w:gridCol w:w="1301"/>
        <w:gridCol w:w="1801"/>
        <w:gridCol w:w="800"/>
        <w:gridCol w:w="2051"/>
        <w:gridCol w:w="1801"/>
        <w:gridCol w:w="1299"/>
      </w:tblGrid>
      <w:tr w14:paraId="446FF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6"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32A5B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60"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41CB4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320"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1E5B09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本期增加金额</w:t>
            </w:r>
          </w:p>
        </w:tc>
        <w:tc>
          <w:tcPr>
            <w:tcW w:w="1955"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59D1ED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本期减少金额</w:t>
            </w:r>
          </w:p>
        </w:tc>
        <w:tc>
          <w:tcPr>
            <w:tcW w:w="659"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995F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20867F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6"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3AB274">
            <w:pPr>
              <w:rPr>
                <w:rFonts w:ascii="Times New Roman" w:hAnsi="Times New Roman" w:cs="Times New Roman" w:eastAsiaTheme="majorEastAsia"/>
              </w:rPr>
            </w:pPr>
          </w:p>
        </w:tc>
        <w:tc>
          <w:tcPr>
            <w:tcW w:w="660"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37C89EF">
            <w:pPr>
              <w:rPr>
                <w:rFonts w:ascii="Times New Roman" w:hAnsi="Times New Roman" w:cs="Times New Roman" w:eastAsiaTheme="majorEastAsia"/>
              </w:rPr>
            </w:pPr>
          </w:p>
        </w:tc>
        <w:tc>
          <w:tcPr>
            <w:tcW w:w="914" w:type="pct"/>
            <w:tcBorders>
              <w:top w:val="single" w:color="auto" w:sz="2" w:space="0"/>
              <w:left w:val="single" w:color="auto" w:sz="2" w:space="0"/>
              <w:bottom w:val="single" w:color="auto" w:sz="2" w:space="0"/>
              <w:right w:val="single" w:color="auto" w:sz="2" w:space="0"/>
            </w:tcBorders>
            <w:shd w:val="clear" w:color="auto" w:fill="D3D3D3"/>
            <w:vAlign w:val="center"/>
          </w:tcPr>
          <w:p w14:paraId="48C980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内部开发支出</w:t>
            </w:r>
          </w:p>
        </w:tc>
        <w:tc>
          <w:tcPr>
            <w:tcW w:w="406" w:type="pct"/>
            <w:tcBorders>
              <w:top w:val="single" w:color="auto" w:sz="2" w:space="0"/>
              <w:left w:val="single" w:color="auto" w:sz="2" w:space="0"/>
              <w:bottom w:val="single" w:color="auto" w:sz="2" w:space="0"/>
              <w:right w:val="single" w:color="auto" w:sz="2" w:space="0"/>
            </w:tcBorders>
            <w:shd w:val="clear" w:color="auto" w:fill="D3D3D3"/>
            <w:vAlign w:val="center"/>
          </w:tcPr>
          <w:p w14:paraId="483030E8">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041" w:type="pct"/>
            <w:tcBorders>
              <w:top w:val="single" w:color="auto" w:sz="2" w:space="0"/>
              <w:left w:val="single" w:color="auto" w:sz="2" w:space="0"/>
              <w:bottom w:val="single" w:color="auto" w:sz="2" w:space="0"/>
              <w:right w:val="single" w:color="auto" w:sz="2" w:space="0"/>
            </w:tcBorders>
            <w:shd w:val="clear" w:color="auto" w:fill="D3D3D3"/>
            <w:vAlign w:val="center"/>
          </w:tcPr>
          <w:p w14:paraId="7152DD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确认为无形资产</w:t>
            </w:r>
          </w:p>
        </w:tc>
        <w:tc>
          <w:tcPr>
            <w:tcW w:w="914" w:type="pct"/>
            <w:tcBorders>
              <w:top w:val="single" w:color="auto" w:sz="2" w:space="0"/>
              <w:left w:val="single" w:color="auto" w:sz="2" w:space="0"/>
              <w:bottom w:val="single" w:color="auto" w:sz="2" w:space="0"/>
              <w:right w:val="single" w:color="auto" w:sz="2" w:space="0"/>
            </w:tcBorders>
            <w:shd w:val="clear" w:color="auto" w:fill="D3D3D3"/>
            <w:vAlign w:val="center"/>
          </w:tcPr>
          <w:p w14:paraId="0114F29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转入当期损益</w:t>
            </w:r>
          </w:p>
        </w:tc>
        <w:tc>
          <w:tcPr>
            <w:tcW w:w="659"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F0BB669">
            <w:pPr>
              <w:rPr>
                <w:rFonts w:ascii="Times New Roman" w:hAnsi="Times New Roman" w:cs="Times New Roman" w:eastAsiaTheme="majorEastAsia"/>
              </w:rPr>
            </w:pPr>
          </w:p>
        </w:tc>
      </w:tr>
      <w:tr w14:paraId="2AC636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06" w:type="pct"/>
            <w:tcBorders>
              <w:top w:val="single" w:color="auto" w:sz="2" w:space="0"/>
              <w:left w:val="single" w:color="auto" w:sz="2" w:space="0"/>
              <w:bottom w:val="single" w:color="auto" w:sz="2" w:space="0"/>
              <w:right w:val="single" w:color="auto" w:sz="2" w:space="0"/>
            </w:tcBorders>
            <w:vAlign w:val="center"/>
          </w:tcPr>
          <w:p w14:paraId="3A85756C">
            <w:pPr>
              <w:spacing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c>
          <w:tcPr>
            <w:tcW w:w="660" w:type="pct"/>
            <w:tcBorders>
              <w:top w:val="single" w:color="auto" w:sz="2" w:space="0"/>
              <w:left w:val="single" w:color="auto" w:sz="2" w:space="0"/>
              <w:bottom w:val="single" w:color="auto" w:sz="2" w:space="0"/>
              <w:right w:val="single" w:color="auto" w:sz="2" w:space="0"/>
            </w:tcBorders>
            <w:vAlign w:val="center"/>
          </w:tcPr>
          <w:p w14:paraId="03D62046">
            <w:pPr>
              <w:spacing w:line="240" w:lineRule="exact"/>
              <w:jc w:val="right"/>
              <w:rPr>
                <w:rFonts w:ascii="Times New Roman" w:hAnsi="Times New Roman" w:cs="Times New Roman" w:eastAsiaTheme="majorEastAsia"/>
                <w:sz w:val="18"/>
                <w:szCs w:val="18"/>
              </w:rPr>
            </w:pPr>
          </w:p>
        </w:tc>
        <w:tc>
          <w:tcPr>
            <w:tcW w:w="914" w:type="pct"/>
            <w:tcBorders>
              <w:top w:val="single" w:color="auto" w:sz="2" w:space="0"/>
              <w:left w:val="single" w:color="auto" w:sz="2" w:space="0"/>
              <w:bottom w:val="single" w:color="auto" w:sz="2" w:space="0"/>
              <w:right w:val="single" w:color="auto" w:sz="2" w:space="0"/>
            </w:tcBorders>
            <w:vAlign w:val="center"/>
          </w:tcPr>
          <w:p w14:paraId="631FBD4E">
            <w:pPr>
              <w:spacing w:line="240" w:lineRule="exact"/>
              <w:jc w:val="right"/>
              <w:rPr>
                <w:rFonts w:ascii="Times New Roman" w:hAnsi="Times New Roman" w:cs="Times New Roman" w:eastAsiaTheme="majorEastAsia"/>
                <w:sz w:val="18"/>
                <w:szCs w:val="18"/>
              </w:rPr>
            </w:pPr>
          </w:p>
        </w:tc>
        <w:tc>
          <w:tcPr>
            <w:tcW w:w="406" w:type="pct"/>
            <w:tcBorders>
              <w:top w:val="single" w:color="auto" w:sz="2" w:space="0"/>
              <w:left w:val="single" w:color="auto" w:sz="2" w:space="0"/>
              <w:bottom w:val="single" w:color="auto" w:sz="2" w:space="0"/>
              <w:right w:val="single" w:color="auto" w:sz="2" w:space="0"/>
            </w:tcBorders>
            <w:vAlign w:val="center"/>
          </w:tcPr>
          <w:p w14:paraId="620FB029">
            <w:pPr>
              <w:spacing w:line="240" w:lineRule="exact"/>
              <w:jc w:val="right"/>
              <w:rPr>
                <w:rFonts w:ascii="Times New Roman" w:hAnsi="Times New Roman" w:cs="Times New Roman" w:eastAsiaTheme="majorEastAsia"/>
                <w:sz w:val="18"/>
                <w:szCs w:val="18"/>
              </w:rPr>
            </w:pPr>
          </w:p>
        </w:tc>
        <w:tc>
          <w:tcPr>
            <w:tcW w:w="1041" w:type="pct"/>
            <w:tcBorders>
              <w:top w:val="single" w:color="auto" w:sz="2" w:space="0"/>
              <w:left w:val="single" w:color="auto" w:sz="2" w:space="0"/>
              <w:bottom w:val="single" w:color="auto" w:sz="2" w:space="0"/>
              <w:right w:val="single" w:color="auto" w:sz="2" w:space="0"/>
            </w:tcBorders>
            <w:vAlign w:val="center"/>
          </w:tcPr>
          <w:p w14:paraId="75C907BC">
            <w:pPr>
              <w:spacing w:line="240" w:lineRule="exact"/>
              <w:jc w:val="right"/>
              <w:rPr>
                <w:rFonts w:ascii="Times New Roman" w:hAnsi="Times New Roman" w:cs="Times New Roman" w:eastAsiaTheme="majorEastAsia"/>
                <w:sz w:val="18"/>
                <w:szCs w:val="18"/>
              </w:rPr>
            </w:pPr>
          </w:p>
        </w:tc>
        <w:tc>
          <w:tcPr>
            <w:tcW w:w="914" w:type="pct"/>
            <w:tcBorders>
              <w:top w:val="single" w:color="auto" w:sz="2" w:space="0"/>
              <w:left w:val="single" w:color="auto" w:sz="2" w:space="0"/>
              <w:bottom w:val="single" w:color="auto" w:sz="2" w:space="0"/>
              <w:right w:val="single" w:color="auto" w:sz="2" w:space="0"/>
            </w:tcBorders>
            <w:vAlign w:val="center"/>
          </w:tcPr>
          <w:p w14:paraId="7BDA07E4">
            <w:pPr>
              <w:spacing w:line="240" w:lineRule="exact"/>
              <w:jc w:val="right"/>
              <w:rPr>
                <w:rFonts w:ascii="Times New Roman" w:hAnsi="Times New Roman" w:cs="Times New Roman" w:eastAsiaTheme="majorEastAsia"/>
                <w:sz w:val="18"/>
                <w:szCs w:val="18"/>
              </w:rPr>
            </w:pPr>
          </w:p>
        </w:tc>
        <w:tc>
          <w:tcPr>
            <w:tcW w:w="659" w:type="pct"/>
            <w:tcBorders>
              <w:top w:val="single" w:color="auto" w:sz="2" w:space="0"/>
              <w:left w:val="single" w:color="auto" w:sz="2" w:space="0"/>
              <w:bottom w:val="single" w:color="auto" w:sz="2" w:space="0"/>
              <w:right w:val="single" w:color="auto" w:sz="2" w:space="0"/>
            </w:tcBorders>
            <w:vAlign w:val="center"/>
          </w:tcPr>
          <w:p w14:paraId="3FCEE44E">
            <w:pPr>
              <w:spacing w:line="240" w:lineRule="exact"/>
              <w:jc w:val="right"/>
              <w:rPr>
                <w:rFonts w:ascii="Times New Roman" w:hAnsi="Times New Roman" w:cs="Times New Roman" w:eastAsiaTheme="majorEastAsia"/>
                <w:sz w:val="18"/>
                <w:szCs w:val="18"/>
              </w:rPr>
            </w:pPr>
          </w:p>
        </w:tc>
      </w:tr>
    </w:tbl>
    <w:p w14:paraId="46B6C50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重要的资本化研发项目</w:t>
      </w:r>
    </w:p>
    <w:p w14:paraId="556CC63D">
      <w:pPr>
        <w:spacing w:line="0" w:lineRule="atLeast"/>
        <w:rPr>
          <w:rFonts w:ascii="Times New Roman" w:hAnsi="Times New Roman" w:cs="Times New Roman" w:eastAsiaTheme="majorEastAsia"/>
        </w:rPr>
      </w:pP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7"/>
        <w:gridCol w:w="1275"/>
        <w:gridCol w:w="2694"/>
        <w:gridCol w:w="1986"/>
        <w:gridCol w:w="1843"/>
        <w:gridCol w:w="1238"/>
      </w:tblGrid>
      <w:tr w14:paraId="64BEB7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15" w:type="pct"/>
            <w:tcBorders>
              <w:top w:val="single" w:color="auto" w:sz="2" w:space="0"/>
              <w:left w:val="single" w:color="auto" w:sz="2" w:space="0"/>
              <w:bottom w:val="single" w:color="auto" w:sz="2" w:space="0"/>
              <w:right w:val="single" w:color="auto" w:sz="2" w:space="0"/>
            </w:tcBorders>
            <w:shd w:val="clear" w:color="auto" w:fill="D3D3D3"/>
            <w:vAlign w:val="center"/>
          </w:tcPr>
          <w:p w14:paraId="320B5A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47" w:type="pct"/>
            <w:tcBorders>
              <w:top w:val="single" w:color="auto" w:sz="2" w:space="0"/>
              <w:left w:val="single" w:color="auto" w:sz="2" w:space="0"/>
              <w:bottom w:val="single" w:color="auto" w:sz="2" w:space="0"/>
              <w:right w:val="single" w:color="auto" w:sz="2" w:space="0"/>
            </w:tcBorders>
            <w:shd w:val="clear" w:color="auto" w:fill="D3D3D3"/>
            <w:vAlign w:val="center"/>
          </w:tcPr>
          <w:p w14:paraId="0CF8C3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研发进度</w:t>
            </w:r>
          </w:p>
        </w:tc>
        <w:tc>
          <w:tcPr>
            <w:tcW w:w="1367" w:type="pct"/>
            <w:tcBorders>
              <w:top w:val="single" w:color="auto" w:sz="2" w:space="0"/>
              <w:left w:val="single" w:color="auto" w:sz="2" w:space="0"/>
              <w:bottom w:val="single" w:color="auto" w:sz="2" w:space="0"/>
              <w:right w:val="single" w:color="auto" w:sz="2" w:space="0"/>
            </w:tcBorders>
            <w:shd w:val="clear" w:color="auto" w:fill="D3D3D3"/>
            <w:vAlign w:val="center"/>
          </w:tcPr>
          <w:p w14:paraId="7CF5C6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预计完成时间</w:t>
            </w:r>
          </w:p>
        </w:tc>
        <w:tc>
          <w:tcPr>
            <w:tcW w:w="1008" w:type="pct"/>
            <w:tcBorders>
              <w:top w:val="single" w:color="auto" w:sz="2" w:space="0"/>
              <w:left w:val="single" w:color="auto" w:sz="2" w:space="0"/>
              <w:bottom w:val="single" w:color="auto" w:sz="2" w:space="0"/>
              <w:right w:val="single" w:color="auto" w:sz="2" w:space="0"/>
            </w:tcBorders>
            <w:shd w:val="clear" w:color="auto" w:fill="D3D3D3"/>
            <w:vAlign w:val="center"/>
          </w:tcPr>
          <w:p w14:paraId="1EF64F1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预计经济利益产生方式</w:t>
            </w:r>
          </w:p>
        </w:tc>
        <w:tc>
          <w:tcPr>
            <w:tcW w:w="935" w:type="pct"/>
            <w:tcBorders>
              <w:top w:val="single" w:color="auto" w:sz="2" w:space="0"/>
              <w:left w:val="single" w:color="auto" w:sz="2" w:space="0"/>
              <w:bottom w:val="single" w:color="auto" w:sz="2" w:space="0"/>
              <w:right w:val="single" w:color="auto" w:sz="2" w:space="0"/>
            </w:tcBorders>
            <w:shd w:val="clear" w:color="auto" w:fill="D3D3D3"/>
            <w:vAlign w:val="center"/>
          </w:tcPr>
          <w:p w14:paraId="5C3C382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开始资本化的时点</w:t>
            </w:r>
          </w:p>
        </w:tc>
        <w:tc>
          <w:tcPr>
            <w:tcW w:w="628" w:type="pct"/>
            <w:tcBorders>
              <w:top w:val="single" w:color="auto" w:sz="2" w:space="0"/>
              <w:left w:val="single" w:color="auto" w:sz="2" w:space="0"/>
              <w:bottom w:val="single" w:color="auto" w:sz="2" w:space="0"/>
              <w:right w:val="single" w:color="auto" w:sz="2" w:space="0"/>
            </w:tcBorders>
            <w:shd w:val="clear" w:color="auto" w:fill="D3D3D3"/>
            <w:vAlign w:val="center"/>
          </w:tcPr>
          <w:p w14:paraId="72B228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开始资本化的具体依据</w:t>
            </w:r>
          </w:p>
        </w:tc>
      </w:tr>
      <w:tr w14:paraId="70595D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15"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9D467C0">
            <w:pPr>
              <w:spacing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c>
          <w:tcPr>
            <w:tcW w:w="647"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1C68D039">
            <w:pPr>
              <w:spacing w:line="240" w:lineRule="exact"/>
              <w:rPr>
                <w:rFonts w:ascii="Times New Roman" w:hAnsi="Times New Roman" w:cs="Times New Roman" w:eastAsiaTheme="majorEastAsia"/>
                <w:sz w:val="18"/>
                <w:szCs w:val="18"/>
              </w:rPr>
            </w:pPr>
          </w:p>
        </w:tc>
        <w:tc>
          <w:tcPr>
            <w:tcW w:w="1367"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02E9EBE">
            <w:pPr>
              <w:spacing w:line="240" w:lineRule="exact"/>
              <w:rPr>
                <w:rFonts w:ascii="Times New Roman" w:hAnsi="Times New Roman" w:cs="Times New Roman" w:eastAsiaTheme="majorEastAsia"/>
                <w:sz w:val="18"/>
                <w:szCs w:val="18"/>
              </w:rPr>
            </w:pPr>
          </w:p>
        </w:tc>
        <w:tc>
          <w:tcPr>
            <w:tcW w:w="1008"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3EF8DE7">
            <w:pPr>
              <w:spacing w:line="240" w:lineRule="exact"/>
              <w:rPr>
                <w:rFonts w:ascii="Times New Roman" w:hAnsi="Times New Roman" w:cs="Times New Roman" w:eastAsiaTheme="majorEastAsia"/>
                <w:sz w:val="18"/>
                <w:szCs w:val="18"/>
              </w:rPr>
            </w:pPr>
          </w:p>
        </w:tc>
        <w:tc>
          <w:tcPr>
            <w:tcW w:w="935"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366EA30F">
            <w:pPr>
              <w:spacing w:line="240" w:lineRule="exact"/>
              <w:rPr>
                <w:rFonts w:ascii="Times New Roman" w:hAnsi="Times New Roman" w:cs="Times New Roman" w:eastAsiaTheme="majorEastAsia"/>
                <w:sz w:val="18"/>
                <w:szCs w:val="18"/>
              </w:rPr>
            </w:pPr>
          </w:p>
        </w:tc>
        <w:tc>
          <w:tcPr>
            <w:tcW w:w="628"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6532CAA">
            <w:pPr>
              <w:spacing w:line="240" w:lineRule="exact"/>
              <w:rPr>
                <w:rFonts w:ascii="Times New Roman" w:hAnsi="Times New Roman" w:cs="Times New Roman" w:eastAsiaTheme="majorEastAsia"/>
                <w:sz w:val="18"/>
                <w:szCs w:val="18"/>
              </w:rPr>
            </w:pPr>
          </w:p>
        </w:tc>
      </w:tr>
    </w:tbl>
    <w:p w14:paraId="4D45E7C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开发支出减值准备</w:t>
      </w:r>
    </w:p>
    <w:p w14:paraId="292B7D1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17"/>
        <w:gridCol w:w="1277"/>
        <w:gridCol w:w="2692"/>
        <w:gridCol w:w="1984"/>
        <w:gridCol w:w="1843"/>
        <w:gridCol w:w="1240"/>
      </w:tblGrid>
      <w:tr w14:paraId="70FD3D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15" w:type="pct"/>
            <w:tcBorders>
              <w:top w:val="single" w:color="auto" w:sz="2" w:space="0"/>
              <w:left w:val="single" w:color="auto" w:sz="2" w:space="0"/>
              <w:bottom w:val="single" w:color="auto" w:sz="2" w:space="0"/>
              <w:right w:val="single" w:color="auto" w:sz="2" w:space="0"/>
            </w:tcBorders>
            <w:shd w:val="clear" w:color="auto" w:fill="D3D3D3"/>
            <w:vAlign w:val="center"/>
          </w:tcPr>
          <w:p w14:paraId="0BA776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648" w:type="pct"/>
            <w:tcBorders>
              <w:top w:val="single" w:color="auto" w:sz="2" w:space="0"/>
              <w:left w:val="single" w:color="auto" w:sz="2" w:space="0"/>
              <w:bottom w:val="single" w:color="auto" w:sz="2" w:space="0"/>
              <w:right w:val="single" w:color="auto" w:sz="2" w:space="0"/>
            </w:tcBorders>
            <w:shd w:val="clear" w:color="auto" w:fill="D3D3D3"/>
            <w:vAlign w:val="center"/>
          </w:tcPr>
          <w:p w14:paraId="3F0E60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1366" w:type="pct"/>
            <w:tcBorders>
              <w:top w:val="single" w:color="auto" w:sz="2" w:space="0"/>
              <w:left w:val="single" w:color="auto" w:sz="2" w:space="0"/>
              <w:bottom w:val="single" w:color="auto" w:sz="2" w:space="0"/>
              <w:right w:val="single" w:color="auto" w:sz="2" w:space="0"/>
            </w:tcBorders>
            <w:shd w:val="clear" w:color="auto" w:fill="D3D3D3"/>
            <w:vAlign w:val="center"/>
          </w:tcPr>
          <w:p w14:paraId="0988EDE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本期增加</w:t>
            </w:r>
          </w:p>
        </w:tc>
        <w:tc>
          <w:tcPr>
            <w:tcW w:w="1007" w:type="pct"/>
            <w:tcBorders>
              <w:top w:val="single" w:color="auto" w:sz="2" w:space="0"/>
              <w:left w:val="single" w:color="auto" w:sz="2" w:space="0"/>
              <w:bottom w:val="single" w:color="auto" w:sz="2" w:space="0"/>
              <w:right w:val="single" w:color="auto" w:sz="2" w:space="0"/>
            </w:tcBorders>
            <w:shd w:val="clear" w:color="auto" w:fill="D3D3D3"/>
            <w:vAlign w:val="center"/>
          </w:tcPr>
          <w:p w14:paraId="2373BC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本期减少</w:t>
            </w:r>
          </w:p>
        </w:tc>
        <w:tc>
          <w:tcPr>
            <w:tcW w:w="935" w:type="pct"/>
            <w:tcBorders>
              <w:top w:val="single" w:color="auto" w:sz="2" w:space="0"/>
              <w:left w:val="single" w:color="auto" w:sz="2" w:space="0"/>
              <w:bottom w:val="single" w:color="auto" w:sz="2" w:space="0"/>
              <w:right w:val="single" w:color="auto" w:sz="2" w:space="0"/>
            </w:tcBorders>
            <w:shd w:val="clear" w:color="auto" w:fill="D3D3D3"/>
            <w:vAlign w:val="center"/>
          </w:tcPr>
          <w:p w14:paraId="651C13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629" w:type="pct"/>
            <w:tcBorders>
              <w:top w:val="single" w:color="auto" w:sz="2" w:space="0"/>
              <w:left w:val="single" w:color="auto" w:sz="2" w:space="0"/>
              <w:bottom w:val="single" w:color="auto" w:sz="2" w:space="0"/>
              <w:right w:val="single" w:color="auto" w:sz="2" w:space="0"/>
            </w:tcBorders>
            <w:shd w:val="clear" w:color="auto" w:fill="D3D3D3"/>
            <w:vAlign w:val="center"/>
          </w:tcPr>
          <w:p w14:paraId="187079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减值测试情况</w:t>
            </w:r>
          </w:p>
        </w:tc>
      </w:tr>
      <w:tr w14:paraId="795261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15"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5AB2819">
            <w:pPr>
              <w:spacing w:before="40" w:after="40" w:line="240" w:lineRule="exact"/>
              <w:jc w:val="cente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tc>
        <w:tc>
          <w:tcPr>
            <w:tcW w:w="648"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0BD29F4D">
            <w:pPr>
              <w:spacing w:before="40" w:after="40" w:line="240" w:lineRule="exact"/>
              <w:jc w:val="center"/>
              <w:rPr>
                <w:rFonts w:ascii="Times New Roman" w:hAnsi="Times New Roman" w:cs="Times New Roman" w:eastAsiaTheme="majorEastAsia"/>
                <w:sz w:val="18"/>
                <w:szCs w:val="18"/>
              </w:rPr>
            </w:pPr>
          </w:p>
        </w:tc>
        <w:tc>
          <w:tcPr>
            <w:tcW w:w="1366"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5ED3261">
            <w:pPr>
              <w:spacing w:before="40" w:after="40" w:line="240" w:lineRule="exact"/>
              <w:jc w:val="center"/>
              <w:rPr>
                <w:rFonts w:ascii="Times New Roman" w:hAnsi="Times New Roman" w:cs="Times New Roman" w:eastAsiaTheme="majorEastAsia"/>
                <w:sz w:val="18"/>
                <w:szCs w:val="18"/>
              </w:rPr>
            </w:pPr>
          </w:p>
        </w:tc>
        <w:tc>
          <w:tcPr>
            <w:tcW w:w="1007"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61C1D7CA">
            <w:pPr>
              <w:spacing w:before="40" w:after="40" w:line="240" w:lineRule="exact"/>
              <w:jc w:val="center"/>
              <w:rPr>
                <w:rFonts w:ascii="Times New Roman" w:hAnsi="Times New Roman" w:cs="Times New Roman" w:eastAsiaTheme="majorEastAsia"/>
                <w:sz w:val="18"/>
                <w:szCs w:val="18"/>
              </w:rPr>
            </w:pPr>
          </w:p>
        </w:tc>
        <w:tc>
          <w:tcPr>
            <w:tcW w:w="935"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109D0F89">
            <w:pPr>
              <w:spacing w:before="40" w:after="40" w:line="240" w:lineRule="exact"/>
              <w:jc w:val="center"/>
              <w:rPr>
                <w:rFonts w:ascii="Times New Roman" w:hAnsi="Times New Roman" w:cs="Times New Roman" w:eastAsiaTheme="majorEastAsia"/>
                <w:sz w:val="18"/>
                <w:szCs w:val="18"/>
              </w:rPr>
            </w:pPr>
          </w:p>
        </w:tc>
        <w:tc>
          <w:tcPr>
            <w:tcW w:w="629" w:type="pct"/>
            <w:tcBorders>
              <w:top w:val="single" w:color="auto" w:sz="2" w:space="0"/>
              <w:left w:val="single" w:color="auto" w:sz="2" w:space="0"/>
              <w:bottom w:val="single" w:color="auto" w:sz="2" w:space="0"/>
              <w:right w:val="single" w:color="auto" w:sz="2" w:space="0"/>
            </w:tcBorders>
            <w:shd w:val="clear" w:color="auto" w:fill="FFFFFF" w:themeFill="background1"/>
            <w:vAlign w:val="center"/>
          </w:tcPr>
          <w:p w14:paraId="7DEB2543">
            <w:pPr>
              <w:spacing w:before="40" w:after="40" w:line="240" w:lineRule="exact"/>
              <w:jc w:val="center"/>
              <w:rPr>
                <w:rFonts w:ascii="Times New Roman" w:hAnsi="Times New Roman" w:cs="Times New Roman" w:eastAsiaTheme="majorEastAsia"/>
                <w:sz w:val="18"/>
                <w:szCs w:val="18"/>
              </w:rPr>
            </w:pPr>
          </w:p>
        </w:tc>
      </w:tr>
    </w:tbl>
    <w:p w14:paraId="4B1FABD2">
      <w:pPr>
        <w:pStyle w:val="3"/>
        <w:spacing w:line="280" w:lineRule="exact"/>
        <w:jc w:val="left"/>
        <w:rPr>
          <w:rFonts w:ascii="Times New Roman" w:hAnsi="Times New Roman" w:cs="Times New Roman" w:eastAsiaTheme="majorEastAsia"/>
          <w:b/>
          <w:bCs/>
        </w:rPr>
      </w:pPr>
      <w:bookmarkStart w:id="392" w:name="_Toc989281"/>
      <w:r>
        <w:rPr>
          <w:rFonts w:ascii="Times New Roman" w:hAnsi="Times New Roman" w:cs="Times New Roman" w:eastAsiaTheme="majorEastAsia"/>
          <w:b/>
          <w:bCs/>
        </w:rPr>
        <w:t>2、重要外购在研项目</w:t>
      </w:r>
      <w:bookmarkEnd w:id="392"/>
    </w:p>
    <w:p w14:paraId="71EE60B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6C44CA37">
      <w:pPr>
        <w:pStyle w:val="2"/>
        <w:spacing w:before="300" w:after="300" w:line="320" w:lineRule="exact"/>
        <w:rPr>
          <w:rFonts w:ascii="Times New Roman" w:hAnsi="Times New Roman" w:cs="Times New Roman" w:eastAsiaTheme="majorEastAsia"/>
          <w:b/>
          <w:bCs/>
          <w:sz w:val="24"/>
          <w:szCs w:val="24"/>
        </w:rPr>
      </w:pPr>
      <w:bookmarkStart w:id="393" w:name="_Toc989282"/>
      <w:r>
        <w:rPr>
          <w:rFonts w:ascii="Times New Roman" w:hAnsi="Times New Roman" w:cs="Times New Roman" w:eastAsiaTheme="majorEastAsia"/>
          <w:b/>
          <w:bCs/>
          <w:sz w:val="24"/>
          <w:szCs w:val="24"/>
        </w:rPr>
        <w:t>九、合并范围的变更</w:t>
      </w:r>
      <w:bookmarkEnd w:id="393"/>
    </w:p>
    <w:p w14:paraId="2F81D363">
      <w:pPr>
        <w:pStyle w:val="3"/>
        <w:spacing w:line="280" w:lineRule="exact"/>
        <w:jc w:val="left"/>
        <w:rPr>
          <w:rFonts w:ascii="Times New Roman" w:hAnsi="Times New Roman" w:cs="Times New Roman" w:eastAsiaTheme="majorEastAsia"/>
          <w:b/>
          <w:bCs/>
        </w:rPr>
      </w:pPr>
      <w:bookmarkStart w:id="394" w:name="_Toc989283"/>
      <w:r>
        <w:rPr>
          <w:rFonts w:ascii="Times New Roman" w:hAnsi="Times New Roman" w:cs="Times New Roman" w:eastAsiaTheme="majorEastAsia"/>
          <w:b/>
          <w:bCs/>
        </w:rPr>
        <w:t>1、非同一控制下企业合并</w:t>
      </w:r>
      <w:bookmarkEnd w:id="394"/>
    </w:p>
    <w:p w14:paraId="74E25424">
      <w:pPr>
        <w:keepNext/>
        <w:keepLines/>
        <w:spacing w:before="300" w:after="300" w:line="280" w:lineRule="exact"/>
        <w:outlineLvl w:val="3"/>
        <w:rPr>
          <w:rFonts w:ascii="Times New Roman" w:hAnsi="Times New Roman" w:cs="Times New Roman" w:eastAsiaTheme="majorEastAsia"/>
          <w:b/>
          <w:bCs/>
          <w:sz w:val="18"/>
          <w:szCs w:val="18"/>
        </w:rPr>
      </w:pPr>
      <w:bookmarkStart w:id="395" w:name="_Toc989284"/>
      <w:r>
        <w:rPr>
          <w:rFonts w:ascii="Times New Roman" w:hAnsi="Times New Roman" w:cs="Times New Roman" w:eastAsiaTheme="majorEastAsia"/>
          <w:b/>
          <w:bCs/>
          <w:sz w:val="18"/>
          <w:szCs w:val="18"/>
        </w:rPr>
        <w:t>（1） 本期发生的非同一控制下企业合并</w:t>
      </w:r>
      <w:bookmarkEnd w:id="395"/>
    </w:p>
    <w:p w14:paraId="25E606C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7"/>
        <w:gridCol w:w="806"/>
        <w:gridCol w:w="692"/>
        <w:gridCol w:w="952"/>
        <w:gridCol w:w="583"/>
        <w:gridCol w:w="806"/>
        <w:gridCol w:w="660"/>
        <w:gridCol w:w="1523"/>
        <w:gridCol w:w="1492"/>
        <w:gridCol w:w="1492"/>
      </w:tblGrid>
      <w:tr w14:paraId="2C1FD5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430" w:type="pct"/>
            <w:tcBorders>
              <w:top w:val="single" w:color="auto" w:sz="2" w:space="0"/>
              <w:left w:val="single" w:color="auto" w:sz="2" w:space="0"/>
              <w:bottom w:val="single" w:color="auto" w:sz="2" w:space="0"/>
              <w:right w:val="single" w:color="auto" w:sz="2" w:space="0"/>
            </w:tcBorders>
            <w:shd w:val="clear" w:color="auto" w:fill="D3D3D3"/>
            <w:vAlign w:val="center"/>
          </w:tcPr>
          <w:p w14:paraId="7D3320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被购买方名称</w:t>
            </w:r>
          </w:p>
        </w:tc>
        <w:tc>
          <w:tcPr>
            <w:tcW w:w="409" w:type="pct"/>
            <w:tcBorders>
              <w:top w:val="single" w:color="auto" w:sz="2" w:space="0"/>
              <w:left w:val="single" w:color="auto" w:sz="2" w:space="0"/>
              <w:bottom w:val="single" w:color="auto" w:sz="2" w:space="0"/>
              <w:right w:val="single" w:color="auto" w:sz="2" w:space="0"/>
            </w:tcBorders>
            <w:shd w:val="clear" w:color="auto" w:fill="D3D3D3"/>
            <w:vAlign w:val="center"/>
          </w:tcPr>
          <w:p w14:paraId="3B6BD9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股权取得时点</w:t>
            </w:r>
          </w:p>
        </w:tc>
        <w:tc>
          <w:tcPr>
            <w:tcW w:w="351" w:type="pct"/>
            <w:tcBorders>
              <w:top w:val="single" w:color="auto" w:sz="2" w:space="0"/>
              <w:left w:val="single" w:color="auto" w:sz="2" w:space="0"/>
              <w:bottom w:val="single" w:color="auto" w:sz="2" w:space="0"/>
              <w:right w:val="single" w:color="auto" w:sz="2" w:space="0"/>
            </w:tcBorders>
            <w:shd w:val="clear" w:color="auto" w:fill="D3D3D3"/>
            <w:vAlign w:val="center"/>
          </w:tcPr>
          <w:p w14:paraId="2ADEB32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股权取得成本</w:t>
            </w:r>
          </w:p>
        </w:tc>
        <w:tc>
          <w:tcPr>
            <w:tcW w:w="483" w:type="pct"/>
            <w:tcBorders>
              <w:top w:val="single" w:color="auto" w:sz="2" w:space="0"/>
              <w:left w:val="single" w:color="auto" w:sz="2" w:space="0"/>
              <w:bottom w:val="single" w:color="auto" w:sz="2" w:space="0"/>
              <w:right w:val="single" w:color="auto" w:sz="2" w:space="0"/>
            </w:tcBorders>
            <w:shd w:val="clear" w:color="auto" w:fill="D3D3D3"/>
            <w:vAlign w:val="center"/>
          </w:tcPr>
          <w:p w14:paraId="10E5F04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股权取得比例</w:t>
            </w:r>
          </w:p>
        </w:tc>
        <w:tc>
          <w:tcPr>
            <w:tcW w:w="296" w:type="pct"/>
            <w:tcBorders>
              <w:top w:val="single" w:color="auto" w:sz="2" w:space="0"/>
              <w:left w:val="single" w:color="auto" w:sz="2" w:space="0"/>
              <w:bottom w:val="single" w:color="auto" w:sz="2" w:space="0"/>
              <w:right w:val="single" w:color="auto" w:sz="2" w:space="0"/>
            </w:tcBorders>
            <w:shd w:val="clear" w:color="auto" w:fill="D3D3D3"/>
            <w:vAlign w:val="center"/>
          </w:tcPr>
          <w:p w14:paraId="4A297D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股权取得方式</w:t>
            </w:r>
          </w:p>
        </w:tc>
        <w:tc>
          <w:tcPr>
            <w:tcW w:w="409" w:type="pct"/>
            <w:tcBorders>
              <w:top w:val="single" w:color="auto" w:sz="2" w:space="0"/>
              <w:left w:val="single" w:color="auto" w:sz="2" w:space="0"/>
              <w:bottom w:val="single" w:color="auto" w:sz="2" w:space="0"/>
              <w:right w:val="single" w:color="auto" w:sz="2" w:space="0"/>
            </w:tcBorders>
            <w:shd w:val="clear" w:color="auto" w:fill="D3D3D3"/>
            <w:vAlign w:val="center"/>
          </w:tcPr>
          <w:p w14:paraId="14117B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w:t>
            </w:r>
          </w:p>
        </w:tc>
        <w:tc>
          <w:tcPr>
            <w:tcW w:w="335" w:type="pct"/>
            <w:tcBorders>
              <w:top w:val="single" w:color="auto" w:sz="2" w:space="0"/>
              <w:left w:val="single" w:color="auto" w:sz="2" w:space="0"/>
              <w:bottom w:val="single" w:color="auto" w:sz="2" w:space="0"/>
              <w:right w:val="single" w:color="auto" w:sz="2" w:space="0"/>
            </w:tcBorders>
            <w:shd w:val="clear" w:color="auto" w:fill="D3D3D3"/>
            <w:vAlign w:val="center"/>
          </w:tcPr>
          <w:p w14:paraId="271E42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购买日的确定依据</w:t>
            </w:r>
          </w:p>
        </w:tc>
        <w:tc>
          <w:tcPr>
            <w:tcW w:w="773" w:type="pct"/>
            <w:tcBorders>
              <w:top w:val="single" w:color="auto" w:sz="2" w:space="0"/>
              <w:left w:val="single" w:color="auto" w:sz="2" w:space="0"/>
              <w:bottom w:val="single" w:color="auto" w:sz="2" w:space="0"/>
              <w:right w:val="single" w:color="auto" w:sz="2" w:space="0"/>
            </w:tcBorders>
            <w:shd w:val="clear" w:color="auto" w:fill="D3D3D3"/>
            <w:vAlign w:val="center"/>
          </w:tcPr>
          <w:p w14:paraId="4965ECB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购买日至期末被购买方的收入</w:t>
            </w:r>
          </w:p>
        </w:tc>
        <w:tc>
          <w:tcPr>
            <w:tcW w:w="757" w:type="pct"/>
            <w:tcBorders>
              <w:top w:val="single" w:color="auto" w:sz="2" w:space="0"/>
              <w:left w:val="single" w:color="auto" w:sz="2" w:space="0"/>
              <w:bottom w:val="single" w:color="auto" w:sz="2" w:space="0"/>
              <w:right w:val="single" w:color="auto" w:sz="2" w:space="0"/>
            </w:tcBorders>
            <w:shd w:val="clear" w:color="auto" w:fill="D3D3D3"/>
            <w:vAlign w:val="center"/>
          </w:tcPr>
          <w:p w14:paraId="18C436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购买日至期末被购买方的净利润</w:t>
            </w:r>
          </w:p>
        </w:tc>
        <w:tc>
          <w:tcPr>
            <w:tcW w:w="757" w:type="pct"/>
            <w:tcBorders>
              <w:top w:val="single" w:color="auto" w:sz="2" w:space="0"/>
              <w:left w:val="single" w:color="auto" w:sz="2" w:space="0"/>
              <w:bottom w:val="single" w:color="auto" w:sz="2" w:space="0"/>
              <w:right w:val="single" w:color="auto" w:sz="2" w:space="0"/>
            </w:tcBorders>
            <w:shd w:val="clear" w:color="auto" w:fill="D3D3D3"/>
            <w:vAlign w:val="center"/>
          </w:tcPr>
          <w:p w14:paraId="1C12E7E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购买日至期末被购买方的现金流</w:t>
            </w:r>
          </w:p>
        </w:tc>
      </w:tr>
      <w:tr w14:paraId="3C407C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30" w:type="pct"/>
            <w:tcBorders>
              <w:top w:val="single" w:color="auto" w:sz="2" w:space="0"/>
              <w:left w:val="single" w:color="auto" w:sz="2" w:space="0"/>
              <w:bottom w:val="single" w:color="auto" w:sz="2" w:space="0"/>
              <w:right w:val="single" w:color="auto" w:sz="2" w:space="0"/>
            </w:tcBorders>
            <w:vAlign w:val="center"/>
          </w:tcPr>
          <w:p w14:paraId="5FFC3C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409" w:type="pct"/>
            <w:tcBorders>
              <w:top w:val="single" w:color="auto" w:sz="2" w:space="0"/>
              <w:left w:val="single" w:color="auto" w:sz="2" w:space="0"/>
              <w:bottom w:val="single" w:color="auto" w:sz="2" w:space="0"/>
              <w:right w:val="single" w:color="auto" w:sz="2" w:space="0"/>
            </w:tcBorders>
            <w:vAlign w:val="center"/>
          </w:tcPr>
          <w:p w14:paraId="60ED85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2024年09月04日</w:t>
            </w:r>
          </w:p>
        </w:tc>
        <w:tc>
          <w:tcPr>
            <w:tcW w:w="351" w:type="pct"/>
            <w:tcBorders>
              <w:top w:val="single" w:color="auto" w:sz="2" w:space="0"/>
              <w:left w:val="single" w:color="auto" w:sz="2" w:space="0"/>
              <w:bottom w:val="single" w:color="auto" w:sz="2" w:space="0"/>
              <w:right w:val="single" w:color="auto" w:sz="2" w:space="0"/>
            </w:tcBorders>
            <w:vAlign w:val="center"/>
          </w:tcPr>
          <w:p w14:paraId="65A2EF0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c>
          <w:tcPr>
            <w:tcW w:w="483" w:type="pct"/>
            <w:tcBorders>
              <w:top w:val="single" w:color="auto" w:sz="2" w:space="0"/>
              <w:left w:val="single" w:color="auto" w:sz="2" w:space="0"/>
              <w:bottom w:val="single" w:color="auto" w:sz="2" w:space="0"/>
              <w:right w:val="single" w:color="auto" w:sz="2" w:space="0"/>
            </w:tcBorders>
            <w:vAlign w:val="center"/>
          </w:tcPr>
          <w:p w14:paraId="24D5ED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296" w:type="pct"/>
            <w:tcBorders>
              <w:top w:val="single" w:color="auto" w:sz="2" w:space="0"/>
              <w:left w:val="single" w:color="auto" w:sz="2" w:space="0"/>
              <w:bottom w:val="single" w:color="auto" w:sz="2" w:space="0"/>
              <w:right w:val="single" w:color="auto" w:sz="2" w:space="0"/>
            </w:tcBorders>
            <w:vAlign w:val="center"/>
          </w:tcPr>
          <w:p w14:paraId="7BB12C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09" w:type="pct"/>
            <w:tcBorders>
              <w:top w:val="single" w:color="auto" w:sz="2" w:space="0"/>
              <w:left w:val="single" w:color="auto" w:sz="2" w:space="0"/>
              <w:bottom w:val="single" w:color="auto" w:sz="2" w:space="0"/>
              <w:right w:val="single" w:color="auto" w:sz="2" w:space="0"/>
            </w:tcBorders>
            <w:vAlign w:val="center"/>
          </w:tcPr>
          <w:p w14:paraId="750EC7C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2024年09月04日</w:t>
            </w:r>
          </w:p>
        </w:tc>
        <w:tc>
          <w:tcPr>
            <w:tcW w:w="335" w:type="pct"/>
            <w:tcBorders>
              <w:top w:val="single" w:color="auto" w:sz="2" w:space="0"/>
              <w:left w:val="single" w:color="auto" w:sz="2" w:space="0"/>
              <w:bottom w:val="single" w:color="auto" w:sz="2" w:space="0"/>
              <w:right w:val="single" w:color="auto" w:sz="2" w:space="0"/>
            </w:tcBorders>
            <w:vAlign w:val="center"/>
          </w:tcPr>
          <w:p w14:paraId="519261B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取得控制权</w:t>
            </w:r>
          </w:p>
        </w:tc>
        <w:tc>
          <w:tcPr>
            <w:tcW w:w="773" w:type="pct"/>
            <w:tcBorders>
              <w:top w:val="single" w:color="auto" w:sz="2" w:space="0"/>
              <w:left w:val="single" w:color="auto" w:sz="2" w:space="0"/>
              <w:bottom w:val="single" w:color="auto" w:sz="2" w:space="0"/>
              <w:right w:val="single" w:color="auto" w:sz="2" w:space="0"/>
            </w:tcBorders>
            <w:vAlign w:val="center"/>
          </w:tcPr>
          <w:p w14:paraId="715470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w:t>
            </w:r>
            <w:r>
              <w:rPr>
                <w:rFonts w:hint="eastAsia" w:ascii="Times New Roman" w:hAnsi="Times New Roman" w:cs="Times New Roman" w:eastAsiaTheme="majorEastAsia"/>
                <w:sz w:val="18"/>
                <w:szCs w:val="18"/>
              </w:rPr>
              <w:t>148</w:t>
            </w:r>
            <w:r>
              <w:rPr>
                <w:rFonts w:ascii="Times New Roman" w:hAnsi="Times New Roman" w:cs="Times New Roman" w:eastAsiaTheme="majorEastAsia"/>
                <w:sz w:val="18"/>
                <w:szCs w:val="18"/>
              </w:rPr>
              <w:t>,</w:t>
            </w:r>
            <w:r>
              <w:rPr>
                <w:rFonts w:hint="eastAsia" w:ascii="Times New Roman" w:hAnsi="Times New Roman" w:cs="Times New Roman" w:eastAsiaTheme="majorEastAsia"/>
                <w:sz w:val="18"/>
                <w:szCs w:val="18"/>
              </w:rPr>
              <w:t>9</w:t>
            </w:r>
            <w:r>
              <w:rPr>
                <w:rFonts w:ascii="Times New Roman" w:hAnsi="Times New Roman" w:cs="Times New Roman" w:eastAsiaTheme="majorEastAsia"/>
                <w:sz w:val="18"/>
                <w:szCs w:val="18"/>
              </w:rPr>
              <w:t>92.33</w:t>
            </w:r>
          </w:p>
        </w:tc>
        <w:tc>
          <w:tcPr>
            <w:tcW w:w="757" w:type="pct"/>
            <w:tcBorders>
              <w:top w:val="single" w:color="auto" w:sz="2" w:space="0"/>
              <w:left w:val="single" w:color="auto" w:sz="2" w:space="0"/>
              <w:bottom w:val="single" w:color="auto" w:sz="2" w:space="0"/>
              <w:right w:val="single" w:color="auto" w:sz="2" w:space="0"/>
            </w:tcBorders>
            <w:vAlign w:val="center"/>
          </w:tcPr>
          <w:p w14:paraId="4DCB02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2,164,773.69</w:t>
            </w:r>
          </w:p>
        </w:tc>
        <w:tc>
          <w:tcPr>
            <w:tcW w:w="757" w:type="pct"/>
            <w:tcBorders>
              <w:top w:val="single" w:color="auto" w:sz="2" w:space="0"/>
              <w:left w:val="single" w:color="auto" w:sz="2" w:space="0"/>
              <w:bottom w:val="single" w:color="auto" w:sz="2" w:space="0"/>
              <w:right w:val="single" w:color="auto" w:sz="2" w:space="0"/>
            </w:tcBorders>
            <w:vAlign w:val="center"/>
          </w:tcPr>
          <w:p w14:paraId="32BF7E6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3,289,325.00</w:t>
            </w:r>
          </w:p>
        </w:tc>
      </w:tr>
      <w:tr w14:paraId="6AF87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30" w:type="pct"/>
            <w:tcBorders>
              <w:top w:val="single" w:color="auto" w:sz="2" w:space="0"/>
              <w:left w:val="single" w:color="auto" w:sz="2" w:space="0"/>
              <w:bottom w:val="single" w:color="auto" w:sz="2" w:space="0"/>
              <w:right w:val="single" w:color="auto" w:sz="2" w:space="0"/>
            </w:tcBorders>
            <w:vAlign w:val="center"/>
          </w:tcPr>
          <w:p w14:paraId="455FA0B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409" w:type="pct"/>
            <w:tcBorders>
              <w:top w:val="single" w:color="auto" w:sz="2" w:space="0"/>
              <w:left w:val="single" w:color="auto" w:sz="2" w:space="0"/>
              <w:bottom w:val="single" w:color="auto" w:sz="2" w:space="0"/>
              <w:right w:val="single" w:color="auto" w:sz="2" w:space="0"/>
            </w:tcBorders>
            <w:vAlign w:val="center"/>
          </w:tcPr>
          <w:p w14:paraId="3237D56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2024年10月25日</w:t>
            </w:r>
          </w:p>
        </w:tc>
        <w:tc>
          <w:tcPr>
            <w:tcW w:w="351" w:type="pct"/>
            <w:tcBorders>
              <w:top w:val="single" w:color="auto" w:sz="2" w:space="0"/>
              <w:left w:val="single" w:color="auto" w:sz="2" w:space="0"/>
              <w:bottom w:val="single" w:color="auto" w:sz="2" w:space="0"/>
              <w:right w:val="single" w:color="auto" w:sz="2" w:space="0"/>
            </w:tcBorders>
            <w:vAlign w:val="center"/>
          </w:tcPr>
          <w:p w14:paraId="3A396F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c>
          <w:tcPr>
            <w:tcW w:w="483" w:type="pct"/>
            <w:tcBorders>
              <w:top w:val="single" w:color="auto" w:sz="2" w:space="0"/>
              <w:left w:val="single" w:color="auto" w:sz="2" w:space="0"/>
              <w:bottom w:val="single" w:color="auto" w:sz="2" w:space="0"/>
              <w:right w:val="single" w:color="auto" w:sz="2" w:space="0"/>
            </w:tcBorders>
            <w:vAlign w:val="center"/>
          </w:tcPr>
          <w:p w14:paraId="155DC7A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296" w:type="pct"/>
            <w:tcBorders>
              <w:top w:val="single" w:color="auto" w:sz="2" w:space="0"/>
              <w:left w:val="single" w:color="auto" w:sz="2" w:space="0"/>
              <w:bottom w:val="single" w:color="auto" w:sz="2" w:space="0"/>
              <w:right w:val="single" w:color="auto" w:sz="2" w:space="0"/>
            </w:tcBorders>
            <w:vAlign w:val="center"/>
          </w:tcPr>
          <w:p w14:paraId="74606D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09" w:type="pct"/>
            <w:tcBorders>
              <w:top w:val="single" w:color="auto" w:sz="2" w:space="0"/>
              <w:left w:val="single" w:color="auto" w:sz="2" w:space="0"/>
              <w:bottom w:val="single" w:color="auto" w:sz="2" w:space="0"/>
              <w:right w:val="single" w:color="auto" w:sz="2" w:space="0"/>
            </w:tcBorders>
            <w:vAlign w:val="center"/>
          </w:tcPr>
          <w:p w14:paraId="21525FD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2024年10月25日</w:t>
            </w:r>
          </w:p>
        </w:tc>
        <w:tc>
          <w:tcPr>
            <w:tcW w:w="335" w:type="pct"/>
            <w:tcBorders>
              <w:top w:val="single" w:color="auto" w:sz="2" w:space="0"/>
              <w:left w:val="single" w:color="auto" w:sz="2" w:space="0"/>
              <w:bottom w:val="single" w:color="auto" w:sz="2" w:space="0"/>
              <w:right w:val="single" w:color="auto" w:sz="2" w:space="0"/>
            </w:tcBorders>
            <w:vAlign w:val="center"/>
          </w:tcPr>
          <w:p w14:paraId="03BF12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取得控制权</w:t>
            </w:r>
          </w:p>
        </w:tc>
        <w:tc>
          <w:tcPr>
            <w:tcW w:w="773" w:type="pct"/>
            <w:tcBorders>
              <w:top w:val="single" w:color="auto" w:sz="2" w:space="0"/>
              <w:left w:val="single" w:color="auto" w:sz="2" w:space="0"/>
              <w:bottom w:val="single" w:color="auto" w:sz="2" w:space="0"/>
              <w:right w:val="single" w:color="auto" w:sz="2" w:space="0"/>
            </w:tcBorders>
            <w:vAlign w:val="center"/>
          </w:tcPr>
          <w:p w14:paraId="57BADF8B">
            <w:pPr>
              <w:spacing w:line="240" w:lineRule="exact"/>
              <w:jc w:val="right"/>
              <w:rPr>
                <w:rFonts w:ascii="Times New Roman" w:hAnsi="Times New Roman" w:cs="Times New Roman" w:eastAsiaTheme="majorEastAsia"/>
                <w:sz w:val="18"/>
                <w:szCs w:val="18"/>
              </w:rPr>
            </w:pPr>
          </w:p>
        </w:tc>
        <w:tc>
          <w:tcPr>
            <w:tcW w:w="757" w:type="pct"/>
            <w:tcBorders>
              <w:top w:val="single" w:color="auto" w:sz="2" w:space="0"/>
              <w:left w:val="single" w:color="auto" w:sz="2" w:space="0"/>
              <w:bottom w:val="single" w:color="auto" w:sz="2" w:space="0"/>
              <w:right w:val="single" w:color="auto" w:sz="2" w:space="0"/>
            </w:tcBorders>
            <w:vAlign w:val="center"/>
          </w:tcPr>
          <w:p w14:paraId="7AE4563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-1,086.53</w:t>
            </w:r>
          </w:p>
        </w:tc>
        <w:tc>
          <w:tcPr>
            <w:tcW w:w="757" w:type="pct"/>
            <w:tcBorders>
              <w:top w:val="single" w:color="auto" w:sz="2" w:space="0"/>
              <w:left w:val="single" w:color="auto" w:sz="2" w:space="0"/>
              <w:bottom w:val="single" w:color="auto" w:sz="2" w:space="0"/>
              <w:right w:val="single" w:color="auto" w:sz="2" w:space="0"/>
            </w:tcBorders>
            <w:vAlign w:val="center"/>
          </w:tcPr>
          <w:p w14:paraId="7DA549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920.84</w:t>
            </w:r>
          </w:p>
        </w:tc>
      </w:tr>
      <w:tr w14:paraId="1198D2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30" w:type="pct"/>
            <w:tcBorders>
              <w:top w:val="single" w:color="auto" w:sz="2" w:space="0"/>
              <w:left w:val="single" w:color="auto" w:sz="2" w:space="0"/>
              <w:bottom w:val="single" w:color="auto" w:sz="2" w:space="0"/>
              <w:right w:val="single" w:color="auto" w:sz="2" w:space="0"/>
            </w:tcBorders>
            <w:vAlign w:val="center"/>
          </w:tcPr>
          <w:p w14:paraId="421F3A9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邯郸庚源新能源科技有限公司</w:t>
            </w:r>
          </w:p>
        </w:tc>
        <w:tc>
          <w:tcPr>
            <w:tcW w:w="409" w:type="pct"/>
            <w:tcBorders>
              <w:top w:val="single" w:color="auto" w:sz="2" w:space="0"/>
              <w:left w:val="single" w:color="auto" w:sz="2" w:space="0"/>
              <w:bottom w:val="single" w:color="auto" w:sz="2" w:space="0"/>
              <w:right w:val="single" w:color="auto" w:sz="2" w:space="0"/>
            </w:tcBorders>
            <w:vAlign w:val="center"/>
          </w:tcPr>
          <w:p w14:paraId="784942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2024年11月15日</w:t>
            </w:r>
          </w:p>
        </w:tc>
        <w:tc>
          <w:tcPr>
            <w:tcW w:w="351" w:type="pct"/>
            <w:tcBorders>
              <w:top w:val="single" w:color="auto" w:sz="2" w:space="0"/>
              <w:left w:val="single" w:color="auto" w:sz="2" w:space="0"/>
              <w:bottom w:val="single" w:color="auto" w:sz="2" w:space="0"/>
              <w:right w:val="single" w:color="auto" w:sz="2" w:space="0"/>
            </w:tcBorders>
            <w:vAlign w:val="center"/>
          </w:tcPr>
          <w:p w14:paraId="168FFF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c>
          <w:tcPr>
            <w:tcW w:w="483" w:type="pct"/>
            <w:tcBorders>
              <w:top w:val="single" w:color="auto" w:sz="2" w:space="0"/>
              <w:left w:val="single" w:color="auto" w:sz="2" w:space="0"/>
              <w:bottom w:val="single" w:color="auto" w:sz="2" w:space="0"/>
              <w:right w:val="single" w:color="auto" w:sz="2" w:space="0"/>
            </w:tcBorders>
            <w:vAlign w:val="center"/>
          </w:tcPr>
          <w:p w14:paraId="3FBF736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296" w:type="pct"/>
            <w:tcBorders>
              <w:top w:val="single" w:color="auto" w:sz="2" w:space="0"/>
              <w:left w:val="single" w:color="auto" w:sz="2" w:space="0"/>
              <w:bottom w:val="single" w:color="auto" w:sz="2" w:space="0"/>
              <w:right w:val="single" w:color="auto" w:sz="2" w:space="0"/>
            </w:tcBorders>
            <w:vAlign w:val="center"/>
          </w:tcPr>
          <w:p w14:paraId="1111624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增资扩股</w:t>
            </w:r>
          </w:p>
        </w:tc>
        <w:tc>
          <w:tcPr>
            <w:tcW w:w="409" w:type="pct"/>
            <w:tcBorders>
              <w:top w:val="single" w:color="auto" w:sz="2" w:space="0"/>
              <w:left w:val="single" w:color="auto" w:sz="2" w:space="0"/>
              <w:bottom w:val="single" w:color="auto" w:sz="2" w:space="0"/>
              <w:right w:val="single" w:color="auto" w:sz="2" w:space="0"/>
            </w:tcBorders>
            <w:vAlign w:val="center"/>
          </w:tcPr>
          <w:p w14:paraId="266B40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2024年11月15日</w:t>
            </w:r>
          </w:p>
        </w:tc>
        <w:tc>
          <w:tcPr>
            <w:tcW w:w="335" w:type="pct"/>
            <w:tcBorders>
              <w:top w:val="single" w:color="auto" w:sz="2" w:space="0"/>
              <w:left w:val="single" w:color="auto" w:sz="2" w:space="0"/>
              <w:bottom w:val="single" w:color="auto" w:sz="2" w:space="0"/>
              <w:right w:val="single" w:color="auto" w:sz="2" w:space="0"/>
            </w:tcBorders>
            <w:vAlign w:val="center"/>
          </w:tcPr>
          <w:p w14:paraId="1E2C8D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取得控制权</w:t>
            </w:r>
          </w:p>
        </w:tc>
        <w:tc>
          <w:tcPr>
            <w:tcW w:w="773" w:type="pct"/>
            <w:tcBorders>
              <w:top w:val="single" w:color="auto" w:sz="2" w:space="0"/>
              <w:left w:val="single" w:color="auto" w:sz="2" w:space="0"/>
              <w:bottom w:val="single" w:color="auto" w:sz="2" w:space="0"/>
              <w:right w:val="single" w:color="auto" w:sz="2" w:space="0"/>
            </w:tcBorders>
            <w:vAlign w:val="center"/>
          </w:tcPr>
          <w:p w14:paraId="3BA7ACB4">
            <w:pPr>
              <w:spacing w:line="240" w:lineRule="exact"/>
              <w:jc w:val="right"/>
              <w:rPr>
                <w:rFonts w:ascii="Times New Roman" w:hAnsi="Times New Roman" w:cs="Times New Roman" w:eastAsiaTheme="majorEastAsia"/>
                <w:sz w:val="18"/>
                <w:szCs w:val="18"/>
              </w:rPr>
            </w:pPr>
          </w:p>
        </w:tc>
        <w:tc>
          <w:tcPr>
            <w:tcW w:w="757" w:type="pct"/>
            <w:tcBorders>
              <w:top w:val="single" w:color="auto" w:sz="2" w:space="0"/>
              <w:left w:val="single" w:color="auto" w:sz="2" w:space="0"/>
              <w:bottom w:val="single" w:color="auto" w:sz="2" w:space="0"/>
              <w:right w:val="single" w:color="auto" w:sz="2" w:space="0"/>
            </w:tcBorders>
            <w:vAlign w:val="center"/>
          </w:tcPr>
          <w:p w14:paraId="65A2B191">
            <w:pPr>
              <w:spacing w:line="240" w:lineRule="exact"/>
              <w:jc w:val="right"/>
              <w:rPr>
                <w:rFonts w:ascii="Times New Roman" w:hAnsi="Times New Roman" w:cs="Times New Roman" w:eastAsiaTheme="majorEastAsia"/>
                <w:sz w:val="18"/>
                <w:szCs w:val="18"/>
              </w:rPr>
            </w:pPr>
          </w:p>
        </w:tc>
        <w:tc>
          <w:tcPr>
            <w:tcW w:w="757" w:type="pct"/>
            <w:tcBorders>
              <w:top w:val="single" w:color="auto" w:sz="2" w:space="0"/>
              <w:left w:val="single" w:color="auto" w:sz="2" w:space="0"/>
              <w:bottom w:val="single" w:color="auto" w:sz="2" w:space="0"/>
              <w:right w:val="single" w:color="auto" w:sz="2" w:space="0"/>
            </w:tcBorders>
            <w:vAlign w:val="center"/>
          </w:tcPr>
          <w:p w14:paraId="66835BC3">
            <w:pPr>
              <w:spacing w:line="240" w:lineRule="exact"/>
              <w:jc w:val="right"/>
              <w:rPr>
                <w:rFonts w:ascii="Times New Roman" w:hAnsi="Times New Roman" w:cs="Times New Roman" w:eastAsiaTheme="majorEastAsia"/>
                <w:sz w:val="18"/>
                <w:szCs w:val="18"/>
              </w:rPr>
            </w:pPr>
          </w:p>
        </w:tc>
      </w:tr>
    </w:tbl>
    <w:p w14:paraId="39E41B4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p>
    <w:p w14:paraId="49140853">
      <w:pPr>
        <w:keepNext/>
        <w:keepLines/>
        <w:spacing w:before="300" w:after="300" w:line="280" w:lineRule="exact"/>
        <w:outlineLvl w:val="3"/>
        <w:rPr>
          <w:rFonts w:ascii="Times New Roman" w:hAnsi="Times New Roman" w:cs="Times New Roman" w:eastAsiaTheme="majorEastAsia"/>
          <w:b/>
          <w:bCs/>
          <w:sz w:val="18"/>
          <w:szCs w:val="18"/>
        </w:rPr>
      </w:pPr>
      <w:bookmarkStart w:id="396" w:name="_Toc989285"/>
      <w:r>
        <w:rPr>
          <w:rFonts w:ascii="Times New Roman" w:hAnsi="Times New Roman" w:cs="Times New Roman" w:eastAsiaTheme="majorEastAsia"/>
          <w:b/>
          <w:bCs/>
          <w:sz w:val="18"/>
          <w:szCs w:val="18"/>
        </w:rPr>
        <w:t>（2） 合并成本及商誉</w:t>
      </w:r>
      <w:bookmarkEnd w:id="396"/>
    </w:p>
    <w:p w14:paraId="28BFADA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6DAFF4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5721B5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合并成本</w:t>
            </w:r>
          </w:p>
        </w:tc>
        <w:tc>
          <w:tcPr>
            <w:tcW w:w="4820" w:type="dxa"/>
            <w:tcBorders>
              <w:top w:val="single" w:color="auto" w:sz="2" w:space="0"/>
              <w:left w:val="single" w:color="auto" w:sz="2" w:space="0"/>
              <w:bottom w:val="single" w:color="auto" w:sz="2" w:space="0"/>
              <w:right w:val="single" w:color="auto" w:sz="2" w:space="0"/>
            </w:tcBorders>
            <w:vAlign w:val="center"/>
          </w:tcPr>
          <w:p w14:paraId="24D1B65E">
            <w:pPr>
              <w:spacing w:line="240" w:lineRule="exact"/>
              <w:jc w:val="center"/>
              <w:rPr>
                <w:rFonts w:ascii="Times New Roman" w:hAnsi="Times New Roman" w:cs="Times New Roman" w:eastAsiaTheme="majorEastAsia"/>
                <w:sz w:val="18"/>
                <w:szCs w:val="18"/>
              </w:rPr>
            </w:pPr>
          </w:p>
        </w:tc>
      </w:tr>
      <w:tr w14:paraId="35550E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C1807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--现金</w:t>
            </w:r>
          </w:p>
        </w:tc>
        <w:tc>
          <w:tcPr>
            <w:tcW w:w="4820" w:type="dxa"/>
            <w:tcBorders>
              <w:top w:val="single" w:color="auto" w:sz="2" w:space="0"/>
              <w:left w:val="single" w:color="auto" w:sz="2" w:space="0"/>
              <w:bottom w:val="single" w:color="auto" w:sz="2" w:space="0"/>
              <w:right w:val="single" w:color="auto" w:sz="2" w:space="0"/>
            </w:tcBorders>
            <w:vAlign w:val="center"/>
          </w:tcPr>
          <w:p w14:paraId="507FD2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r>
      <w:tr w14:paraId="7FA28C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EF7265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--非现金资产的公允价值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4B53776E">
            <w:pPr>
              <w:spacing w:line="240" w:lineRule="exact"/>
              <w:jc w:val="right"/>
              <w:rPr>
                <w:rFonts w:ascii="Times New Roman" w:hAnsi="Times New Roman" w:cs="Times New Roman" w:eastAsiaTheme="majorEastAsia"/>
                <w:sz w:val="18"/>
                <w:szCs w:val="18"/>
              </w:rPr>
            </w:pPr>
          </w:p>
        </w:tc>
      </w:tr>
      <w:tr w14:paraId="7E6669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2A3EE4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--发行或承担的债务的公允价值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06D5A376">
            <w:pPr>
              <w:spacing w:line="240" w:lineRule="exact"/>
              <w:jc w:val="right"/>
              <w:rPr>
                <w:rFonts w:ascii="Times New Roman" w:hAnsi="Times New Roman" w:cs="Times New Roman" w:eastAsiaTheme="majorEastAsia"/>
                <w:sz w:val="18"/>
                <w:szCs w:val="18"/>
              </w:rPr>
            </w:pPr>
          </w:p>
        </w:tc>
      </w:tr>
      <w:tr w14:paraId="58631B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0F3CB0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--发行的权益性证券的公允价值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3E17B9A0">
            <w:pPr>
              <w:spacing w:line="240" w:lineRule="exact"/>
              <w:jc w:val="right"/>
              <w:rPr>
                <w:rFonts w:ascii="Times New Roman" w:hAnsi="Times New Roman" w:cs="Times New Roman" w:eastAsiaTheme="majorEastAsia"/>
                <w:sz w:val="18"/>
                <w:szCs w:val="18"/>
              </w:rPr>
            </w:pPr>
          </w:p>
        </w:tc>
      </w:tr>
      <w:tr w14:paraId="7DCDDF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D39F56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--或有对价的公允价值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18601623">
            <w:pPr>
              <w:spacing w:line="240" w:lineRule="exact"/>
              <w:jc w:val="right"/>
              <w:rPr>
                <w:rFonts w:ascii="Times New Roman" w:hAnsi="Times New Roman" w:cs="Times New Roman" w:eastAsiaTheme="majorEastAsia"/>
                <w:sz w:val="18"/>
                <w:szCs w:val="18"/>
              </w:rPr>
            </w:pPr>
          </w:p>
        </w:tc>
      </w:tr>
      <w:tr w14:paraId="57FA5C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7D60E5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--购买日之前持有的股权于购买日的公允价值</w:t>
            </w:r>
          </w:p>
        </w:tc>
        <w:tc>
          <w:tcPr>
            <w:tcW w:w="4820" w:type="dxa"/>
            <w:tcBorders>
              <w:top w:val="single" w:color="auto" w:sz="2" w:space="0"/>
              <w:left w:val="single" w:color="auto" w:sz="2" w:space="0"/>
              <w:bottom w:val="single" w:color="auto" w:sz="2" w:space="0"/>
              <w:right w:val="single" w:color="auto" w:sz="2" w:space="0"/>
            </w:tcBorders>
            <w:vAlign w:val="center"/>
          </w:tcPr>
          <w:p w14:paraId="597BF6F4">
            <w:pPr>
              <w:spacing w:line="240" w:lineRule="exact"/>
              <w:jc w:val="right"/>
              <w:rPr>
                <w:rFonts w:ascii="Times New Roman" w:hAnsi="Times New Roman" w:cs="Times New Roman" w:eastAsiaTheme="majorEastAsia"/>
                <w:sz w:val="18"/>
                <w:szCs w:val="18"/>
              </w:rPr>
            </w:pPr>
          </w:p>
        </w:tc>
      </w:tr>
      <w:tr w14:paraId="702E5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0ED20D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4820" w:type="dxa"/>
            <w:tcBorders>
              <w:top w:val="single" w:color="auto" w:sz="2" w:space="0"/>
              <w:left w:val="single" w:color="auto" w:sz="2" w:space="0"/>
              <w:bottom w:val="single" w:color="auto" w:sz="2" w:space="0"/>
              <w:right w:val="single" w:color="auto" w:sz="2" w:space="0"/>
            </w:tcBorders>
            <w:vAlign w:val="center"/>
          </w:tcPr>
          <w:p w14:paraId="6D0E42EB">
            <w:pPr>
              <w:spacing w:line="240" w:lineRule="exact"/>
              <w:jc w:val="right"/>
              <w:rPr>
                <w:rFonts w:ascii="Times New Roman" w:hAnsi="Times New Roman" w:cs="Times New Roman" w:eastAsiaTheme="majorEastAsia"/>
                <w:sz w:val="18"/>
                <w:szCs w:val="18"/>
              </w:rPr>
            </w:pPr>
          </w:p>
        </w:tc>
      </w:tr>
      <w:tr w14:paraId="57B240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3DF2F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合并成本合计</w:t>
            </w:r>
          </w:p>
        </w:tc>
        <w:tc>
          <w:tcPr>
            <w:tcW w:w="4820" w:type="dxa"/>
            <w:tcBorders>
              <w:top w:val="single" w:color="auto" w:sz="2" w:space="0"/>
              <w:left w:val="single" w:color="auto" w:sz="2" w:space="0"/>
              <w:bottom w:val="single" w:color="auto" w:sz="2" w:space="0"/>
              <w:right w:val="single" w:color="auto" w:sz="2" w:space="0"/>
            </w:tcBorders>
            <w:vAlign w:val="center"/>
          </w:tcPr>
          <w:p w14:paraId="725E66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r>
      <w:tr w14:paraId="334AC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402097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减：取得的可辨认净资产公允价值份额</w:t>
            </w:r>
          </w:p>
        </w:tc>
        <w:tc>
          <w:tcPr>
            <w:tcW w:w="4820" w:type="dxa"/>
            <w:tcBorders>
              <w:top w:val="single" w:color="auto" w:sz="2" w:space="0"/>
              <w:left w:val="single" w:color="auto" w:sz="2" w:space="0"/>
              <w:bottom w:val="single" w:color="auto" w:sz="2" w:space="0"/>
              <w:right w:val="single" w:color="auto" w:sz="2" w:space="0"/>
            </w:tcBorders>
            <w:vAlign w:val="center"/>
          </w:tcPr>
          <w:p w14:paraId="6C18D0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-303,958.67</w:t>
            </w:r>
          </w:p>
        </w:tc>
      </w:tr>
      <w:tr w14:paraId="0347FCB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F295F2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商誉/合并成本小于取得的可辨认净资产公允价值份额的金额</w:t>
            </w:r>
          </w:p>
        </w:tc>
        <w:tc>
          <w:tcPr>
            <w:tcW w:w="4820" w:type="dxa"/>
            <w:tcBorders>
              <w:top w:val="single" w:color="auto" w:sz="2" w:space="0"/>
              <w:left w:val="single" w:color="auto" w:sz="2" w:space="0"/>
              <w:bottom w:val="single" w:color="auto" w:sz="2" w:space="0"/>
              <w:right w:val="single" w:color="auto" w:sz="2" w:space="0"/>
            </w:tcBorders>
            <w:vAlign w:val="center"/>
          </w:tcPr>
          <w:p w14:paraId="674B30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303,959.67</w:t>
            </w:r>
          </w:p>
        </w:tc>
      </w:tr>
    </w:tbl>
    <w:p w14:paraId="54A89A8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合并成本公允价值的确定方法：</w:t>
      </w:r>
      <w:r>
        <w:rPr>
          <w:rFonts w:hint="eastAsia" w:ascii="Times New Roman" w:hAnsi="Times New Roman" w:cs="Times New Roman" w:eastAsiaTheme="majorEastAsia"/>
          <w:sz w:val="18"/>
          <w:szCs w:val="18"/>
        </w:rPr>
        <w:t>不适用。</w:t>
      </w:r>
    </w:p>
    <w:p w14:paraId="3BB1071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或有对价及其变动的说明</w:t>
      </w:r>
      <w:r>
        <w:rPr>
          <w:rFonts w:hint="eastAsia" w:ascii="Times New Roman" w:hAnsi="Times New Roman" w:cs="Times New Roman" w:eastAsiaTheme="majorEastAsia"/>
          <w:sz w:val="18"/>
          <w:szCs w:val="18"/>
        </w:rPr>
        <w:t>：不适用。</w:t>
      </w:r>
    </w:p>
    <w:p w14:paraId="78AD7F59">
      <w:pPr>
        <w:rPr>
          <w:rFonts w:ascii="Times New Roman" w:hAnsi="Times New Roman" w:cs="Times New Roman" w:eastAsiaTheme="majorEastAsia"/>
          <w:sz w:val="18"/>
          <w:szCs w:val="18"/>
        </w:rPr>
      </w:pPr>
    </w:p>
    <w:p w14:paraId="432D4BB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大额商誉形成的主要原因：</w:t>
      </w:r>
      <w:r>
        <w:rPr>
          <w:rFonts w:hint="eastAsia" w:ascii="Times New Roman" w:hAnsi="Times New Roman" w:cs="Times New Roman" w:eastAsiaTheme="majorEastAsia"/>
          <w:sz w:val="18"/>
          <w:szCs w:val="18"/>
        </w:rPr>
        <w:t>不适用。</w:t>
      </w:r>
    </w:p>
    <w:p w14:paraId="598BE3B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9689A66">
      <w:pPr>
        <w:keepNext/>
        <w:keepLines/>
        <w:spacing w:before="300" w:after="300" w:line="280" w:lineRule="exact"/>
        <w:outlineLvl w:val="3"/>
        <w:rPr>
          <w:rFonts w:ascii="Times New Roman" w:hAnsi="Times New Roman" w:cs="Times New Roman" w:eastAsiaTheme="majorEastAsia"/>
          <w:b/>
          <w:bCs/>
          <w:sz w:val="18"/>
          <w:szCs w:val="18"/>
        </w:rPr>
      </w:pPr>
      <w:bookmarkStart w:id="397" w:name="_Toc989286"/>
      <w:r>
        <w:rPr>
          <w:rFonts w:ascii="Times New Roman" w:hAnsi="Times New Roman" w:cs="Times New Roman" w:eastAsiaTheme="majorEastAsia"/>
          <w:b/>
          <w:bCs/>
          <w:sz w:val="18"/>
          <w:szCs w:val="18"/>
        </w:rPr>
        <w:t>（3） 被购买方于购买日可辨认资产、负债</w:t>
      </w:r>
      <w:bookmarkEnd w:id="397"/>
    </w:p>
    <w:p w14:paraId="0A9A0C6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3F909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0FD2CDA">
            <w:pPr>
              <w:rPr>
                <w:rFonts w:ascii="Times New Roman" w:hAnsi="Times New Roman" w:cs="Times New Roman" w:eastAsiaTheme="majorEastAsia"/>
              </w:rPr>
            </w:pPr>
          </w:p>
        </w:tc>
        <w:tc>
          <w:tcPr>
            <w:tcW w:w="6426" w:type="dxa"/>
            <w:gridSpan w:val="2"/>
            <w:tcBorders>
              <w:top w:val="single" w:color="auto" w:sz="2" w:space="0"/>
              <w:left w:val="single" w:color="auto" w:sz="2" w:space="0"/>
              <w:bottom w:val="single" w:color="auto" w:sz="2" w:space="0"/>
              <w:right w:val="single" w:color="auto" w:sz="2" w:space="0"/>
            </w:tcBorders>
            <w:vAlign w:val="center"/>
          </w:tcPr>
          <w:p w14:paraId="05ECB89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r>
      <w:tr w14:paraId="1C0323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C66D93">
            <w:pPr>
              <w:rPr>
                <w:rFonts w:ascii="Times New Roman" w:hAnsi="Times New Roman" w:cs="Times New Roman" w:eastAsiaTheme="majorEastAsia"/>
              </w:rPr>
            </w:pP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350FC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购买日公允价值</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02295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购买日账面价值</w:t>
            </w:r>
          </w:p>
        </w:tc>
      </w:tr>
      <w:tr w14:paraId="57B437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90B21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w:t>
            </w:r>
          </w:p>
        </w:tc>
        <w:tc>
          <w:tcPr>
            <w:tcW w:w="3213" w:type="dxa"/>
            <w:tcBorders>
              <w:top w:val="single" w:color="auto" w:sz="2" w:space="0"/>
              <w:left w:val="single" w:color="auto" w:sz="2" w:space="0"/>
              <w:bottom w:val="single" w:color="auto" w:sz="2" w:space="0"/>
              <w:right w:val="single" w:color="auto" w:sz="2" w:space="0"/>
            </w:tcBorders>
            <w:vAlign w:val="center"/>
          </w:tcPr>
          <w:p w14:paraId="727566E4">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6EA8B2E6">
            <w:pPr>
              <w:spacing w:line="240" w:lineRule="exact"/>
              <w:jc w:val="right"/>
              <w:rPr>
                <w:rFonts w:ascii="Times New Roman" w:hAnsi="Times New Roman" w:cs="Times New Roman" w:eastAsiaTheme="majorEastAsia"/>
                <w:sz w:val="18"/>
                <w:szCs w:val="18"/>
              </w:rPr>
            </w:pPr>
          </w:p>
        </w:tc>
      </w:tr>
      <w:tr w14:paraId="50A92E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FA1B8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货币资金</w:t>
            </w:r>
          </w:p>
        </w:tc>
        <w:tc>
          <w:tcPr>
            <w:tcW w:w="3213" w:type="dxa"/>
            <w:tcBorders>
              <w:top w:val="single" w:color="auto" w:sz="2" w:space="0"/>
              <w:left w:val="single" w:color="auto" w:sz="2" w:space="0"/>
              <w:bottom w:val="single" w:color="auto" w:sz="2" w:space="0"/>
              <w:right w:val="single" w:color="auto" w:sz="2" w:space="0"/>
            </w:tcBorders>
            <w:vAlign w:val="center"/>
          </w:tcPr>
          <w:p w14:paraId="1E091A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6,566,382.73</w:t>
            </w:r>
          </w:p>
        </w:tc>
        <w:tc>
          <w:tcPr>
            <w:tcW w:w="3213" w:type="dxa"/>
            <w:tcBorders>
              <w:top w:val="single" w:color="auto" w:sz="2" w:space="0"/>
              <w:left w:val="single" w:color="auto" w:sz="2" w:space="0"/>
              <w:bottom w:val="single" w:color="auto" w:sz="2" w:space="0"/>
              <w:right w:val="single" w:color="auto" w:sz="2" w:space="0"/>
            </w:tcBorders>
            <w:vAlign w:val="center"/>
          </w:tcPr>
          <w:p w14:paraId="0E21BC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6,566,382.73</w:t>
            </w:r>
          </w:p>
        </w:tc>
      </w:tr>
      <w:tr w14:paraId="3BD228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3A81C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应收款项</w:t>
            </w:r>
          </w:p>
        </w:tc>
        <w:tc>
          <w:tcPr>
            <w:tcW w:w="3213" w:type="dxa"/>
            <w:tcBorders>
              <w:top w:val="single" w:color="auto" w:sz="2" w:space="0"/>
              <w:left w:val="single" w:color="auto" w:sz="2" w:space="0"/>
              <w:bottom w:val="single" w:color="auto" w:sz="2" w:space="0"/>
              <w:right w:val="single" w:color="auto" w:sz="2" w:space="0"/>
            </w:tcBorders>
            <w:vAlign w:val="center"/>
          </w:tcPr>
          <w:p w14:paraId="5B66EE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5,736,296.95</w:t>
            </w:r>
          </w:p>
        </w:tc>
        <w:tc>
          <w:tcPr>
            <w:tcW w:w="3213" w:type="dxa"/>
            <w:tcBorders>
              <w:top w:val="single" w:color="auto" w:sz="2" w:space="0"/>
              <w:left w:val="single" w:color="auto" w:sz="2" w:space="0"/>
              <w:bottom w:val="single" w:color="auto" w:sz="2" w:space="0"/>
              <w:right w:val="single" w:color="auto" w:sz="2" w:space="0"/>
            </w:tcBorders>
            <w:vAlign w:val="center"/>
          </w:tcPr>
          <w:p w14:paraId="48E731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5,736,296.95</w:t>
            </w:r>
          </w:p>
        </w:tc>
      </w:tr>
      <w:tr w14:paraId="5E531C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F997D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存货</w:t>
            </w:r>
          </w:p>
        </w:tc>
        <w:tc>
          <w:tcPr>
            <w:tcW w:w="3213" w:type="dxa"/>
            <w:tcBorders>
              <w:top w:val="single" w:color="auto" w:sz="2" w:space="0"/>
              <w:left w:val="single" w:color="auto" w:sz="2" w:space="0"/>
              <w:bottom w:val="single" w:color="auto" w:sz="2" w:space="0"/>
              <w:right w:val="single" w:color="auto" w:sz="2" w:space="0"/>
            </w:tcBorders>
            <w:vAlign w:val="center"/>
          </w:tcPr>
          <w:p w14:paraId="38DDBE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8,528,544.90</w:t>
            </w:r>
          </w:p>
        </w:tc>
        <w:tc>
          <w:tcPr>
            <w:tcW w:w="3213" w:type="dxa"/>
            <w:tcBorders>
              <w:top w:val="single" w:color="auto" w:sz="2" w:space="0"/>
              <w:left w:val="single" w:color="auto" w:sz="2" w:space="0"/>
              <w:bottom w:val="single" w:color="auto" w:sz="2" w:space="0"/>
              <w:right w:val="single" w:color="auto" w:sz="2" w:space="0"/>
            </w:tcBorders>
            <w:vAlign w:val="center"/>
          </w:tcPr>
          <w:p w14:paraId="651CBF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8,528,544.90</w:t>
            </w:r>
          </w:p>
        </w:tc>
      </w:tr>
      <w:tr w14:paraId="59EFE71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46E4A7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固定资产</w:t>
            </w:r>
          </w:p>
        </w:tc>
        <w:tc>
          <w:tcPr>
            <w:tcW w:w="3213" w:type="dxa"/>
            <w:tcBorders>
              <w:top w:val="single" w:color="auto" w:sz="2" w:space="0"/>
              <w:left w:val="single" w:color="auto" w:sz="2" w:space="0"/>
              <w:bottom w:val="single" w:color="auto" w:sz="2" w:space="0"/>
              <w:right w:val="single" w:color="auto" w:sz="2" w:space="0"/>
            </w:tcBorders>
            <w:vAlign w:val="center"/>
          </w:tcPr>
          <w:p w14:paraId="34F9F5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44,301.49</w:t>
            </w:r>
          </w:p>
        </w:tc>
        <w:tc>
          <w:tcPr>
            <w:tcW w:w="3213" w:type="dxa"/>
            <w:tcBorders>
              <w:top w:val="single" w:color="auto" w:sz="2" w:space="0"/>
              <w:left w:val="single" w:color="auto" w:sz="2" w:space="0"/>
              <w:bottom w:val="single" w:color="auto" w:sz="2" w:space="0"/>
              <w:right w:val="single" w:color="auto" w:sz="2" w:space="0"/>
            </w:tcBorders>
            <w:vAlign w:val="center"/>
          </w:tcPr>
          <w:p w14:paraId="33551E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44,301.49</w:t>
            </w:r>
          </w:p>
        </w:tc>
      </w:tr>
      <w:tr w14:paraId="6BD702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5AC35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无形资产</w:t>
            </w:r>
          </w:p>
        </w:tc>
        <w:tc>
          <w:tcPr>
            <w:tcW w:w="3213" w:type="dxa"/>
            <w:tcBorders>
              <w:top w:val="single" w:color="auto" w:sz="2" w:space="0"/>
              <w:left w:val="single" w:color="auto" w:sz="2" w:space="0"/>
              <w:bottom w:val="single" w:color="auto" w:sz="2" w:space="0"/>
              <w:right w:val="single" w:color="auto" w:sz="2" w:space="0"/>
            </w:tcBorders>
            <w:vAlign w:val="center"/>
          </w:tcPr>
          <w:p w14:paraId="354C67EC">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746C3B92">
            <w:pPr>
              <w:spacing w:line="240" w:lineRule="exact"/>
              <w:jc w:val="right"/>
              <w:rPr>
                <w:rFonts w:ascii="Times New Roman" w:hAnsi="Times New Roman" w:cs="Times New Roman" w:eastAsiaTheme="majorEastAsia"/>
                <w:sz w:val="18"/>
                <w:szCs w:val="18"/>
              </w:rPr>
            </w:pPr>
          </w:p>
        </w:tc>
      </w:tr>
      <w:tr w14:paraId="12B496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BEFEA7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1B60D8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176,115.51</w:t>
            </w:r>
          </w:p>
        </w:tc>
        <w:tc>
          <w:tcPr>
            <w:tcW w:w="3213" w:type="dxa"/>
            <w:tcBorders>
              <w:top w:val="single" w:color="auto" w:sz="2" w:space="0"/>
              <w:left w:val="single" w:color="auto" w:sz="2" w:space="0"/>
              <w:bottom w:val="single" w:color="auto" w:sz="2" w:space="0"/>
              <w:right w:val="single" w:color="auto" w:sz="2" w:space="0"/>
            </w:tcBorders>
            <w:vAlign w:val="center"/>
          </w:tcPr>
          <w:p w14:paraId="5D9B37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176,115.51</w:t>
            </w:r>
          </w:p>
        </w:tc>
      </w:tr>
      <w:tr w14:paraId="6BC545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6EDF1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其他流动资产</w:t>
            </w:r>
          </w:p>
        </w:tc>
        <w:tc>
          <w:tcPr>
            <w:tcW w:w="3213" w:type="dxa"/>
            <w:tcBorders>
              <w:top w:val="single" w:color="auto" w:sz="2" w:space="0"/>
              <w:left w:val="single" w:color="auto" w:sz="2" w:space="0"/>
              <w:bottom w:val="single" w:color="auto" w:sz="2" w:space="0"/>
              <w:right w:val="single" w:color="auto" w:sz="2" w:space="0"/>
            </w:tcBorders>
            <w:vAlign w:val="center"/>
          </w:tcPr>
          <w:p w14:paraId="6B064D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211,243.31</w:t>
            </w:r>
          </w:p>
        </w:tc>
        <w:tc>
          <w:tcPr>
            <w:tcW w:w="3213" w:type="dxa"/>
            <w:tcBorders>
              <w:top w:val="single" w:color="auto" w:sz="2" w:space="0"/>
              <w:left w:val="single" w:color="auto" w:sz="2" w:space="0"/>
              <w:bottom w:val="single" w:color="auto" w:sz="2" w:space="0"/>
              <w:right w:val="single" w:color="auto" w:sz="2" w:space="0"/>
            </w:tcBorders>
            <w:vAlign w:val="center"/>
          </w:tcPr>
          <w:p w14:paraId="3A5CA7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211,243.31</w:t>
            </w:r>
          </w:p>
        </w:tc>
      </w:tr>
      <w:tr w14:paraId="74BCCF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655D0E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w:t>
            </w:r>
          </w:p>
        </w:tc>
        <w:tc>
          <w:tcPr>
            <w:tcW w:w="3213" w:type="dxa"/>
            <w:tcBorders>
              <w:top w:val="single" w:color="auto" w:sz="2" w:space="0"/>
              <w:left w:val="single" w:color="auto" w:sz="2" w:space="0"/>
              <w:bottom w:val="single" w:color="auto" w:sz="2" w:space="0"/>
              <w:right w:val="single" w:color="auto" w:sz="2" w:space="0"/>
            </w:tcBorders>
            <w:vAlign w:val="center"/>
          </w:tcPr>
          <w:p w14:paraId="6663FD70">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601037E">
            <w:pPr>
              <w:spacing w:line="240" w:lineRule="exact"/>
              <w:jc w:val="right"/>
              <w:rPr>
                <w:rFonts w:ascii="Times New Roman" w:hAnsi="Times New Roman" w:cs="Times New Roman" w:eastAsiaTheme="majorEastAsia"/>
                <w:sz w:val="18"/>
                <w:szCs w:val="18"/>
              </w:rPr>
            </w:pPr>
          </w:p>
        </w:tc>
      </w:tr>
      <w:tr w14:paraId="60CB3B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B5A100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借款</w:t>
            </w:r>
          </w:p>
        </w:tc>
        <w:tc>
          <w:tcPr>
            <w:tcW w:w="3213" w:type="dxa"/>
            <w:tcBorders>
              <w:top w:val="single" w:color="auto" w:sz="2" w:space="0"/>
              <w:left w:val="single" w:color="auto" w:sz="2" w:space="0"/>
              <w:bottom w:val="single" w:color="auto" w:sz="2" w:space="0"/>
              <w:right w:val="single" w:color="auto" w:sz="2" w:space="0"/>
            </w:tcBorders>
            <w:vAlign w:val="center"/>
          </w:tcPr>
          <w:p w14:paraId="758D532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39D437E2">
            <w:pPr>
              <w:spacing w:line="240" w:lineRule="exact"/>
              <w:jc w:val="right"/>
              <w:rPr>
                <w:rFonts w:ascii="Times New Roman" w:hAnsi="Times New Roman" w:cs="Times New Roman" w:eastAsiaTheme="majorEastAsia"/>
                <w:sz w:val="18"/>
                <w:szCs w:val="18"/>
              </w:rPr>
            </w:pPr>
          </w:p>
        </w:tc>
      </w:tr>
      <w:tr w14:paraId="7006BD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C21715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应付款项</w:t>
            </w:r>
          </w:p>
        </w:tc>
        <w:tc>
          <w:tcPr>
            <w:tcW w:w="3213" w:type="dxa"/>
            <w:tcBorders>
              <w:top w:val="single" w:color="auto" w:sz="2" w:space="0"/>
              <w:left w:val="single" w:color="auto" w:sz="2" w:space="0"/>
              <w:bottom w:val="single" w:color="auto" w:sz="2" w:space="0"/>
              <w:right w:val="single" w:color="auto" w:sz="2" w:space="0"/>
            </w:tcBorders>
            <w:vAlign w:val="center"/>
          </w:tcPr>
          <w:p w14:paraId="64B706B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2,307,129.85</w:t>
            </w:r>
          </w:p>
        </w:tc>
        <w:tc>
          <w:tcPr>
            <w:tcW w:w="3213" w:type="dxa"/>
            <w:tcBorders>
              <w:top w:val="single" w:color="auto" w:sz="2" w:space="0"/>
              <w:left w:val="single" w:color="auto" w:sz="2" w:space="0"/>
              <w:bottom w:val="single" w:color="auto" w:sz="2" w:space="0"/>
              <w:right w:val="single" w:color="auto" w:sz="2" w:space="0"/>
            </w:tcBorders>
            <w:vAlign w:val="center"/>
          </w:tcPr>
          <w:p w14:paraId="32E163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2,307,129.85</w:t>
            </w:r>
          </w:p>
        </w:tc>
      </w:tr>
      <w:tr w14:paraId="773DD8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D292FF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递延所得税负债</w:t>
            </w:r>
          </w:p>
        </w:tc>
        <w:tc>
          <w:tcPr>
            <w:tcW w:w="3213" w:type="dxa"/>
            <w:tcBorders>
              <w:top w:val="single" w:color="auto" w:sz="2" w:space="0"/>
              <w:left w:val="single" w:color="auto" w:sz="2" w:space="0"/>
              <w:bottom w:val="single" w:color="auto" w:sz="2" w:space="0"/>
              <w:right w:val="single" w:color="auto" w:sz="2" w:space="0"/>
            </w:tcBorders>
            <w:vAlign w:val="center"/>
          </w:tcPr>
          <w:p w14:paraId="3A078632">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0B0623F8">
            <w:pPr>
              <w:spacing w:line="240" w:lineRule="exact"/>
              <w:jc w:val="right"/>
              <w:rPr>
                <w:rFonts w:ascii="Times New Roman" w:hAnsi="Times New Roman" w:cs="Times New Roman" w:eastAsiaTheme="majorEastAsia"/>
                <w:sz w:val="18"/>
                <w:szCs w:val="18"/>
              </w:rPr>
            </w:pPr>
          </w:p>
        </w:tc>
      </w:tr>
      <w:tr w14:paraId="2B7DBD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E9F697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净资产</w:t>
            </w:r>
          </w:p>
        </w:tc>
        <w:tc>
          <w:tcPr>
            <w:tcW w:w="3213" w:type="dxa"/>
            <w:tcBorders>
              <w:top w:val="single" w:color="auto" w:sz="2" w:space="0"/>
              <w:left w:val="single" w:color="auto" w:sz="2" w:space="0"/>
              <w:bottom w:val="single" w:color="auto" w:sz="2" w:space="0"/>
              <w:right w:val="single" w:color="auto" w:sz="2" w:space="0"/>
            </w:tcBorders>
            <w:vAlign w:val="center"/>
          </w:tcPr>
          <w:p w14:paraId="67684A6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-595,997.39</w:t>
            </w:r>
          </w:p>
        </w:tc>
        <w:tc>
          <w:tcPr>
            <w:tcW w:w="3213" w:type="dxa"/>
            <w:tcBorders>
              <w:top w:val="single" w:color="auto" w:sz="2" w:space="0"/>
              <w:left w:val="single" w:color="auto" w:sz="2" w:space="0"/>
              <w:bottom w:val="single" w:color="auto" w:sz="2" w:space="0"/>
              <w:right w:val="single" w:color="auto" w:sz="2" w:space="0"/>
            </w:tcBorders>
            <w:vAlign w:val="center"/>
          </w:tcPr>
          <w:p w14:paraId="36837C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-595,997.39</w:t>
            </w:r>
          </w:p>
        </w:tc>
      </w:tr>
      <w:tr w14:paraId="0E535F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0EB6A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减：少数股东权益</w:t>
            </w:r>
          </w:p>
        </w:tc>
        <w:tc>
          <w:tcPr>
            <w:tcW w:w="3213" w:type="dxa"/>
            <w:tcBorders>
              <w:top w:val="single" w:color="auto" w:sz="2" w:space="0"/>
              <w:left w:val="single" w:color="auto" w:sz="2" w:space="0"/>
              <w:bottom w:val="single" w:color="auto" w:sz="2" w:space="0"/>
              <w:right w:val="single" w:color="auto" w:sz="2" w:space="0"/>
            </w:tcBorders>
            <w:vAlign w:val="center"/>
          </w:tcPr>
          <w:p w14:paraId="5715C5AA">
            <w:pPr>
              <w:spacing w:line="240" w:lineRule="exact"/>
              <w:jc w:val="right"/>
              <w:rPr>
                <w:rFonts w:ascii="Times New Roman" w:hAnsi="Times New Roman" w:cs="Times New Roman" w:eastAsiaTheme="majorEastAsia"/>
                <w:sz w:val="18"/>
                <w:szCs w:val="18"/>
              </w:rPr>
            </w:pPr>
          </w:p>
        </w:tc>
        <w:tc>
          <w:tcPr>
            <w:tcW w:w="3213" w:type="dxa"/>
            <w:tcBorders>
              <w:top w:val="single" w:color="auto" w:sz="2" w:space="0"/>
              <w:left w:val="single" w:color="auto" w:sz="2" w:space="0"/>
              <w:bottom w:val="single" w:color="auto" w:sz="2" w:space="0"/>
              <w:right w:val="single" w:color="auto" w:sz="2" w:space="0"/>
            </w:tcBorders>
            <w:vAlign w:val="center"/>
          </w:tcPr>
          <w:p w14:paraId="2B420E22">
            <w:pPr>
              <w:spacing w:line="240" w:lineRule="exact"/>
              <w:jc w:val="right"/>
              <w:rPr>
                <w:rFonts w:ascii="Times New Roman" w:hAnsi="Times New Roman" w:cs="Times New Roman" w:eastAsiaTheme="majorEastAsia"/>
                <w:sz w:val="18"/>
                <w:szCs w:val="18"/>
              </w:rPr>
            </w:pPr>
          </w:p>
        </w:tc>
      </w:tr>
      <w:tr w14:paraId="36F6D8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BF2F1B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取得的净资产</w:t>
            </w:r>
          </w:p>
        </w:tc>
        <w:tc>
          <w:tcPr>
            <w:tcW w:w="3213" w:type="dxa"/>
            <w:tcBorders>
              <w:top w:val="single" w:color="auto" w:sz="2" w:space="0"/>
              <w:left w:val="single" w:color="auto" w:sz="2" w:space="0"/>
              <w:bottom w:val="single" w:color="auto" w:sz="2" w:space="0"/>
              <w:right w:val="single" w:color="auto" w:sz="2" w:space="0"/>
            </w:tcBorders>
            <w:vAlign w:val="center"/>
          </w:tcPr>
          <w:p w14:paraId="389134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-595,997.39</w:t>
            </w:r>
          </w:p>
        </w:tc>
        <w:tc>
          <w:tcPr>
            <w:tcW w:w="3213" w:type="dxa"/>
            <w:tcBorders>
              <w:top w:val="single" w:color="auto" w:sz="2" w:space="0"/>
              <w:left w:val="single" w:color="auto" w:sz="2" w:space="0"/>
              <w:bottom w:val="single" w:color="auto" w:sz="2" w:space="0"/>
              <w:right w:val="single" w:color="auto" w:sz="2" w:space="0"/>
            </w:tcBorders>
            <w:vAlign w:val="center"/>
          </w:tcPr>
          <w:p w14:paraId="59E0A3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-595,997.39</w:t>
            </w:r>
          </w:p>
        </w:tc>
      </w:tr>
    </w:tbl>
    <w:p w14:paraId="6A1A98B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可辨认资产、负债公允价值的确定方法：</w:t>
      </w:r>
      <w:r>
        <w:rPr>
          <w:rFonts w:hint="eastAsia" w:ascii="Times New Roman" w:hAnsi="Times New Roman" w:cs="Times New Roman" w:eastAsiaTheme="majorEastAsia"/>
          <w:sz w:val="18"/>
          <w:szCs w:val="18"/>
        </w:rPr>
        <w:t>不适用。</w:t>
      </w:r>
    </w:p>
    <w:p w14:paraId="174465D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企业合并中承担的被购买方的或有负债：</w:t>
      </w:r>
      <w:r>
        <w:rPr>
          <w:rFonts w:hint="eastAsia" w:ascii="Times New Roman" w:hAnsi="Times New Roman" w:cs="Times New Roman" w:eastAsiaTheme="majorEastAsia"/>
          <w:sz w:val="18"/>
          <w:szCs w:val="18"/>
        </w:rPr>
        <w:t>不适用。</w:t>
      </w:r>
    </w:p>
    <w:p w14:paraId="6AFEB5F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0AF94270">
      <w:pPr>
        <w:keepNext/>
        <w:keepLines/>
        <w:spacing w:before="300" w:after="300" w:line="280" w:lineRule="exact"/>
        <w:outlineLvl w:val="3"/>
        <w:rPr>
          <w:rFonts w:ascii="Times New Roman" w:hAnsi="Times New Roman" w:cs="Times New Roman" w:eastAsiaTheme="majorEastAsia"/>
          <w:b/>
          <w:bCs/>
          <w:sz w:val="18"/>
          <w:szCs w:val="18"/>
        </w:rPr>
      </w:pPr>
      <w:bookmarkStart w:id="398" w:name="_Toc989287"/>
      <w:r>
        <w:rPr>
          <w:rFonts w:ascii="Times New Roman" w:hAnsi="Times New Roman" w:cs="Times New Roman" w:eastAsiaTheme="majorEastAsia"/>
          <w:b/>
          <w:bCs/>
          <w:sz w:val="18"/>
          <w:szCs w:val="18"/>
        </w:rPr>
        <w:t>（4） 购买日之前持有的股权按照公允价值重新计量产生的利得或损失</w:t>
      </w:r>
      <w:bookmarkEnd w:id="398"/>
    </w:p>
    <w:p w14:paraId="7BCD447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是否存在通过多次交易分步实现企业合并且在报告期内取得控制权的交易</w:t>
      </w:r>
    </w:p>
    <w:p w14:paraId="3482D7C5">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4AE0AA0C">
      <w:pPr>
        <w:keepNext/>
        <w:keepLines/>
        <w:spacing w:before="300" w:after="300" w:line="280" w:lineRule="exact"/>
        <w:outlineLvl w:val="3"/>
        <w:rPr>
          <w:rFonts w:ascii="Times New Roman" w:hAnsi="Times New Roman" w:cs="Times New Roman" w:eastAsiaTheme="majorEastAsia"/>
          <w:b/>
          <w:bCs/>
          <w:sz w:val="18"/>
          <w:szCs w:val="18"/>
        </w:rPr>
      </w:pPr>
      <w:bookmarkStart w:id="399" w:name="_Toc989288"/>
      <w:r>
        <w:rPr>
          <w:rFonts w:ascii="Times New Roman" w:hAnsi="Times New Roman" w:cs="Times New Roman" w:eastAsiaTheme="majorEastAsia"/>
          <w:b/>
          <w:bCs/>
          <w:sz w:val="18"/>
          <w:szCs w:val="18"/>
        </w:rPr>
        <w:t>（5） 购买日或合并当期期末无法合理确定合并对价或被购买方可辨认资产、负债公允价值的相关说明</w:t>
      </w:r>
      <w:bookmarkEnd w:id="399"/>
    </w:p>
    <w:p w14:paraId="5006C36C">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07F7A335">
      <w:pPr>
        <w:keepNext/>
        <w:keepLines/>
        <w:spacing w:before="300" w:after="300" w:line="280" w:lineRule="exact"/>
        <w:outlineLvl w:val="3"/>
        <w:rPr>
          <w:rFonts w:ascii="Times New Roman" w:hAnsi="Times New Roman" w:cs="Times New Roman" w:eastAsiaTheme="majorEastAsia"/>
          <w:b/>
          <w:bCs/>
          <w:sz w:val="18"/>
          <w:szCs w:val="18"/>
        </w:rPr>
      </w:pPr>
      <w:bookmarkStart w:id="400" w:name="_Toc989289"/>
      <w:r>
        <w:rPr>
          <w:rFonts w:ascii="Times New Roman" w:hAnsi="Times New Roman" w:cs="Times New Roman" w:eastAsiaTheme="majorEastAsia"/>
          <w:b/>
          <w:bCs/>
          <w:sz w:val="18"/>
          <w:szCs w:val="18"/>
        </w:rPr>
        <w:t>（6） 其他说明</w:t>
      </w:r>
      <w:bookmarkEnd w:id="400"/>
    </w:p>
    <w:p w14:paraId="49A0993A">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091DD4C6">
      <w:pPr>
        <w:pStyle w:val="3"/>
        <w:spacing w:line="280" w:lineRule="exact"/>
        <w:jc w:val="left"/>
        <w:rPr>
          <w:rFonts w:ascii="Times New Roman" w:hAnsi="Times New Roman" w:cs="Times New Roman" w:eastAsiaTheme="majorEastAsia"/>
          <w:b/>
          <w:bCs/>
        </w:rPr>
      </w:pPr>
      <w:bookmarkStart w:id="401" w:name="_Toc989290"/>
      <w:r>
        <w:rPr>
          <w:rFonts w:ascii="Times New Roman" w:hAnsi="Times New Roman" w:cs="Times New Roman" w:eastAsiaTheme="majorEastAsia"/>
          <w:b/>
          <w:bCs/>
        </w:rPr>
        <w:t>2、同一控制下企业合并</w:t>
      </w:r>
      <w:bookmarkEnd w:id="401"/>
    </w:p>
    <w:p w14:paraId="38DA502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不适用。</w:t>
      </w:r>
    </w:p>
    <w:p w14:paraId="7E43FA10">
      <w:pPr>
        <w:pStyle w:val="3"/>
        <w:spacing w:line="280" w:lineRule="exact"/>
        <w:jc w:val="left"/>
        <w:rPr>
          <w:rFonts w:ascii="Times New Roman" w:hAnsi="Times New Roman" w:cs="Times New Roman" w:eastAsiaTheme="majorEastAsia"/>
          <w:b/>
          <w:bCs/>
        </w:rPr>
      </w:pPr>
      <w:bookmarkStart w:id="402" w:name="_Toc989294"/>
      <w:r>
        <w:rPr>
          <w:rFonts w:ascii="Times New Roman" w:hAnsi="Times New Roman" w:cs="Times New Roman" w:eastAsiaTheme="majorEastAsia"/>
          <w:b/>
          <w:bCs/>
        </w:rPr>
        <w:t>3、反向购买</w:t>
      </w:r>
      <w:bookmarkEnd w:id="402"/>
    </w:p>
    <w:p w14:paraId="6910E6BB">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其他说明：不适用。</w:t>
      </w:r>
    </w:p>
    <w:p w14:paraId="63DD5DDC">
      <w:pPr>
        <w:pStyle w:val="3"/>
        <w:spacing w:line="280" w:lineRule="exact"/>
        <w:jc w:val="left"/>
        <w:rPr>
          <w:rFonts w:ascii="Times New Roman" w:hAnsi="Times New Roman" w:cs="Times New Roman" w:eastAsiaTheme="majorEastAsia"/>
          <w:b/>
          <w:bCs/>
        </w:rPr>
      </w:pPr>
      <w:bookmarkStart w:id="403" w:name="_Toc989295"/>
      <w:r>
        <w:rPr>
          <w:rFonts w:ascii="Times New Roman" w:hAnsi="Times New Roman" w:cs="Times New Roman" w:eastAsiaTheme="majorEastAsia"/>
          <w:b/>
          <w:bCs/>
        </w:rPr>
        <w:t>4、处置子公司</w:t>
      </w:r>
      <w:bookmarkEnd w:id="403"/>
    </w:p>
    <w:p w14:paraId="771D2CD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本期是否存在丧失子公司控制权的交易或事项</w:t>
      </w:r>
    </w:p>
    <w:p w14:paraId="5A2056F2">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7C0FABDF">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是否存在通过多次交易分步处置对子公司投资且在本期丧失控制权的情形</w:t>
      </w:r>
    </w:p>
    <w:p w14:paraId="056A75F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是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否</w:t>
      </w:r>
    </w:p>
    <w:p w14:paraId="5649DE4A">
      <w:pPr>
        <w:pStyle w:val="3"/>
        <w:spacing w:line="280" w:lineRule="exact"/>
        <w:jc w:val="left"/>
        <w:rPr>
          <w:rFonts w:ascii="Times New Roman" w:hAnsi="Times New Roman" w:cs="Times New Roman" w:eastAsiaTheme="majorEastAsia"/>
          <w:b/>
          <w:bCs/>
        </w:rPr>
      </w:pPr>
      <w:bookmarkStart w:id="404" w:name="_Toc989296"/>
      <w:r>
        <w:rPr>
          <w:rFonts w:ascii="Times New Roman" w:hAnsi="Times New Roman" w:cs="Times New Roman" w:eastAsiaTheme="majorEastAsia"/>
          <w:b/>
          <w:bCs/>
        </w:rPr>
        <w:t>5、其他原因的合并范围变动</w:t>
      </w:r>
      <w:bookmarkEnd w:id="404"/>
    </w:p>
    <w:p w14:paraId="7DFF7BC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说明其他原因导致的合并范围变动（如新设子公司、清算子公司等）及其相关情况：</w:t>
      </w:r>
    </w:p>
    <w:p w14:paraId="08982E1F">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详见本报告第三节 管理层讨论 九、主要控股参股公司分析。</w:t>
      </w:r>
    </w:p>
    <w:p w14:paraId="5BCE0744">
      <w:pPr>
        <w:pStyle w:val="3"/>
        <w:spacing w:line="280" w:lineRule="exact"/>
        <w:jc w:val="left"/>
        <w:rPr>
          <w:rFonts w:ascii="Times New Roman" w:hAnsi="Times New Roman" w:cs="Times New Roman" w:eastAsiaTheme="majorEastAsia"/>
          <w:b/>
          <w:bCs/>
        </w:rPr>
      </w:pPr>
      <w:bookmarkStart w:id="405" w:name="_Toc989297"/>
      <w:r>
        <w:rPr>
          <w:rFonts w:ascii="Times New Roman" w:hAnsi="Times New Roman" w:cs="Times New Roman" w:eastAsiaTheme="majorEastAsia"/>
          <w:b/>
          <w:bCs/>
        </w:rPr>
        <w:t>6、其他</w:t>
      </w:r>
      <w:bookmarkEnd w:id="405"/>
    </w:p>
    <w:p w14:paraId="49C779E6">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1C092E42">
      <w:pPr>
        <w:pStyle w:val="2"/>
        <w:spacing w:before="300" w:after="300" w:line="320" w:lineRule="exact"/>
        <w:rPr>
          <w:rFonts w:ascii="Times New Roman" w:hAnsi="Times New Roman" w:cs="Times New Roman" w:eastAsiaTheme="majorEastAsia"/>
          <w:b/>
          <w:bCs/>
          <w:sz w:val="24"/>
          <w:szCs w:val="24"/>
        </w:rPr>
      </w:pPr>
      <w:bookmarkStart w:id="406" w:name="_Toc989298"/>
      <w:r>
        <w:rPr>
          <w:rFonts w:ascii="Times New Roman" w:hAnsi="Times New Roman" w:cs="Times New Roman" w:eastAsiaTheme="majorEastAsia"/>
          <w:b/>
          <w:bCs/>
          <w:sz w:val="24"/>
          <w:szCs w:val="24"/>
        </w:rPr>
        <w:t>十、在其他主体中的权益</w:t>
      </w:r>
      <w:bookmarkEnd w:id="406"/>
    </w:p>
    <w:p w14:paraId="6C21AAA0">
      <w:pPr>
        <w:pStyle w:val="3"/>
        <w:spacing w:line="280" w:lineRule="exact"/>
        <w:jc w:val="left"/>
        <w:rPr>
          <w:rFonts w:ascii="Times New Roman" w:hAnsi="Times New Roman" w:cs="Times New Roman" w:eastAsiaTheme="majorEastAsia"/>
          <w:b/>
          <w:bCs/>
        </w:rPr>
      </w:pPr>
      <w:bookmarkStart w:id="407" w:name="_Toc989299"/>
      <w:r>
        <w:rPr>
          <w:rFonts w:ascii="Times New Roman" w:hAnsi="Times New Roman" w:cs="Times New Roman" w:eastAsiaTheme="majorEastAsia"/>
          <w:b/>
          <w:bCs/>
        </w:rPr>
        <w:t>1、在子公司中的权益</w:t>
      </w:r>
      <w:bookmarkEnd w:id="407"/>
    </w:p>
    <w:p w14:paraId="6729D508">
      <w:pPr>
        <w:keepNext/>
        <w:keepLines/>
        <w:spacing w:before="300" w:after="300" w:line="280" w:lineRule="exact"/>
        <w:outlineLvl w:val="3"/>
        <w:rPr>
          <w:rFonts w:ascii="Times New Roman" w:hAnsi="Times New Roman" w:cs="Times New Roman" w:eastAsiaTheme="majorEastAsia"/>
          <w:b/>
          <w:bCs/>
          <w:sz w:val="18"/>
          <w:szCs w:val="18"/>
        </w:rPr>
      </w:pPr>
      <w:bookmarkStart w:id="408" w:name="_Toc989300"/>
      <w:r>
        <w:rPr>
          <w:rFonts w:ascii="Times New Roman" w:hAnsi="Times New Roman" w:cs="Times New Roman" w:eastAsiaTheme="majorEastAsia"/>
          <w:b/>
          <w:bCs/>
          <w:sz w:val="18"/>
          <w:szCs w:val="18"/>
        </w:rPr>
        <w:t>（1） 企业集团的构成</w:t>
      </w:r>
      <w:bookmarkEnd w:id="408"/>
    </w:p>
    <w:p w14:paraId="1E7F473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49"/>
        <w:gridCol w:w="1251"/>
        <w:gridCol w:w="874"/>
        <w:gridCol w:w="754"/>
        <w:gridCol w:w="1651"/>
        <w:gridCol w:w="861"/>
        <w:gridCol w:w="861"/>
        <w:gridCol w:w="1352"/>
      </w:tblGrid>
      <w:tr w14:paraId="7C07FB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420C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子公司名称</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0F9FD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注册资本</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A2826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主要经营地</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02066C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注册地</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606E9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业务性质</w:t>
            </w:r>
          </w:p>
        </w:tc>
        <w:tc>
          <w:tcPr>
            <w:tcW w:w="0" w:type="auto"/>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AF1573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持股比例</w:t>
            </w:r>
          </w:p>
        </w:tc>
        <w:tc>
          <w:tcPr>
            <w:tcW w:w="0" w:type="auto"/>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F6172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取得方式</w:t>
            </w:r>
          </w:p>
        </w:tc>
      </w:tr>
      <w:tr w14:paraId="5667EC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537750F">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530248">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168AC3F">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F0D1EB4">
            <w:pPr>
              <w:rPr>
                <w:rFonts w:ascii="Times New Roman" w:hAnsi="Times New Roman" w:cs="Times New Roman" w:eastAsiaTheme="majorEastAsia"/>
              </w:rPr>
            </w:pP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10310BE">
            <w:pPr>
              <w:rPr>
                <w:rFonts w:ascii="Times New Roman" w:hAnsi="Times New Roman" w:cs="Times New Roman" w:eastAsiaTheme="majorEastAsia"/>
              </w:rPr>
            </w:pP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12D29A0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w:t>
            </w:r>
          </w:p>
        </w:tc>
        <w:tc>
          <w:tcPr>
            <w:tcW w:w="0" w:type="auto"/>
            <w:tcBorders>
              <w:top w:val="single" w:color="auto" w:sz="2" w:space="0"/>
              <w:left w:val="single" w:color="auto" w:sz="2" w:space="0"/>
              <w:bottom w:val="single" w:color="auto" w:sz="2" w:space="0"/>
              <w:right w:val="single" w:color="auto" w:sz="2" w:space="0"/>
            </w:tcBorders>
            <w:shd w:val="clear" w:color="auto" w:fill="D3D3D3"/>
            <w:vAlign w:val="center"/>
          </w:tcPr>
          <w:p w14:paraId="4D9124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间接</w:t>
            </w:r>
          </w:p>
        </w:tc>
        <w:tc>
          <w:tcPr>
            <w:tcW w:w="0" w:type="auto"/>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950DD2">
            <w:pPr>
              <w:rPr>
                <w:rFonts w:ascii="Times New Roman" w:hAnsi="Times New Roman" w:cs="Times New Roman" w:eastAsiaTheme="majorEastAsia"/>
              </w:rPr>
            </w:pPr>
          </w:p>
        </w:tc>
      </w:tr>
      <w:tr w14:paraId="068141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101C9C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25D214EF">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53,900,000.00</w:t>
            </w:r>
          </w:p>
        </w:tc>
        <w:tc>
          <w:tcPr>
            <w:tcW w:w="0" w:type="auto"/>
            <w:tcBorders>
              <w:top w:val="single" w:color="auto" w:sz="2" w:space="0"/>
              <w:left w:val="single" w:color="auto" w:sz="2" w:space="0"/>
              <w:bottom w:val="single" w:color="auto" w:sz="2" w:space="0"/>
              <w:right w:val="single" w:color="auto" w:sz="2" w:space="0"/>
            </w:tcBorders>
            <w:vAlign w:val="center"/>
          </w:tcPr>
          <w:p w14:paraId="3DB3950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6A20F6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0CA235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0" w:type="auto"/>
            <w:tcBorders>
              <w:top w:val="single" w:color="auto" w:sz="2" w:space="0"/>
              <w:left w:val="single" w:color="auto" w:sz="2" w:space="0"/>
              <w:bottom w:val="single" w:color="auto" w:sz="2" w:space="0"/>
              <w:right w:val="single" w:color="auto" w:sz="2" w:space="0"/>
            </w:tcBorders>
            <w:vAlign w:val="center"/>
          </w:tcPr>
          <w:p w14:paraId="4DEA18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3BD93970">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4DB63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4D604A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CF181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广东翼启数据产业有限公司</w:t>
            </w:r>
          </w:p>
        </w:tc>
        <w:tc>
          <w:tcPr>
            <w:tcW w:w="0" w:type="auto"/>
            <w:tcBorders>
              <w:top w:val="single" w:color="auto" w:sz="2" w:space="0"/>
              <w:left w:val="single" w:color="auto" w:sz="2" w:space="0"/>
              <w:bottom w:val="single" w:color="auto" w:sz="2" w:space="0"/>
              <w:right w:val="single" w:color="auto" w:sz="2" w:space="0"/>
            </w:tcBorders>
            <w:vAlign w:val="center"/>
          </w:tcPr>
          <w:p w14:paraId="6716D5AC">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12,500,000.00</w:t>
            </w:r>
          </w:p>
        </w:tc>
        <w:tc>
          <w:tcPr>
            <w:tcW w:w="0" w:type="auto"/>
            <w:tcBorders>
              <w:top w:val="single" w:color="auto" w:sz="2" w:space="0"/>
              <w:left w:val="single" w:color="auto" w:sz="2" w:space="0"/>
              <w:bottom w:val="single" w:color="auto" w:sz="2" w:space="0"/>
              <w:right w:val="single" w:color="auto" w:sz="2" w:space="0"/>
            </w:tcBorders>
            <w:vAlign w:val="center"/>
          </w:tcPr>
          <w:p w14:paraId="5ACA66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265E64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058BE1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软件和信息技术服务业</w:t>
            </w:r>
          </w:p>
        </w:tc>
        <w:tc>
          <w:tcPr>
            <w:tcW w:w="0" w:type="auto"/>
            <w:tcBorders>
              <w:top w:val="single" w:color="auto" w:sz="2" w:space="0"/>
              <w:left w:val="single" w:color="auto" w:sz="2" w:space="0"/>
              <w:bottom w:val="single" w:color="auto" w:sz="2" w:space="0"/>
              <w:right w:val="single" w:color="auto" w:sz="2" w:space="0"/>
            </w:tcBorders>
            <w:vAlign w:val="center"/>
          </w:tcPr>
          <w:p w14:paraId="1CEBEABA">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7DCD2F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1C2E0A8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450E8A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18340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43AB7480">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50,000,000.00</w:t>
            </w:r>
          </w:p>
        </w:tc>
        <w:tc>
          <w:tcPr>
            <w:tcW w:w="0" w:type="auto"/>
            <w:tcBorders>
              <w:top w:val="single" w:color="auto" w:sz="2" w:space="0"/>
              <w:left w:val="single" w:color="auto" w:sz="2" w:space="0"/>
              <w:bottom w:val="single" w:color="auto" w:sz="2" w:space="0"/>
              <w:right w:val="single" w:color="auto" w:sz="2" w:space="0"/>
            </w:tcBorders>
            <w:vAlign w:val="center"/>
          </w:tcPr>
          <w:p w14:paraId="7A5940A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6230503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4294DE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0" w:type="auto"/>
            <w:tcBorders>
              <w:top w:val="single" w:color="auto" w:sz="2" w:space="0"/>
              <w:left w:val="single" w:color="auto" w:sz="2" w:space="0"/>
              <w:bottom w:val="single" w:color="auto" w:sz="2" w:space="0"/>
              <w:right w:val="single" w:color="auto" w:sz="2" w:space="0"/>
            </w:tcBorders>
            <w:vAlign w:val="center"/>
          </w:tcPr>
          <w:p w14:paraId="6511DC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2EC1263B">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9525A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748F6A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28D626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32814CE1">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7E56F0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1F3B02F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2D3622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0" w:type="auto"/>
            <w:tcBorders>
              <w:top w:val="single" w:color="auto" w:sz="2" w:space="0"/>
              <w:left w:val="single" w:color="auto" w:sz="2" w:space="0"/>
              <w:bottom w:val="single" w:color="auto" w:sz="2" w:space="0"/>
              <w:right w:val="single" w:color="auto" w:sz="2" w:space="0"/>
            </w:tcBorders>
            <w:vAlign w:val="center"/>
          </w:tcPr>
          <w:p w14:paraId="589052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7393976F">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9F69C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424FF0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AB229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2F7AF27">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02508B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154004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341CF17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研究和试验发展</w:t>
            </w:r>
          </w:p>
        </w:tc>
        <w:tc>
          <w:tcPr>
            <w:tcW w:w="0" w:type="auto"/>
            <w:tcBorders>
              <w:top w:val="single" w:color="auto" w:sz="2" w:space="0"/>
              <w:left w:val="single" w:color="auto" w:sz="2" w:space="0"/>
              <w:bottom w:val="single" w:color="auto" w:sz="2" w:space="0"/>
              <w:right w:val="single" w:color="auto" w:sz="2" w:space="0"/>
            </w:tcBorders>
            <w:vAlign w:val="center"/>
          </w:tcPr>
          <w:p w14:paraId="045D1F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64E13ED5">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EF4535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2AE70F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D84E99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粤科睿肯（上海）科技有限公司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22FF20DC">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2,000,000.00</w:t>
            </w:r>
          </w:p>
        </w:tc>
        <w:tc>
          <w:tcPr>
            <w:tcW w:w="0" w:type="auto"/>
            <w:tcBorders>
              <w:top w:val="single" w:color="auto" w:sz="2" w:space="0"/>
              <w:left w:val="single" w:color="auto" w:sz="2" w:space="0"/>
              <w:bottom w:val="single" w:color="auto" w:sz="2" w:space="0"/>
              <w:right w:val="single" w:color="auto" w:sz="2" w:space="0"/>
            </w:tcBorders>
            <w:vAlign w:val="center"/>
          </w:tcPr>
          <w:p w14:paraId="224DEF3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上海市</w:t>
            </w:r>
          </w:p>
        </w:tc>
        <w:tc>
          <w:tcPr>
            <w:tcW w:w="0" w:type="auto"/>
            <w:tcBorders>
              <w:top w:val="single" w:color="auto" w:sz="2" w:space="0"/>
              <w:left w:val="single" w:color="auto" w:sz="2" w:space="0"/>
              <w:bottom w:val="single" w:color="auto" w:sz="2" w:space="0"/>
              <w:right w:val="single" w:color="auto" w:sz="2" w:space="0"/>
            </w:tcBorders>
            <w:vAlign w:val="center"/>
          </w:tcPr>
          <w:p w14:paraId="08BFDF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上海市</w:t>
            </w:r>
          </w:p>
        </w:tc>
        <w:tc>
          <w:tcPr>
            <w:tcW w:w="0" w:type="auto"/>
            <w:tcBorders>
              <w:top w:val="single" w:color="auto" w:sz="2" w:space="0"/>
              <w:left w:val="single" w:color="auto" w:sz="2" w:space="0"/>
              <w:bottom w:val="single" w:color="auto" w:sz="2" w:space="0"/>
              <w:right w:val="single" w:color="auto" w:sz="2" w:space="0"/>
            </w:tcBorders>
            <w:vAlign w:val="center"/>
          </w:tcPr>
          <w:p w14:paraId="2D3CC0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软件和信息技术服务业</w:t>
            </w:r>
          </w:p>
        </w:tc>
        <w:tc>
          <w:tcPr>
            <w:tcW w:w="0" w:type="auto"/>
            <w:tcBorders>
              <w:top w:val="single" w:color="auto" w:sz="2" w:space="0"/>
              <w:left w:val="single" w:color="auto" w:sz="2" w:space="0"/>
              <w:bottom w:val="single" w:color="auto" w:sz="2" w:space="0"/>
              <w:right w:val="single" w:color="auto" w:sz="2" w:space="0"/>
            </w:tcBorders>
            <w:vAlign w:val="center"/>
          </w:tcPr>
          <w:p w14:paraId="1F4B0AD6">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CC1E0F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40634E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383450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54F4E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27932B1">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454D14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0FCD626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6459E2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61804A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77927F01">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CBC2D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3B5106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1DA54D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桓台爱康新能源有限公司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8556136">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8,208,000.00</w:t>
            </w:r>
          </w:p>
        </w:tc>
        <w:tc>
          <w:tcPr>
            <w:tcW w:w="0" w:type="auto"/>
            <w:tcBorders>
              <w:top w:val="single" w:color="auto" w:sz="2" w:space="0"/>
              <w:left w:val="single" w:color="auto" w:sz="2" w:space="0"/>
              <w:bottom w:val="single" w:color="auto" w:sz="2" w:space="0"/>
              <w:right w:val="single" w:color="auto" w:sz="2" w:space="0"/>
            </w:tcBorders>
            <w:vAlign w:val="center"/>
          </w:tcPr>
          <w:p w14:paraId="579E3E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淄博市</w:t>
            </w:r>
          </w:p>
        </w:tc>
        <w:tc>
          <w:tcPr>
            <w:tcW w:w="0" w:type="auto"/>
            <w:tcBorders>
              <w:top w:val="single" w:color="auto" w:sz="2" w:space="0"/>
              <w:left w:val="single" w:color="auto" w:sz="2" w:space="0"/>
              <w:bottom w:val="single" w:color="auto" w:sz="2" w:space="0"/>
              <w:right w:val="single" w:color="auto" w:sz="2" w:space="0"/>
            </w:tcBorders>
            <w:vAlign w:val="center"/>
          </w:tcPr>
          <w:p w14:paraId="0D35067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淄博市</w:t>
            </w:r>
          </w:p>
        </w:tc>
        <w:tc>
          <w:tcPr>
            <w:tcW w:w="0" w:type="auto"/>
            <w:tcBorders>
              <w:top w:val="single" w:color="auto" w:sz="2" w:space="0"/>
              <w:left w:val="single" w:color="auto" w:sz="2" w:space="0"/>
              <w:bottom w:val="single" w:color="auto" w:sz="2" w:space="0"/>
              <w:right w:val="single" w:color="auto" w:sz="2" w:space="0"/>
            </w:tcBorders>
            <w:vAlign w:val="center"/>
          </w:tcPr>
          <w:p w14:paraId="2F7E4C2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6F7A49A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714DCDE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0A4471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56C12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EFAAA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桓台爱道光伏发电有限公司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973FE4A">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9,120,000.00</w:t>
            </w:r>
          </w:p>
        </w:tc>
        <w:tc>
          <w:tcPr>
            <w:tcW w:w="0" w:type="auto"/>
            <w:tcBorders>
              <w:top w:val="single" w:color="auto" w:sz="2" w:space="0"/>
              <w:left w:val="single" w:color="auto" w:sz="2" w:space="0"/>
              <w:bottom w:val="single" w:color="auto" w:sz="2" w:space="0"/>
              <w:right w:val="single" w:color="auto" w:sz="2" w:space="0"/>
            </w:tcBorders>
            <w:vAlign w:val="center"/>
          </w:tcPr>
          <w:p w14:paraId="3258C34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淄博市</w:t>
            </w:r>
          </w:p>
        </w:tc>
        <w:tc>
          <w:tcPr>
            <w:tcW w:w="0" w:type="auto"/>
            <w:tcBorders>
              <w:top w:val="single" w:color="auto" w:sz="2" w:space="0"/>
              <w:left w:val="single" w:color="auto" w:sz="2" w:space="0"/>
              <w:bottom w:val="single" w:color="auto" w:sz="2" w:space="0"/>
              <w:right w:val="single" w:color="auto" w:sz="2" w:space="0"/>
            </w:tcBorders>
            <w:vAlign w:val="center"/>
          </w:tcPr>
          <w:p w14:paraId="1EDBA0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淄博市</w:t>
            </w:r>
          </w:p>
        </w:tc>
        <w:tc>
          <w:tcPr>
            <w:tcW w:w="0" w:type="auto"/>
            <w:tcBorders>
              <w:top w:val="single" w:color="auto" w:sz="2" w:space="0"/>
              <w:left w:val="single" w:color="auto" w:sz="2" w:space="0"/>
              <w:bottom w:val="single" w:color="auto" w:sz="2" w:space="0"/>
              <w:right w:val="single" w:color="auto" w:sz="2" w:space="0"/>
            </w:tcBorders>
            <w:vAlign w:val="center"/>
          </w:tcPr>
          <w:p w14:paraId="135146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557EA82C">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561F63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41A205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36AAB1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AF9A2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邯郸庚源新能源科技有限公司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3B0646AF">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17,000,000.00</w:t>
            </w:r>
          </w:p>
        </w:tc>
        <w:tc>
          <w:tcPr>
            <w:tcW w:w="0" w:type="auto"/>
            <w:tcBorders>
              <w:top w:val="single" w:color="auto" w:sz="2" w:space="0"/>
              <w:left w:val="single" w:color="auto" w:sz="2" w:space="0"/>
              <w:bottom w:val="single" w:color="auto" w:sz="2" w:space="0"/>
              <w:right w:val="single" w:color="auto" w:sz="2" w:space="0"/>
            </w:tcBorders>
            <w:vAlign w:val="center"/>
          </w:tcPr>
          <w:p w14:paraId="37AFA71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邯郸市</w:t>
            </w:r>
          </w:p>
        </w:tc>
        <w:tc>
          <w:tcPr>
            <w:tcW w:w="0" w:type="auto"/>
            <w:tcBorders>
              <w:top w:val="single" w:color="auto" w:sz="2" w:space="0"/>
              <w:left w:val="single" w:color="auto" w:sz="2" w:space="0"/>
              <w:bottom w:val="single" w:color="auto" w:sz="2" w:space="0"/>
              <w:right w:val="single" w:color="auto" w:sz="2" w:space="0"/>
            </w:tcBorders>
            <w:vAlign w:val="center"/>
          </w:tcPr>
          <w:p w14:paraId="0FC8ED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邯郸市</w:t>
            </w:r>
          </w:p>
        </w:tc>
        <w:tc>
          <w:tcPr>
            <w:tcW w:w="0" w:type="auto"/>
            <w:tcBorders>
              <w:top w:val="single" w:color="auto" w:sz="2" w:space="0"/>
              <w:left w:val="single" w:color="auto" w:sz="2" w:space="0"/>
              <w:bottom w:val="single" w:color="auto" w:sz="2" w:space="0"/>
              <w:right w:val="single" w:color="auto" w:sz="2" w:space="0"/>
            </w:tcBorders>
            <w:vAlign w:val="center"/>
          </w:tcPr>
          <w:p w14:paraId="3F50BD3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71125E84">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988B2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14BC682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非同一控制企业合并</w:t>
            </w:r>
          </w:p>
        </w:tc>
      </w:tr>
      <w:tr w14:paraId="533197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17F9E8A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湖南天晨新能源有限公司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9F437E6">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20,000,000.00</w:t>
            </w:r>
          </w:p>
        </w:tc>
        <w:tc>
          <w:tcPr>
            <w:tcW w:w="0" w:type="auto"/>
            <w:tcBorders>
              <w:top w:val="single" w:color="auto" w:sz="2" w:space="0"/>
              <w:left w:val="single" w:color="auto" w:sz="2" w:space="0"/>
              <w:bottom w:val="single" w:color="auto" w:sz="2" w:space="0"/>
              <w:right w:val="single" w:color="auto" w:sz="2" w:space="0"/>
            </w:tcBorders>
            <w:vAlign w:val="center"/>
          </w:tcPr>
          <w:p w14:paraId="210C5CA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冷水江市</w:t>
            </w:r>
          </w:p>
        </w:tc>
        <w:tc>
          <w:tcPr>
            <w:tcW w:w="0" w:type="auto"/>
            <w:tcBorders>
              <w:top w:val="single" w:color="auto" w:sz="2" w:space="0"/>
              <w:left w:val="single" w:color="auto" w:sz="2" w:space="0"/>
              <w:bottom w:val="single" w:color="auto" w:sz="2" w:space="0"/>
              <w:right w:val="single" w:color="auto" w:sz="2" w:space="0"/>
            </w:tcBorders>
            <w:vAlign w:val="center"/>
          </w:tcPr>
          <w:p w14:paraId="386B1B6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冷水江市</w:t>
            </w:r>
          </w:p>
        </w:tc>
        <w:tc>
          <w:tcPr>
            <w:tcW w:w="0" w:type="auto"/>
            <w:tcBorders>
              <w:top w:val="single" w:color="auto" w:sz="2" w:space="0"/>
              <w:left w:val="single" w:color="auto" w:sz="2" w:space="0"/>
              <w:bottom w:val="single" w:color="auto" w:sz="2" w:space="0"/>
              <w:right w:val="single" w:color="auto" w:sz="2" w:space="0"/>
            </w:tcBorders>
            <w:vAlign w:val="center"/>
          </w:tcPr>
          <w:p w14:paraId="30E394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3CDAFE77">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7FFA9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48.00%</w:t>
            </w:r>
          </w:p>
        </w:tc>
        <w:tc>
          <w:tcPr>
            <w:tcW w:w="0" w:type="auto"/>
            <w:tcBorders>
              <w:top w:val="single" w:color="auto" w:sz="2" w:space="0"/>
              <w:left w:val="single" w:color="auto" w:sz="2" w:space="0"/>
              <w:bottom w:val="single" w:color="auto" w:sz="2" w:space="0"/>
              <w:right w:val="single" w:color="auto" w:sz="2" w:space="0"/>
            </w:tcBorders>
            <w:vAlign w:val="center"/>
          </w:tcPr>
          <w:p w14:paraId="16B586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6F45EA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E6E1BD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湖南亿道电力有限公司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0CB4B07">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20,000,000.00</w:t>
            </w:r>
          </w:p>
        </w:tc>
        <w:tc>
          <w:tcPr>
            <w:tcW w:w="0" w:type="auto"/>
            <w:tcBorders>
              <w:top w:val="single" w:color="auto" w:sz="2" w:space="0"/>
              <w:left w:val="single" w:color="auto" w:sz="2" w:space="0"/>
              <w:bottom w:val="single" w:color="auto" w:sz="2" w:space="0"/>
              <w:right w:val="single" w:color="auto" w:sz="2" w:space="0"/>
            </w:tcBorders>
            <w:vAlign w:val="center"/>
          </w:tcPr>
          <w:p w14:paraId="18CCCDD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怀化市</w:t>
            </w:r>
          </w:p>
        </w:tc>
        <w:tc>
          <w:tcPr>
            <w:tcW w:w="0" w:type="auto"/>
            <w:tcBorders>
              <w:top w:val="single" w:color="auto" w:sz="2" w:space="0"/>
              <w:left w:val="single" w:color="auto" w:sz="2" w:space="0"/>
              <w:bottom w:val="single" w:color="auto" w:sz="2" w:space="0"/>
              <w:right w:val="single" w:color="auto" w:sz="2" w:space="0"/>
            </w:tcBorders>
            <w:vAlign w:val="center"/>
          </w:tcPr>
          <w:p w14:paraId="07EB4E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怀化市</w:t>
            </w:r>
          </w:p>
        </w:tc>
        <w:tc>
          <w:tcPr>
            <w:tcW w:w="0" w:type="auto"/>
            <w:tcBorders>
              <w:top w:val="single" w:color="auto" w:sz="2" w:space="0"/>
              <w:left w:val="single" w:color="auto" w:sz="2" w:space="0"/>
              <w:bottom w:val="single" w:color="auto" w:sz="2" w:space="0"/>
              <w:right w:val="single" w:color="auto" w:sz="2" w:space="0"/>
            </w:tcBorders>
            <w:vAlign w:val="center"/>
          </w:tcPr>
          <w:p w14:paraId="12D855C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3F1C4D83">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39915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65.00%</w:t>
            </w:r>
          </w:p>
        </w:tc>
        <w:tc>
          <w:tcPr>
            <w:tcW w:w="0" w:type="auto"/>
            <w:tcBorders>
              <w:top w:val="single" w:color="auto" w:sz="2" w:space="0"/>
              <w:left w:val="single" w:color="auto" w:sz="2" w:space="0"/>
              <w:bottom w:val="single" w:color="auto" w:sz="2" w:space="0"/>
              <w:right w:val="single" w:color="auto" w:sz="2" w:space="0"/>
            </w:tcBorders>
            <w:vAlign w:val="center"/>
          </w:tcPr>
          <w:p w14:paraId="03F75EE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47C0EB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DA628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海南天亿马数字能源有限公司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CB44227">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4,000,000.00</w:t>
            </w:r>
          </w:p>
        </w:tc>
        <w:tc>
          <w:tcPr>
            <w:tcW w:w="0" w:type="auto"/>
            <w:tcBorders>
              <w:top w:val="single" w:color="auto" w:sz="2" w:space="0"/>
              <w:left w:val="single" w:color="auto" w:sz="2" w:space="0"/>
              <w:bottom w:val="single" w:color="auto" w:sz="2" w:space="0"/>
              <w:right w:val="single" w:color="auto" w:sz="2" w:space="0"/>
            </w:tcBorders>
            <w:vAlign w:val="center"/>
          </w:tcPr>
          <w:p w14:paraId="0B70B9F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东方市</w:t>
            </w:r>
          </w:p>
        </w:tc>
        <w:tc>
          <w:tcPr>
            <w:tcW w:w="0" w:type="auto"/>
            <w:tcBorders>
              <w:top w:val="single" w:color="auto" w:sz="2" w:space="0"/>
              <w:left w:val="single" w:color="auto" w:sz="2" w:space="0"/>
              <w:bottom w:val="single" w:color="auto" w:sz="2" w:space="0"/>
              <w:right w:val="single" w:color="auto" w:sz="2" w:space="0"/>
            </w:tcBorders>
            <w:vAlign w:val="center"/>
          </w:tcPr>
          <w:p w14:paraId="2F8ECF9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东方市</w:t>
            </w:r>
          </w:p>
        </w:tc>
        <w:tc>
          <w:tcPr>
            <w:tcW w:w="0" w:type="auto"/>
            <w:tcBorders>
              <w:top w:val="single" w:color="auto" w:sz="2" w:space="0"/>
              <w:left w:val="single" w:color="auto" w:sz="2" w:space="0"/>
              <w:bottom w:val="single" w:color="auto" w:sz="2" w:space="0"/>
              <w:right w:val="single" w:color="auto" w:sz="2" w:space="0"/>
            </w:tcBorders>
            <w:vAlign w:val="center"/>
          </w:tcPr>
          <w:p w14:paraId="3666786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1397FE33">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809F6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0F3B7A7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385020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993E0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广东天亿马新能源产业发展有限公司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387A312">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15630C7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6BFB60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7D968E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333E512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6D622C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04D8A32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68452F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3D37D1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天亿马新能源（衡阳）有限公司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18F20E5">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5,760,000.00</w:t>
            </w:r>
          </w:p>
        </w:tc>
        <w:tc>
          <w:tcPr>
            <w:tcW w:w="0" w:type="auto"/>
            <w:tcBorders>
              <w:top w:val="single" w:color="auto" w:sz="2" w:space="0"/>
              <w:left w:val="single" w:color="auto" w:sz="2" w:space="0"/>
              <w:bottom w:val="single" w:color="auto" w:sz="2" w:space="0"/>
              <w:right w:val="single" w:color="auto" w:sz="2" w:space="0"/>
            </w:tcBorders>
            <w:vAlign w:val="center"/>
          </w:tcPr>
          <w:p w14:paraId="3AB433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衡阳市</w:t>
            </w:r>
          </w:p>
        </w:tc>
        <w:tc>
          <w:tcPr>
            <w:tcW w:w="0" w:type="auto"/>
            <w:tcBorders>
              <w:top w:val="single" w:color="auto" w:sz="2" w:space="0"/>
              <w:left w:val="single" w:color="auto" w:sz="2" w:space="0"/>
              <w:bottom w:val="single" w:color="auto" w:sz="2" w:space="0"/>
              <w:right w:val="single" w:color="auto" w:sz="2" w:space="0"/>
            </w:tcBorders>
            <w:vAlign w:val="center"/>
          </w:tcPr>
          <w:p w14:paraId="7120AE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衡阳市</w:t>
            </w:r>
          </w:p>
        </w:tc>
        <w:tc>
          <w:tcPr>
            <w:tcW w:w="0" w:type="auto"/>
            <w:tcBorders>
              <w:top w:val="single" w:color="auto" w:sz="2" w:space="0"/>
              <w:left w:val="single" w:color="auto" w:sz="2" w:space="0"/>
              <w:bottom w:val="single" w:color="auto" w:sz="2" w:space="0"/>
              <w:right w:val="single" w:color="auto" w:sz="2" w:space="0"/>
            </w:tcBorders>
            <w:vAlign w:val="center"/>
          </w:tcPr>
          <w:p w14:paraId="03D686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7C7F72E6">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C6A588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55.00%</w:t>
            </w:r>
          </w:p>
        </w:tc>
        <w:tc>
          <w:tcPr>
            <w:tcW w:w="0" w:type="auto"/>
            <w:tcBorders>
              <w:top w:val="single" w:color="auto" w:sz="2" w:space="0"/>
              <w:left w:val="single" w:color="auto" w:sz="2" w:space="0"/>
              <w:bottom w:val="single" w:color="auto" w:sz="2" w:space="0"/>
              <w:right w:val="single" w:color="auto" w:sz="2" w:space="0"/>
            </w:tcBorders>
            <w:vAlign w:val="center"/>
          </w:tcPr>
          <w:p w14:paraId="1EDA57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2B5BF9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6836C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深圳市亿泰新能源有限公司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318126B">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79ACADD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72654D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2621BD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46912604">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3FDC1C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67.00%</w:t>
            </w:r>
          </w:p>
        </w:tc>
        <w:tc>
          <w:tcPr>
            <w:tcW w:w="0" w:type="auto"/>
            <w:tcBorders>
              <w:top w:val="single" w:color="auto" w:sz="2" w:space="0"/>
              <w:left w:val="single" w:color="auto" w:sz="2" w:space="0"/>
              <w:bottom w:val="single" w:color="auto" w:sz="2" w:space="0"/>
              <w:right w:val="single" w:color="auto" w:sz="2" w:space="0"/>
            </w:tcBorders>
            <w:vAlign w:val="center"/>
          </w:tcPr>
          <w:p w14:paraId="6156E5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6C8429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04839B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广西亿泰新能源有限公司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65E23AE">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4,120,000.00</w:t>
            </w:r>
          </w:p>
        </w:tc>
        <w:tc>
          <w:tcPr>
            <w:tcW w:w="0" w:type="auto"/>
            <w:tcBorders>
              <w:top w:val="single" w:color="auto" w:sz="2" w:space="0"/>
              <w:left w:val="single" w:color="auto" w:sz="2" w:space="0"/>
              <w:bottom w:val="single" w:color="auto" w:sz="2" w:space="0"/>
              <w:right w:val="single" w:color="auto" w:sz="2" w:space="0"/>
            </w:tcBorders>
            <w:vAlign w:val="center"/>
          </w:tcPr>
          <w:p w14:paraId="23E294A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柳州市</w:t>
            </w:r>
          </w:p>
        </w:tc>
        <w:tc>
          <w:tcPr>
            <w:tcW w:w="0" w:type="auto"/>
            <w:tcBorders>
              <w:top w:val="single" w:color="auto" w:sz="2" w:space="0"/>
              <w:left w:val="single" w:color="auto" w:sz="2" w:space="0"/>
              <w:bottom w:val="single" w:color="auto" w:sz="2" w:space="0"/>
              <w:right w:val="single" w:color="auto" w:sz="2" w:space="0"/>
            </w:tcBorders>
            <w:vAlign w:val="center"/>
          </w:tcPr>
          <w:p w14:paraId="344D36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柳州市</w:t>
            </w:r>
          </w:p>
        </w:tc>
        <w:tc>
          <w:tcPr>
            <w:tcW w:w="0" w:type="auto"/>
            <w:tcBorders>
              <w:top w:val="single" w:color="auto" w:sz="2" w:space="0"/>
              <w:left w:val="single" w:color="auto" w:sz="2" w:space="0"/>
              <w:bottom w:val="single" w:color="auto" w:sz="2" w:space="0"/>
              <w:right w:val="single" w:color="auto" w:sz="2" w:space="0"/>
            </w:tcBorders>
            <w:vAlign w:val="center"/>
          </w:tcPr>
          <w:p w14:paraId="7B517D8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6565CED2">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1D0D62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4DBED0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3CACD4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5ED69D7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衡阳凯晶新能源有限公司</w:t>
            </w:r>
          </w:p>
        </w:tc>
        <w:tc>
          <w:tcPr>
            <w:tcW w:w="0" w:type="auto"/>
            <w:tcBorders>
              <w:top w:val="single" w:color="auto" w:sz="2" w:space="0"/>
              <w:left w:val="single" w:color="auto" w:sz="2" w:space="0"/>
              <w:bottom w:val="single" w:color="auto" w:sz="2" w:space="0"/>
              <w:right w:val="single" w:color="auto" w:sz="2" w:space="0"/>
            </w:tcBorders>
            <w:vAlign w:val="center"/>
          </w:tcPr>
          <w:p w14:paraId="667B5E37">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6,300,000.00</w:t>
            </w:r>
          </w:p>
        </w:tc>
        <w:tc>
          <w:tcPr>
            <w:tcW w:w="0" w:type="auto"/>
            <w:tcBorders>
              <w:top w:val="single" w:color="auto" w:sz="2" w:space="0"/>
              <w:left w:val="single" w:color="auto" w:sz="2" w:space="0"/>
              <w:bottom w:val="single" w:color="auto" w:sz="2" w:space="0"/>
              <w:right w:val="single" w:color="auto" w:sz="2" w:space="0"/>
            </w:tcBorders>
            <w:vAlign w:val="center"/>
          </w:tcPr>
          <w:p w14:paraId="3A3BFF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衡阳市</w:t>
            </w:r>
          </w:p>
        </w:tc>
        <w:tc>
          <w:tcPr>
            <w:tcW w:w="0" w:type="auto"/>
            <w:tcBorders>
              <w:top w:val="single" w:color="auto" w:sz="2" w:space="0"/>
              <w:left w:val="single" w:color="auto" w:sz="2" w:space="0"/>
              <w:bottom w:val="single" w:color="auto" w:sz="2" w:space="0"/>
              <w:right w:val="single" w:color="auto" w:sz="2" w:space="0"/>
            </w:tcBorders>
            <w:vAlign w:val="center"/>
          </w:tcPr>
          <w:p w14:paraId="451020A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衡阳市</w:t>
            </w:r>
          </w:p>
        </w:tc>
        <w:tc>
          <w:tcPr>
            <w:tcW w:w="0" w:type="auto"/>
            <w:tcBorders>
              <w:top w:val="single" w:color="auto" w:sz="2" w:space="0"/>
              <w:left w:val="single" w:color="auto" w:sz="2" w:space="0"/>
              <w:bottom w:val="single" w:color="auto" w:sz="2" w:space="0"/>
              <w:right w:val="single" w:color="auto" w:sz="2" w:space="0"/>
            </w:tcBorders>
            <w:vAlign w:val="center"/>
          </w:tcPr>
          <w:p w14:paraId="4A80003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电力、热力生产和供应业</w:t>
            </w:r>
          </w:p>
        </w:tc>
        <w:tc>
          <w:tcPr>
            <w:tcW w:w="0" w:type="auto"/>
            <w:tcBorders>
              <w:top w:val="single" w:color="auto" w:sz="2" w:space="0"/>
              <w:left w:val="single" w:color="auto" w:sz="2" w:space="0"/>
              <w:bottom w:val="single" w:color="auto" w:sz="2" w:space="0"/>
              <w:right w:val="single" w:color="auto" w:sz="2" w:space="0"/>
            </w:tcBorders>
            <w:vAlign w:val="center"/>
          </w:tcPr>
          <w:p w14:paraId="62136D56">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3D5B1D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298EECC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463D63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73C0906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广东天亿马数字产业有限公司</w:t>
            </w:r>
          </w:p>
        </w:tc>
        <w:tc>
          <w:tcPr>
            <w:tcW w:w="0" w:type="auto"/>
            <w:tcBorders>
              <w:top w:val="single" w:color="auto" w:sz="2" w:space="0"/>
              <w:left w:val="single" w:color="auto" w:sz="2" w:space="0"/>
              <w:bottom w:val="single" w:color="auto" w:sz="2" w:space="0"/>
              <w:right w:val="single" w:color="auto" w:sz="2" w:space="0"/>
            </w:tcBorders>
            <w:vAlign w:val="center"/>
          </w:tcPr>
          <w:p w14:paraId="3B3A1F0D">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726648D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2724EB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汕头市</w:t>
            </w:r>
          </w:p>
        </w:tc>
        <w:tc>
          <w:tcPr>
            <w:tcW w:w="0" w:type="auto"/>
            <w:tcBorders>
              <w:top w:val="single" w:color="auto" w:sz="2" w:space="0"/>
              <w:left w:val="single" w:color="auto" w:sz="2" w:space="0"/>
              <w:bottom w:val="single" w:color="auto" w:sz="2" w:space="0"/>
              <w:right w:val="single" w:color="auto" w:sz="2" w:space="0"/>
            </w:tcBorders>
            <w:vAlign w:val="center"/>
          </w:tcPr>
          <w:p w14:paraId="6CFEC5F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软件和信息技术服务业</w:t>
            </w:r>
          </w:p>
        </w:tc>
        <w:tc>
          <w:tcPr>
            <w:tcW w:w="0" w:type="auto"/>
            <w:tcBorders>
              <w:top w:val="single" w:color="auto" w:sz="2" w:space="0"/>
              <w:left w:val="single" w:color="auto" w:sz="2" w:space="0"/>
              <w:bottom w:val="single" w:color="auto" w:sz="2" w:space="0"/>
              <w:right w:val="single" w:color="auto" w:sz="2" w:space="0"/>
            </w:tcBorders>
            <w:vAlign w:val="center"/>
          </w:tcPr>
          <w:p w14:paraId="5E3A562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06D5F7F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02281C3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0DE613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833105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广州市天亿马信息技术有限公司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11B0335">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5,000,000.00</w:t>
            </w:r>
          </w:p>
        </w:tc>
        <w:tc>
          <w:tcPr>
            <w:tcW w:w="0" w:type="auto"/>
            <w:tcBorders>
              <w:top w:val="single" w:color="auto" w:sz="2" w:space="0"/>
              <w:left w:val="single" w:color="auto" w:sz="2" w:space="0"/>
              <w:bottom w:val="single" w:color="auto" w:sz="2" w:space="0"/>
              <w:right w:val="single" w:color="auto" w:sz="2" w:space="0"/>
            </w:tcBorders>
            <w:vAlign w:val="center"/>
          </w:tcPr>
          <w:p w14:paraId="1105C8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41DDB8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607995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软件和信息技术服务业</w:t>
            </w:r>
          </w:p>
        </w:tc>
        <w:tc>
          <w:tcPr>
            <w:tcW w:w="0" w:type="auto"/>
            <w:tcBorders>
              <w:top w:val="single" w:color="auto" w:sz="2" w:space="0"/>
              <w:left w:val="single" w:color="auto" w:sz="2" w:space="0"/>
              <w:bottom w:val="single" w:color="auto" w:sz="2" w:space="0"/>
              <w:right w:val="single" w:color="auto" w:sz="2" w:space="0"/>
            </w:tcBorders>
            <w:vAlign w:val="center"/>
          </w:tcPr>
          <w:p w14:paraId="1C589B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4EDE125D">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CBD228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578669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0EA0F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深圳市天亿马信息技术有限公司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B646C4E">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08BF3C7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7D04279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w:t>
            </w:r>
          </w:p>
        </w:tc>
        <w:tc>
          <w:tcPr>
            <w:tcW w:w="0" w:type="auto"/>
            <w:tcBorders>
              <w:top w:val="single" w:color="auto" w:sz="2" w:space="0"/>
              <w:left w:val="single" w:color="auto" w:sz="2" w:space="0"/>
              <w:bottom w:val="single" w:color="auto" w:sz="2" w:space="0"/>
              <w:right w:val="single" w:color="auto" w:sz="2" w:space="0"/>
            </w:tcBorders>
            <w:vAlign w:val="center"/>
          </w:tcPr>
          <w:p w14:paraId="6E7776C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软件和信息技术服务业</w:t>
            </w:r>
          </w:p>
        </w:tc>
        <w:tc>
          <w:tcPr>
            <w:tcW w:w="0" w:type="auto"/>
            <w:tcBorders>
              <w:top w:val="single" w:color="auto" w:sz="2" w:space="0"/>
              <w:left w:val="single" w:color="auto" w:sz="2" w:space="0"/>
              <w:bottom w:val="single" w:color="auto" w:sz="2" w:space="0"/>
              <w:right w:val="single" w:color="auto" w:sz="2" w:space="0"/>
            </w:tcBorders>
            <w:vAlign w:val="center"/>
          </w:tcPr>
          <w:p w14:paraId="08BA36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2C78AF87">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4CC3AB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25C3BE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67AB601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广州路创轨道科技有限公司</w:t>
            </w:r>
          </w:p>
        </w:tc>
        <w:tc>
          <w:tcPr>
            <w:tcW w:w="0" w:type="auto"/>
            <w:tcBorders>
              <w:top w:val="single" w:color="auto" w:sz="2" w:space="0"/>
              <w:left w:val="single" w:color="auto" w:sz="2" w:space="0"/>
              <w:bottom w:val="single" w:color="auto" w:sz="2" w:space="0"/>
              <w:right w:val="single" w:color="auto" w:sz="2" w:space="0"/>
            </w:tcBorders>
            <w:vAlign w:val="center"/>
          </w:tcPr>
          <w:p w14:paraId="173E1211">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5,000,000.00</w:t>
            </w:r>
          </w:p>
        </w:tc>
        <w:tc>
          <w:tcPr>
            <w:tcW w:w="0" w:type="auto"/>
            <w:tcBorders>
              <w:top w:val="single" w:color="auto" w:sz="2" w:space="0"/>
              <w:left w:val="single" w:color="auto" w:sz="2" w:space="0"/>
              <w:bottom w:val="single" w:color="auto" w:sz="2" w:space="0"/>
              <w:right w:val="single" w:color="auto" w:sz="2" w:space="0"/>
            </w:tcBorders>
            <w:vAlign w:val="center"/>
          </w:tcPr>
          <w:p w14:paraId="183AF43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2DEC5AA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w:t>
            </w:r>
          </w:p>
        </w:tc>
        <w:tc>
          <w:tcPr>
            <w:tcW w:w="0" w:type="auto"/>
            <w:tcBorders>
              <w:top w:val="single" w:color="auto" w:sz="2" w:space="0"/>
              <w:left w:val="single" w:color="auto" w:sz="2" w:space="0"/>
              <w:bottom w:val="single" w:color="auto" w:sz="2" w:space="0"/>
              <w:right w:val="single" w:color="auto" w:sz="2" w:space="0"/>
            </w:tcBorders>
            <w:vAlign w:val="center"/>
          </w:tcPr>
          <w:p w14:paraId="55869E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研究和试验发展</w:t>
            </w:r>
          </w:p>
        </w:tc>
        <w:tc>
          <w:tcPr>
            <w:tcW w:w="0" w:type="auto"/>
            <w:tcBorders>
              <w:top w:val="single" w:color="auto" w:sz="2" w:space="0"/>
              <w:left w:val="single" w:color="auto" w:sz="2" w:space="0"/>
              <w:bottom w:val="single" w:color="auto" w:sz="2" w:space="0"/>
              <w:right w:val="single" w:color="auto" w:sz="2" w:space="0"/>
            </w:tcBorders>
            <w:vAlign w:val="center"/>
          </w:tcPr>
          <w:p w14:paraId="4DEE75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49.00%</w:t>
            </w:r>
          </w:p>
        </w:tc>
        <w:tc>
          <w:tcPr>
            <w:tcW w:w="0" w:type="auto"/>
            <w:tcBorders>
              <w:top w:val="single" w:color="auto" w:sz="2" w:space="0"/>
              <w:left w:val="single" w:color="auto" w:sz="2" w:space="0"/>
              <w:bottom w:val="single" w:color="auto" w:sz="2" w:space="0"/>
              <w:right w:val="single" w:color="auto" w:sz="2" w:space="0"/>
            </w:tcBorders>
            <w:vAlign w:val="center"/>
          </w:tcPr>
          <w:p w14:paraId="27DE9A58">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513877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509009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4CCF66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惠州市天亿马信息技术有限公司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3F7E0174">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10,000,000.00</w:t>
            </w:r>
          </w:p>
        </w:tc>
        <w:tc>
          <w:tcPr>
            <w:tcW w:w="0" w:type="auto"/>
            <w:tcBorders>
              <w:top w:val="single" w:color="auto" w:sz="2" w:space="0"/>
              <w:left w:val="single" w:color="auto" w:sz="2" w:space="0"/>
              <w:bottom w:val="single" w:color="auto" w:sz="2" w:space="0"/>
              <w:right w:val="single" w:color="auto" w:sz="2" w:space="0"/>
            </w:tcBorders>
            <w:vAlign w:val="center"/>
          </w:tcPr>
          <w:p w14:paraId="60B28C0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w:t>
            </w:r>
          </w:p>
        </w:tc>
        <w:tc>
          <w:tcPr>
            <w:tcW w:w="0" w:type="auto"/>
            <w:tcBorders>
              <w:top w:val="single" w:color="auto" w:sz="2" w:space="0"/>
              <w:left w:val="single" w:color="auto" w:sz="2" w:space="0"/>
              <w:bottom w:val="single" w:color="auto" w:sz="2" w:space="0"/>
              <w:right w:val="single" w:color="auto" w:sz="2" w:space="0"/>
            </w:tcBorders>
            <w:vAlign w:val="center"/>
          </w:tcPr>
          <w:p w14:paraId="332C09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w:t>
            </w:r>
          </w:p>
        </w:tc>
        <w:tc>
          <w:tcPr>
            <w:tcW w:w="0" w:type="auto"/>
            <w:tcBorders>
              <w:top w:val="single" w:color="auto" w:sz="2" w:space="0"/>
              <w:left w:val="single" w:color="auto" w:sz="2" w:space="0"/>
              <w:bottom w:val="single" w:color="auto" w:sz="2" w:space="0"/>
              <w:right w:val="single" w:color="auto" w:sz="2" w:space="0"/>
            </w:tcBorders>
            <w:vAlign w:val="center"/>
          </w:tcPr>
          <w:p w14:paraId="03ABD36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互联网和相关服务</w:t>
            </w:r>
          </w:p>
        </w:tc>
        <w:tc>
          <w:tcPr>
            <w:tcW w:w="0" w:type="auto"/>
            <w:tcBorders>
              <w:top w:val="single" w:color="auto" w:sz="2" w:space="0"/>
              <w:left w:val="single" w:color="auto" w:sz="2" w:space="0"/>
              <w:bottom w:val="single" w:color="auto" w:sz="2" w:space="0"/>
              <w:right w:val="single" w:color="auto" w:sz="2" w:space="0"/>
            </w:tcBorders>
            <w:vAlign w:val="center"/>
          </w:tcPr>
          <w:p w14:paraId="3640D9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300DF9AF">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2661236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r w14:paraId="07CD17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217D3AB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天亿马（香港）信息产业有限公司</w:t>
            </w:r>
          </w:p>
        </w:tc>
        <w:tc>
          <w:tcPr>
            <w:tcW w:w="0" w:type="auto"/>
            <w:tcBorders>
              <w:top w:val="single" w:color="auto" w:sz="2" w:space="0"/>
              <w:left w:val="single" w:color="auto" w:sz="2" w:space="0"/>
              <w:bottom w:val="single" w:color="auto" w:sz="2" w:space="0"/>
              <w:right w:val="single" w:color="auto" w:sz="2" w:space="0"/>
            </w:tcBorders>
            <w:vAlign w:val="center"/>
          </w:tcPr>
          <w:p w14:paraId="78AD28E3">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0.8</w:t>
            </w:r>
          </w:p>
        </w:tc>
        <w:tc>
          <w:tcPr>
            <w:tcW w:w="0" w:type="auto"/>
            <w:tcBorders>
              <w:top w:val="single" w:color="auto" w:sz="2" w:space="0"/>
              <w:left w:val="single" w:color="auto" w:sz="2" w:space="0"/>
              <w:bottom w:val="single" w:color="auto" w:sz="2" w:space="0"/>
              <w:right w:val="single" w:color="auto" w:sz="2" w:space="0"/>
            </w:tcBorders>
            <w:vAlign w:val="center"/>
          </w:tcPr>
          <w:p w14:paraId="005676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香港</w:t>
            </w:r>
          </w:p>
        </w:tc>
        <w:tc>
          <w:tcPr>
            <w:tcW w:w="0" w:type="auto"/>
            <w:tcBorders>
              <w:top w:val="single" w:color="auto" w:sz="2" w:space="0"/>
              <w:left w:val="single" w:color="auto" w:sz="2" w:space="0"/>
              <w:bottom w:val="single" w:color="auto" w:sz="2" w:space="0"/>
              <w:right w:val="single" w:color="auto" w:sz="2" w:space="0"/>
            </w:tcBorders>
            <w:vAlign w:val="center"/>
          </w:tcPr>
          <w:p w14:paraId="7F5F00B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香港</w:t>
            </w:r>
          </w:p>
        </w:tc>
        <w:tc>
          <w:tcPr>
            <w:tcW w:w="0" w:type="auto"/>
            <w:tcBorders>
              <w:top w:val="single" w:color="auto" w:sz="2" w:space="0"/>
              <w:left w:val="single" w:color="auto" w:sz="2" w:space="0"/>
              <w:bottom w:val="single" w:color="auto" w:sz="2" w:space="0"/>
              <w:right w:val="single" w:color="auto" w:sz="2" w:space="0"/>
            </w:tcBorders>
            <w:vAlign w:val="center"/>
          </w:tcPr>
          <w:p w14:paraId="323E801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0" w:type="auto"/>
            <w:tcBorders>
              <w:top w:val="single" w:color="auto" w:sz="2" w:space="0"/>
              <w:left w:val="single" w:color="auto" w:sz="2" w:space="0"/>
              <w:bottom w:val="single" w:color="auto" w:sz="2" w:space="0"/>
              <w:right w:val="single" w:color="auto" w:sz="2" w:space="0"/>
            </w:tcBorders>
            <w:vAlign w:val="center"/>
          </w:tcPr>
          <w:p w14:paraId="4B277A2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0" w:type="auto"/>
            <w:tcBorders>
              <w:top w:val="single" w:color="auto" w:sz="2" w:space="0"/>
              <w:left w:val="single" w:color="auto" w:sz="2" w:space="0"/>
              <w:bottom w:val="single" w:color="auto" w:sz="2" w:space="0"/>
              <w:right w:val="single" w:color="auto" w:sz="2" w:space="0"/>
            </w:tcBorders>
            <w:vAlign w:val="center"/>
          </w:tcPr>
          <w:p w14:paraId="5FC7F61B">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64190B2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同一控制企业合并</w:t>
            </w:r>
          </w:p>
        </w:tc>
      </w:tr>
      <w:tr w14:paraId="25F346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0" w:type="auto"/>
            <w:tcBorders>
              <w:top w:val="single" w:color="auto" w:sz="2" w:space="0"/>
              <w:left w:val="single" w:color="auto" w:sz="2" w:space="0"/>
              <w:bottom w:val="single" w:color="auto" w:sz="2" w:space="0"/>
              <w:right w:val="single" w:color="auto" w:sz="2" w:space="0"/>
            </w:tcBorders>
            <w:vAlign w:val="center"/>
          </w:tcPr>
          <w:p w14:paraId="3847649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0" w:type="auto"/>
            <w:tcBorders>
              <w:top w:val="single" w:color="auto" w:sz="2" w:space="0"/>
              <w:left w:val="single" w:color="auto" w:sz="2" w:space="0"/>
              <w:bottom w:val="single" w:color="auto" w:sz="2" w:space="0"/>
              <w:right w:val="single" w:color="auto" w:sz="2" w:space="0"/>
            </w:tcBorders>
            <w:vAlign w:val="center"/>
          </w:tcPr>
          <w:p w14:paraId="540129CA">
            <w:pPr>
              <w:jc w:val="right"/>
              <w:rPr>
                <w:rFonts w:ascii="Times New Roman" w:hAnsi="Times New Roman" w:eastAsia="宋体" w:cs="Times New Roman"/>
                <w:color w:val="000000"/>
                <w:sz w:val="18"/>
                <w:szCs w:val="18"/>
              </w:rPr>
            </w:pPr>
            <w:r>
              <w:rPr>
                <w:rFonts w:ascii="Times New Roman" w:hAnsi="Times New Roman" w:cs="Times New Roman"/>
                <w:color w:val="000000"/>
                <w:sz w:val="18"/>
                <w:szCs w:val="18"/>
              </w:rPr>
              <w:t>1,000,000.00</w:t>
            </w:r>
          </w:p>
        </w:tc>
        <w:tc>
          <w:tcPr>
            <w:tcW w:w="0" w:type="auto"/>
            <w:tcBorders>
              <w:top w:val="single" w:color="auto" w:sz="2" w:space="0"/>
              <w:left w:val="single" w:color="auto" w:sz="2" w:space="0"/>
              <w:bottom w:val="single" w:color="auto" w:sz="2" w:space="0"/>
              <w:right w:val="single" w:color="auto" w:sz="2" w:space="0"/>
            </w:tcBorders>
            <w:vAlign w:val="center"/>
          </w:tcPr>
          <w:p w14:paraId="08A10F5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重庆市</w:t>
            </w:r>
          </w:p>
        </w:tc>
        <w:tc>
          <w:tcPr>
            <w:tcW w:w="0" w:type="auto"/>
            <w:tcBorders>
              <w:top w:val="single" w:color="auto" w:sz="2" w:space="0"/>
              <w:left w:val="single" w:color="auto" w:sz="2" w:space="0"/>
              <w:bottom w:val="single" w:color="auto" w:sz="2" w:space="0"/>
              <w:right w:val="single" w:color="auto" w:sz="2" w:space="0"/>
            </w:tcBorders>
            <w:vAlign w:val="center"/>
          </w:tcPr>
          <w:p w14:paraId="3DC42E5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重庆市</w:t>
            </w:r>
          </w:p>
        </w:tc>
        <w:tc>
          <w:tcPr>
            <w:tcW w:w="0" w:type="auto"/>
            <w:tcBorders>
              <w:top w:val="single" w:color="auto" w:sz="2" w:space="0"/>
              <w:left w:val="single" w:color="auto" w:sz="2" w:space="0"/>
              <w:bottom w:val="single" w:color="auto" w:sz="2" w:space="0"/>
              <w:right w:val="single" w:color="auto" w:sz="2" w:space="0"/>
            </w:tcBorders>
            <w:vAlign w:val="center"/>
          </w:tcPr>
          <w:p w14:paraId="486E5A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软件和信息技术服务</w:t>
            </w:r>
          </w:p>
        </w:tc>
        <w:tc>
          <w:tcPr>
            <w:tcW w:w="0" w:type="auto"/>
            <w:tcBorders>
              <w:top w:val="single" w:color="auto" w:sz="2" w:space="0"/>
              <w:left w:val="single" w:color="auto" w:sz="2" w:space="0"/>
              <w:bottom w:val="single" w:color="auto" w:sz="2" w:space="0"/>
              <w:right w:val="single" w:color="auto" w:sz="2" w:space="0"/>
            </w:tcBorders>
            <w:vAlign w:val="center"/>
          </w:tcPr>
          <w:p w14:paraId="142689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0" w:type="auto"/>
            <w:tcBorders>
              <w:top w:val="single" w:color="auto" w:sz="2" w:space="0"/>
              <w:left w:val="single" w:color="auto" w:sz="2" w:space="0"/>
              <w:bottom w:val="single" w:color="auto" w:sz="2" w:space="0"/>
              <w:right w:val="single" w:color="auto" w:sz="2" w:space="0"/>
            </w:tcBorders>
            <w:vAlign w:val="center"/>
          </w:tcPr>
          <w:p w14:paraId="5AC235D6">
            <w:pPr>
              <w:spacing w:line="240" w:lineRule="exact"/>
              <w:jc w:val="right"/>
              <w:rPr>
                <w:rFonts w:ascii="Times New Roman" w:hAnsi="Times New Roman" w:cs="Times New Roman" w:eastAsiaTheme="majorEastAsia"/>
                <w:sz w:val="18"/>
                <w:szCs w:val="18"/>
              </w:rPr>
            </w:pPr>
          </w:p>
        </w:tc>
        <w:tc>
          <w:tcPr>
            <w:tcW w:w="0" w:type="auto"/>
            <w:tcBorders>
              <w:top w:val="single" w:color="auto" w:sz="2" w:space="0"/>
              <w:left w:val="single" w:color="auto" w:sz="2" w:space="0"/>
              <w:bottom w:val="single" w:color="auto" w:sz="2" w:space="0"/>
              <w:right w:val="single" w:color="auto" w:sz="2" w:space="0"/>
            </w:tcBorders>
            <w:vAlign w:val="center"/>
          </w:tcPr>
          <w:p w14:paraId="4C51D8E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设立</w:t>
            </w:r>
          </w:p>
        </w:tc>
      </w:tr>
    </w:tbl>
    <w:p w14:paraId="3C74928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在子公司的持股比例不同于表决权比例的说明：</w:t>
      </w:r>
    </w:p>
    <w:p w14:paraId="4F23C037">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2EA6620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持有半数或以下表决权但仍控制被投资单位、以及持有半数以上表决权但不控制被投资单位的依据：</w:t>
      </w:r>
    </w:p>
    <w:p w14:paraId="7B6798DC">
      <w:pPr>
        <w:pStyle w:val="10"/>
        <w:spacing w:before="156" w:beforeLines="50" w:beforeAutospacing="0" w:after="156" w:afterLines="50" w:afterAutospacing="0"/>
        <w:ind w:firstLine="360" w:firstLineChars="200"/>
        <w:jc w:val="both"/>
        <w:rPr>
          <w:rFonts w:ascii="Times New Roman" w:hAnsi="Times New Roman" w:cs="Times New Roman" w:eastAsiaTheme="majorEastAsia"/>
          <w:sz w:val="18"/>
          <w:szCs w:val="21"/>
        </w:rPr>
      </w:pPr>
      <w:r>
        <w:rPr>
          <w:rFonts w:hint="eastAsia"/>
          <w:sz w:val="18"/>
          <w:szCs w:val="21"/>
        </w:rPr>
        <w:t>①</w:t>
      </w:r>
      <w:r>
        <w:rPr>
          <w:rFonts w:ascii="Times New Roman" w:hAnsi="Times New Roman" w:cs="Times New Roman" w:eastAsiaTheme="majorEastAsia"/>
          <w:sz w:val="18"/>
          <w:szCs w:val="21"/>
        </w:rPr>
        <w:t>湖南天晨新能源有限公司：公司持有天亿马数字能源51%股权；天亿马数字能源为湖南天晨第一大股东，持股48%；天亿马副总经理李华青先生担任湖南天晨执行董事、经理、法定代表人，对其经营管理、财务方面等具有控制权。</w:t>
      </w:r>
    </w:p>
    <w:p w14:paraId="7168BAB3">
      <w:pPr>
        <w:pStyle w:val="10"/>
        <w:spacing w:before="156" w:beforeLines="50" w:beforeAutospacing="0" w:after="156" w:afterLines="50" w:afterAutospacing="0"/>
        <w:ind w:firstLine="360" w:firstLineChars="200"/>
        <w:jc w:val="both"/>
        <w:rPr>
          <w:rFonts w:ascii="Times New Roman" w:hAnsi="Times New Roman" w:cs="Times New Roman" w:eastAsiaTheme="majorEastAsia"/>
          <w:sz w:val="18"/>
          <w:szCs w:val="21"/>
        </w:rPr>
      </w:pPr>
      <w:r>
        <w:rPr>
          <w:rFonts w:hint="eastAsia"/>
          <w:sz w:val="18"/>
          <w:szCs w:val="21"/>
        </w:rPr>
        <w:t>②</w:t>
      </w:r>
      <w:r>
        <w:rPr>
          <w:rFonts w:ascii="Times New Roman" w:hAnsi="Times New Roman" w:cs="Times New Roman" w:eastAsiaTheme="majorEastAsia"/>
          <w:sz w:val="18"/>
          <w:szCs w:val="21"/>
        </w:rPr>
        <w:t>广州路创轨道科技有限公司</w:t>
      </w:r>
      <w:r>
        <w:rPr>
          <w:rFonts w:hint="eastAsia" w:ascii="Times New Roman" w:hAnsi="Times New Roman" w:cs="Times New Roman" w:eastAsiaTheme="majorEastAsia"/>
          <w:sz w:val="18"/>
          <w:szCs w:val="21"/>
        </w:rPr>
        <w:t>：</w:t>
      </w:r>
      <w:r>
        <w:rPr>
          <w:rFonts w:ascii="Times New Roman" w:hAnsi="Times New Roman" w:cs="Times New Roman" w:eastAsiaTheme="majorEastAsia"/>
          <w:sz w:val="18"/>
          <w:szCs w:val="21"/>
        </w:rPr>
        <w:t>公司持有路创科技49%股权，为第一大股东。路创科技不设董事会，公司董事长林明玲女士任其董事，对其经营管理、财务方面等具有控制权。</w:t>
      </w:r>
    </w:p>
    <w:p w14:paraId="6B67936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对于纳入合并范围的重要的结构化主体，控制的依据：</w:t>
      </w:r>
      <w:r>
        <w:rPr>
          <w:rFonts w:hint="eastAsia" w:ascii="Times New Roman" w:hAnsi="Times New Roman" w:cs="Times New Roman" w:eastAsiaTheme="majorEastAsia"/>
          <w:sz w:val="18"/>
          <w:szCs w:val="18"/>
        </w:rPr>
        <w:t>不适用</w:t>
      </w:r>
    </w:p>
    <w:p w14:paraId="0AC4782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确定公司是代理人还是委托人的依据：</w:t>
      </w:r>
      <w:r>
        <w:rPr>
          <w:rFonts w:hint="eastAsia" w:ascii="Times New Roman" w:hAnsi="Times New Roman" w:cs="Times New Roman" w:eastAsiaTheme="majorEastAsia"/>
          <w:sz w:val="18"/>
          <w:szCs w:val="18"/>
        </w:rPr>
        <w:t>不适用。</w:t>
      </w:r>
    </w:p>
    <w:p w14:paraId="332EAF8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21768652">
      <w:pPr>
        <w:keepNext/>
        <w:keepLines/>
        <w:spacing w:before="300" w:after="300" w:line="280" w:lineRule="exact"/>
        <w:outlineLvl w:val="3"/>
        <w:rPr>
          <w:rFonts w:ascii="Times New Roman" w:hAnsi="Times New Roman" w:cs="Times New Roman" w:eastAsiaTheme="majorEastAsia"/>
          <w:b/>
          <w:bCs/>
          <w:sz w:val="18"/>
          <w:szCs w:val="18"/>
        </w:rPr>
      </w:pPr>
      <w:bookmarkStart w:id="409" w:name="_Toc989301"/>
      <w:r>
        <w:rPr>
          <w:rFonts w:ascii="Times New Roman" w:hAnsi="Times New Roman" w:cs="Times New Roman" w:eastAsiaTheme="majorEastAsia"/>
          <w:b/>
          <w:bCs/>
          <w:sz w:val="18"/>
          <w:szCs w:val="18"/>
        </w:rPr>
        <w:t>（2） 重要的非全资子公司</w:t>
      </w:r>
      <w:bookmarkEnd w:id="409"/>
    </w:p>
    <w:p w14:paraId="5C5CE73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153F4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BAB8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2FE9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少数股东持股比例</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D936A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本期归属于少数股东的损益</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72F2E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本期向少数股东宣告分派的股利</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6A4D14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期末少数股东权益余额</w:t>
            </w:r>
          </w:p>
        </w:tc>
      </w:tr>
      <w:tr w14:paraId="3E7513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433BCE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135127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49.00%</w:t>
            </w:r>
          </w:p>
        </w:tc>
        <w:tc>
          <w:tcPr>
            <w:tcW w:w="1928" w:type="dxa"/>
            <w:tcBorders>
              <w:top w:val="single" w:color="auto" w:sz="2" w:space="0"/>
              <w:left w:val="single" w:color="auto" w:sz="2" w:space="0"/>
              <w:bottom w:val="single" w:color="auto" w:sz="2" w:space="0"/>
              <w:right w:val="single" w:color="auto" w:sz="2" w:space="0"/>
            </w:tcBorders>
            <w:vAlign w:val="center"/>
          </w:tcPr>
          <w:p w14:paraId="1CA733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-4,841.10</w:t>
            </w:r>
          </w:p>
        </w:tc>
        <w:tc>
          <w:tcPr>
            <w:tcW w:w="1928" w:type="dxa"/>
            <w:tcBorders>
              <w:top w:val="single" w:color="auto" w:sz="2" w:space="0"/>
              <w:left w:val="single" w:color="auto" w:sz="2" w:space="0"/>
              <w:bottom w:val="single" w:color="auto" w:sz="2" w:space="0"/>
              <w:right w:val="single" w:color="auto" w:sz="2" w:space="0"/>
            </w:tcBorders>
            <w:vAlign w:val="center"/>
          </w:tcPr>
          <w:p w14:paraId="553F9DD4">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AE359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-326,595.61</w:t>
            </w:r>
          </w:p>
        </w:tc>
      </w:tr>
      <w:tr w14:paraId="072F67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0400AA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3FC7AF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49.00%</w:t>
            </w:r>
          </w:p>
        </w:tc>
        <w:tc>
          <w:tcPr>
            <w:tcW w:w="1928" w:type="dxa"/>
            <w:tcBorders>
              <w:top w:val="single" w:color="auto" w:sz="2" w:space="0"/>
              <w:left w:val="single" w:color="auto" w:sz="2" w:space="0"/>
              <w:bottom w:val="single" w:color="auto" w:sz="2" w:space="0"/>
              <w:right w:val="single" w:color="auto" w:sz="2" w:space="0"/>
            </w:tcBorders>
            <w:vAlign w:val="center"/>
          </w:tcPr>
          <w:p w14:paraId="3F33A28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-1,572,807.90</w:t>
            </w:r>
          </w:p>
        </w:tc>
        <w:tc>
          <w:tcPr>
            <w:tcW w:w="1928" w:type="dxa"/>
            <w:tcBorders>
              <w:top w:val="single" w:color="auto" w:sz="2" w:space="0"/>
              <w:left w:val="single" w:color="auto" w:sz="2" w:space="0"/>
              <w:bottom w:val="single" w:color="auto" w:sz="2" w:space="0"/>
              <w:right w:val="single" w:color="auto" w:sz="2" w:space="0"/>
            </w:tcBorders>
            <w:vAlign w:val="center"/>
          </w:tcPr>
          <w:p w14:paraId="62242ECC">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3481E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2,693,892.37</w:t>
            </w:r>
          </w:p>
        </w:tc>
      </w:tr>
      <w:tr w14:paraId="228FD2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55CDFE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092E69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49.00%</w:t>
            </w:r>
          </w:p>
        </w:tc>
        <w:tc>
          <w:tcPr>
            <w:tcW w:w="1928" w:type="dxa"/>
            <w:tcBorders>
              <w:top w:val="single" w:color="auto" w:sz="2" w:space="0"/>
              <w:left w:val="single" w:color="auto" w:sz="2" w:space="0"/>
              <w:bottom w:val="single" w:color="auto" w:sz="2" w:space="0"/>
              <w:right w:val="single" w:color="auto" w:sz="2" w:space="0"/>
            </w:tcBorders>
            <w:vAlign w:val="center"/>
          </w:tcPr>
          <w:p w14:paraId="13B085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-3,422,847.74</w:t>
            </w:r>
          </w:p>
        </w:tc>
        <w:tc>
          <w:tcPr>
            <w:tcW w:w="1928" w:type="dxa"/>
            <w:tcBorders>
              <w:top w:val="single" w:color="auto" w:sz="2" w:space="0"/>
              <w:left w:val="single" w:color="auto" w:sz="2" w:space="0"/>
              <w:bottom w:val="single" w:color="auto" w:sz="2" w:space="0"/>
              <w:right w:val="single" w:color="auto" w:sz="2" w:space="0"/>
            </w:tcBorders>
            <w:vAlign w:val="center"/>
          </w:tcPr>
          <w:p w14:paraId="485B3C0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9CCBE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-4,323,621.61</w:t>
            </w:r>
          </w:p>
        </w:tc>
      </w:tr>
      <w:tr w14:paraId="6333C24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7613D63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广州路创轨道科技有限公司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727AC0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w:t>
            </w:r>
          </w:p>
        </w:tc>
        <w:tc>
          <w:tcPr>
            <w:tcW w:w="1928" w:type="dxa"/>
            <w:tcBorders>
              <w:top w:val="single" w:color="auto" w:sz="2" w:space="0"/>
              <w:left w:val="single" w:color="auto" w:sz="2" w:space="0"/>
              <w:bottom w:val="single" w:color="auto" w:sz="2" w:space="0"/>
              <w:right w:val="single" w:color="auto" w:sz="2" w:space="0"/>
            </w:tcBorders>
            <w:vAlign w:val="center"/>
          </w:tcPr>
          <w:p w14:paraId="304805B7">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F2275F2">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0799C21">
            <w:pPr>
              <w:spacing w:line="240" w:lineRule="exact"/>
              <w:jc w:val="right"/>
              <w:rPr>
                <w:rFonts w:ascii="Times New Roman" w:hAnsi="Times New Roman" w:cs="Times New Roman" w:eastAsiaTheme="majorEastAsia"/>
                <w:sz w:val="18"/>
                <w:szCs w:val="18"/>
              </w:rPr>
            </w:pPr>
          </w:p>
        </w:tc>
      </w:tr>
      <w:tr w14:paraId="14A786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3C02855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惠州市天亿马信息技术有限公司</w:t>
            </w:r>
          </w:p>
        </w:tc>
        <w:tc>
          <w:tcPr>
            <w:tcW w:w="1928" w:type="dxa"/>
            <w:tcBorders>
              <w:top w:val="single" w:color="auto" w:sz="2" w:space="0"/>
              <w:left w:val="single" w:color="auto" w:sz="2" w:space="0"/>
              <w:bottom w:val="single" w:color="auto" w:sz="2" w:space="0"/>
              <w:right w:val="single" w:color="auto" w:sz="2" w:space="0"/>
            </w:tcBorders>
            <w:vAlign w:val="center"/>
          </w:tcPr>
          <w:p w14:paraId="37B368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49.00%</w:t>
            </w:r>
          </w:p>
        </w:tc>
        <w:tc>
          <w:tcPr>
            <w:tcW w:w="1928" w:type="dxa"/>
            <w:tcBorders>
              <w:top w:val="single" w:color="auto" w:sz="2" w:space="0"/>
              <w:left w:val="single" w:color="auto" w:sz="2" w:space="0"/>
              <w:bottom w:val="single" w:color="auto" w:sz="2" w:space="0"/>
              <w:right w:val="single" w:color="auto" w:sz="2" w:space="0"/>
            </w:tcBorders>
            <w:vAlign w:val="center"/>
          </w:tcPr>
          <w:p w14:paraId="4928BDD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B761810">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260F8E0">
            <w:pPr>
              <w:spacing w:line="240" w:lineRule="exact"/>
              <w:jc w:val="right"/>
              <w:rPr>
                <w:rFonts w:ascii="Times New Roman" w:hAnsi="Times New Roman" w:cs="Times New Roman" w:eastAsiaTheme="majorEastAsia"/>
                <w:sz w:val="18"/>
                <w:szCs w:val="18"/>
              </w:rPr>
            </w:pPr>
          </w:p>
        </w:tc>
      </w:tr>
    </w:tbl>
    <w:p w14:paraId="22454C2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子公司少数股东的持股比例不同于表决权比例的说明：不适用</w:t>
      </w:r>
      <w:r>
        <w:rPr>
          <w:rFonts w:hint="eastAsia" w:ascii="Times New Roman" w:hAnsi="Times New Roman" w:cs="Times New Roman" w:eastAsiaTheme="majorEastAsia"/>
          <w:sz w:val="18"/>
          <w:szCs w:val="18"/>
        </w:rPr>
        <w:t>。</w:t>
      </w:r>
    </w:p>
    <w:p w14:paraId="477831E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r>
        <w:rPr>
          <w:rFonts w:hint="eastAsia" w:ascii="Times New Roman" w:hAnsi="Times New Roman" w:cs="Times New Roman" w:eastAsiaTheme="majorEastAsia"/>
          <w:sz w:val="18"/>
          <w:szCs w:val="18"/>
        </w:rPr>
        <w:t>。</w:t>
      </w:r>
    </w:p>
    <w:p w14:paraId="30100AC9">
      <w:pPr>
        <w:keepNext/>
        <w:keepLines/>
        <w:spacing w:before="300" w:after="300" w:line="280" w:lineRule="exact"/>
        <w:outlineLvl w:val="3"/>
        <w:rPr>
          <w:rFonts w:ascii="Times New Roman" w:hAnsi="Times New Roman" w:cs="Times New Roman" w:eastAsiaTheme="majorEastAsia"/>
          <w:b/>
          <w:bCs/>
          <w:sz w:val="18"/>
          <w:szCs w:val="18"/>
        </w:rPr>
      </w:pPr>
      <w:bookmarkStart w:id="410" w:name="_Toc989302"/>
      <w:r>
        <w:rPr>
          <w:rFonts w:ascii="Times New Roman" w:hAnsi="Times New Roman" w:cs="Times New Roman" w:eastAsiaTheme="majorEastAsia"/>
          <w:b/>
          <w:bCs/>
          <w:sz w:val="18"/>
          <w:szCs w:val="18"/>
        </w:rPr>
        <w:t>（3） 重要非全资子公司的主要财务信息</w:t>
      </w:r>
      <w:bookmarkEnd w:id="410"/>
    </w:p>
    <w:p w14:paraId="5F18F7D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41"/>
        <w:gridCol w:w="741"/>
        <w:gridCol w:w="741"/>
        <w:gridCol w:w="741"/>
        <w:gridCol w:w="741"/>
        <w:gridCol w:w="741"/>
        <w:gridCol w:w="744"/>
        <w:gridCol w:w="741"/>
        <w:gridCol w:w="741"/>
        <w:gridCol w:w="741"/>
        <w:gridCol w:w="741"/>
        <w:gridCol w:w="741"/>
        <w:gridCol w:w="744"/>
      </w:tblGrid>
      <w:tr w14:paraId="795393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74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C05E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子公司名称</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3DEBAD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449" w:type="dxa"/>
            <w:gridSpan w:val="6"/>
            <w:tcBorders>
              <w:top w:val="single" w:color="auto" w:sz="2" w:space="0"/>
              <w:left w:val="single" w:color="auto" w:sz="2" w:space="0"/>
              <w:bottom w:val="single" w:color="auto" w:sz="2" w:space="0"/>
              <w:right w:val="single" w:color="auto" w:sz="2" w:space="0"/>
            </w:tcBorders>
            <w:shd w:val="clear" w:color="auto" w:fill="D3D3D3"/>
            <w:vAlign w:val="center"/>
          </w:tcPr>
          <w:p w14:paraId="0DC6A3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0B8F26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74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048F0E0">
            <w:pPr>
              <w:rPr>
                <w:rFonts w:ascii="Times New Roman" w:hAnsi="Times New Roman" w:cs="Times New Roman" w:eastAsiaTheme="majorEastAsia"/>
              </w:rPr>
            </w:pP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6271C8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176284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0A3BE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0DB40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AF3D34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D1B02C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277F09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6506FF5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非流动资产</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4F7F8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资产合计</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5FFB2A3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301D789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非流动负债</w:t>
            </w:r>
          </w:p>
        </w:tc>
        <w:tc>
          <w:tcPr>
            <w:tcW w:w="741" w:type="dxa"/>
            <w:tcBorders>
              <w:top w:val="single" w:color="auto" w:sz="2" w:space="0"/>
              <w:left w:val="single" w:color="auto" w:sz="2" w:space="0"/>
              <w:bottom w:val="single" w:color="auto" w:sz="2" w:space="0"/>
              <w:right w:val="single" w:color="auto" w:sz="2" w:space="0"/>
            </w:tcBorders>
            <w:shd w:val="clear" w:color="auto" w:fill="D3D3D3"/>
            <w:vAlign w:val="center"/>
          </w:tcPr>
          <w:p w14:paraId="0EA8CB4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负债合计</w:t>
            </w:r>
          </w:p>
        </w:tc>
      </w:tr>
      <w:tr w14:paraId="032AB5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39602A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3AA49D3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88,786.72</w:t>
            </w:r>
          </w:p>
        </w:tc>
        <w:tc>
          <w:tcPr>
            <w:tcW w:w="741" w:type="dxa"/>
            <w:tcBorders>
              <w:top w:val="single" w:color="auto" w:sz="2" w:space="0"/>
              <w:left w:val="single" w:color="auto" w:sz="2" w:space="0"/>
              <w:bottom w:val="single" w:color="auto" w:sz="2" w:space="0"/>
              <w:right w:val="single" w:color="auto" w:sz="2" w:space="0"/>
            </w:tcBorders>
            <w:vAlign w:val="center"/>
          </w:tcPr>
          <w:p w14:paraId="45A3F0A1">
            <w:pPr>
              <w:spacing w:line="240" w:lineRule="exact"/>
              <w:jc w:val="right"/>
              <w:rPr>
                <w:rFonts w:ascii="Times New Roman" w:hAnsi="Times New Roman" w:cs="Times New Roman" w:eastAsiaTheme="majorEastAsia"/>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63654B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88,786.72</w:t>
            </w:r>
          </w:p>
        </w:tc>
        <w:tc>
          <w:tcPr>
            <w:tcW w:w="741" w:type="dxa"/>
            <w:tcBorders>
              <w:top w:val="single" w:color="auto" w:sz="2" w:space="0"/>
              <w:left w:val="single" w:color="auto" w:sz="2" w:space="0"/>
              <w:bottom w:val="single" w:color="auto" w:sz="2" w:space="0"/>
              <w:right w:val="single" w:color="auto" w:sz="2" w:space="0"/>
            </w:tcBorders>
            <w:vAlign w:val="center"/>
          </w:tcPr>
          <w:p w14:paraId="085CD8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755,308.40</w:t>
            </w:r>
          </w:p>
        </w:tc>
        <w:tc>
          <w:tcPr>
            <w:tcW w:w="741" w:type="dxa"/>
            <w:tcBorders>
              <w:top w:val="single" w:color="auto" w:sz="2" w:space="0"/>
              <w:left w:val="single" w:color="auto" w:sz="2" w:space="0"/>
              <w:bottom w:val="single" w:color="auto" w:sz="2" w:space="0"/>
              <w:right w:val="single" w:color="auto" w:sz="2" w:space="0"/>
            </w:tcBorders>
            <w:vAlign w:val="center"/>
          </w:tcPr>
          <w:p w14:paraId="5E3D5E39">
            <w:pPr>
              <w:spacing w:line="240" w:lineRule="exact"/>
              <w:jc w:val="right"/>
              <w:rPr>
                <w:rFonts w:ascii="Times New Roman" w:hAnsi="Times New Roman" w:cs="Times New Roman" w:eastAsiaTheme="majorEastAsia"/>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552797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755,308.40</w:t>
            </w:r>
          </w:p>
        </w:tc>
        <w:tc>
          <w:tcPr>
            <w:tcW w:w="741" w:type="dxa"/>
            <w:tcBorders>
              <w:top w:val="single" w:color="auto" w:sz="2" w:space="0"/>
              <w:left w:val="single" w:color="auto" w:sz="2" w:space="0"/>
              <w:bottom w:val="single" w:color="auto" w:sz="2" w:space="0"/>
              <w:right w:val="single" w:color="auto" w:sz="2" w:space="0"/>
            </w:tcBorders>
            <w:vAlign w:val="center"/>
          </w:tcPr>
          <w:p w14:paraId="5FFA021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98,666.52</w:t>
            </w:r>
          </w:p>
        </w:tc>
        <w:tc>
          <w:tcPr>
            <w:tcW w:w="741" w:type="dxa"/>
            <w:tcBorders>
              <w:top w:val="single" w:color="auto" w:sz="2" w:space="0"/>
              <w:left w:val="single" w:color="auto" w:sz="2" w:space="0"/>
              <w:bottom w:val="single" w:color="auto" w:sz="2" w:space="0"/>
              <w:right w:val="single" w:color="auto" w:sz="2" w:space="0"/>
            </w:tcBorders>
            <w:vAlign w:val="center"/>
          </w:tcPr>
          <w:p w14:paraId="3336F3C7">
            <w:pPr>
              <w:spacing w:line="240" w:lineRule="exact"/>
              <w:jc w:val="right"/>
              <w:rPr>
                <w:rFonts w:ascii="Times New Roman" w:hAnsi="Times New Roman" w:cs="Times New Roman" w:eastAsiaTheme="majorEastAsia"/>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06CA4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98,666.52</w:t>
            </w:r>
          </w:p>
        </w:tc>
        <w:tc>
          <w:tcPr>
            <w:tcW w:w="741" w:type="dxa"/>
            <w:tcBorders>
              <w:top w:val="single" w:color="auto" w:sz="2" w:space="0"/>
              <w:left w:val="single" w:color="auto" w:sz="2" w:space="0"/>
              <w:bottom w:val="single" w:color="auto" w:sz="2" w:space="0"/>
              <w:right w:val="single" w:color="auto" w:sz="2" w:space="0"/>
            </w:tcBorders>
            <w:vAlign w:val="center"/>
          </w:tcPr>
          <w:p w14:paraId="7355AD4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755,308.40</w:t>
            </w:r>
          </w:p>
        </w:tc>
        <w:tc>
          <w:tcPr>
            <w:tcW w:w="741" w:type="dxa"/>
            <w:tcBorders>
              <w:top w:val="single" w:color="auto" w:sz="2" w:space="0"/>
              <w:left w:val="single" w:color="auto" w:sz="2" w:space="0"/>
              <w:bottom w:val="single" w:color="auto" w:sz="2" w:space="0"/>
              <w:right w:val="single" w:color="auto" w:sz="2" w:space="0"/>
            </w:tcBorders>
            <w:vAlign w:val="center"/>
          </w:tcPr>
          <w:p w14:paraId="4EAAB254">
            <w:pPr>
              <w:spacing w:line="240" w:lineRule="exact"/>
              <w:jc w:val="right"/>
              <w:rPr>
                <w:rFonts w:ascii="Times New Roman" w:hAnsi="Times New Roman" w:cs="Times New Roman" w:eastAsiaTheme="majorEastAsia"/>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7C7F357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755,308.40</w:t>
            </w:r>
          </w:p>
        </w:tc>
      </w:tr>
      <w:tr w14:paraId="725EA1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4AF823C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2E78B0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18,793,392.40</w:t>
            </w:r>
          </w:p>
        </w:tc>
        <w:tc>
          <w:tcPr>
            <w:tcW w:w="741" w:type="dxa"/>
            <w:tcBorders>
              <w:top w:val="single" w:color="auto" w:sz="2" w:space="0"/>
              <w:left w:val="single" w:color="auto" w:sz="2" w:space="0"/>
              <w:bottom w:val="single" w:color="auto" w:sz="2" w:space="0"/>
              <w:right w:val="single" w:color="auto" w:sz="2" w:space="0"/>
            </w:tcBorders>
            <w:vAlign w:val="center"/>
          </w:tcPr>
          <w:p w14:paraId="3DF878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98,981,615.02</w:t>
            </w:r>
          </w:p>
        </w:tc>
        <w:tc>
          <w:tcPr>
            <w:tcW w:w="741" w:type="dxa"/>
            <w:tcBorders>
              <w:top w:val="single" w:color="auto" w:sz="2" w:space="0"/>
              <w:left w:val="single" w:color="auto" w:sz="2" w:space="0"/>
              <w:bottom w:val="single" w:color="auto" w:sz="2" w:space="0"/>
              <w:right w:val="single" w:color="auto" w:sz="2" w:space="0"/>
            </w:tcBorders>
            <w:vAlign w:val="center"/>
          </w:tcPr>
          <w:p w14:paraId="311CDF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117,775,007.42</w:t>
            </w:r>
          </w:p>
        </w:tc>
        <w:tc>
          <w:tcPr>
            <w:tcW w:w="741" w:type="dxa"/>
            <w:tcBorders>
              <w:top w:val="single" w:color="auto" w:sz="2" w:space="0"/>
              <w:left w:val="single" w:color="auto" w:sz="2" w:space="0"/>
              <w:bottom w:val="single" w:color="auto" w:sz="2" w:space="0"/>
              <w:right w:val="single" w:color="auto" w:sz="2" w:space="0"/>
            </w:tcBorders>
            <w:vAlign w:val="center"/>
          </w:tcPr>
          <w:p w14:paraId="6E412E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52,024,087.36</w:t>
            </w:r>
          </w:p>
        </w:tc>
        <w:tc>
          <w:tcPr>
            <w:tcW w:w="741" w:type="dxa"/>
            <w:tcBorders>
              <w:top w:val="single" w:color="auto" w:sz="2" w:space="0"/>
              <w:left w:val="single" w:color="auto" w:sz="2" w:space="0"/>
              <w:bottom w:val="single" w:color="auto" w:sz="2" w:space="0"/>
              <w:right w:val="single" w:color="auto" w:sz="2" w:space="0"/>
            </w:tcBorders>
            <w:vAlign w:val="center"/>
          </w:tcPr>
          <w:p w14:paraId="274E70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51,243,932.00</w:t>
            </w:r>
          </w:p>
        </w:tc>
        <w:tc>
          <w:tcPr>
            <w:tcW w:w="741" w:type="dxa"/>
            <w:tcBorders>
              <w:top w:val="single" w:color="auto" w:sz="2" w:space="0"/>
              <w:left w:val="single" w:color="auto" w:sz="2" w:space="0"/>
              <w:bottom w:val="single" w:color="auto" w:sz="2" w:space="0"/>
              <w:right w:val="single" w:color="auto" w:sz="2" w:space="0"/>
            </w:tcBorders>
            <w:vAlign w:val="center"/>
          </w:tcPr>
          <w:p w14:paraId="32B6E96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103,268,019.36</w:t>
            </w:r>
          </w:p>
        </w:tc>
        <w:tc>
          <w:tcPr>
            <w:tcW w:w="741" w:type="dxa"/>
            <w:tcBorders>
              <w:top w:val="single" w:color="auto" w:sz="2" w:space="0"/>
              <w:left w:val="single" w:color="auto" w:sz="2" w:space="0"/>
              <w:bottom w:val="single" w:color="auto" w:sz="2" w:space="0"/>
              <w:right w:val="single" w:color="auto" w:sz="2" w:space="0"/>
            </w:tcBorders>
            <w:vAlign w:val="center"/>
          </w:tcPr>
          <w:p w14:paraId="4E8E06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10,940,962.94</w:t>
            </w:r>
          </w:p>
        </w:tc>
        <w:tc>
          <w:tcPr>
            <w:tcW w:w="741" w:type="dxa"/>
            <w:tcBorders>
              <w:top w:val="single" w:color="auto" w:sz="2" w:space="0"/>
              <w:left w:val="single" w:color="auto" w:sz="2" w:space="0"/>
              <w:bottom w:val="single" w:color="auto" w:sz="2" w:space="0"/>
              <w:right w:val="single" w:color="auto" w:sz="2" w:space="0"/>
            </w:tcBorders>
            <w:vAlign w:val="center"/>
          </w:tcPr>
          <w:p w14:paraId="68503E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82,584.89</w:t>
            </w:r>
          </w:p>
        </w:tc>
        <w:tc>
          <w:tcPr>
            <w:tcW w:w="741" w:type="dxa"/>
            <w:tcBorders>
              <w:top w:val="single" w:color="auto" w:sz="2" w:space="0"/>
              <w:left w:val="single" w:color="auto" w:sz="2" w:space="0"/>
              <w:bottom w:val="single" w:color="auto" w:sz="2" w:space="0"/>
              <w:right w:val="single" w:color="auto" w:sz="2" w:space="0"/>
            </w:tcBorders>
            <w:vAlign w:val="center"/>
          </w:tcPr>
          <w:p w14:paraId="4932F8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11,023,547.83</w:t>
            </w:r>
          </w:p>
        </w:tc>
        <w:tc>
          <w:tcPr>
            <w:tcW w:w="741" w:type="dxa"/>
            <w:tcBorders>
              <w:top w:val="single" w:color="auto" w:sz="2" w:space="0"/>
              <w:left w:val="single" w:color="auto" w:sz="2" w:space="0"/>
              <w:bottom w:val="single" w:color="auto" w:sz="2" w:space="0"/>
              <w:right w:val="single" w:color="auto" w:sz="2" w:space="0"/>
            </w:tcBorders>
            <w:vAlign w:val="center"/>
          </w:tcPr>
          <w:p w14:paraId="00B4F83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321,681.05</w:t>
            </w:r>
          </w:p>
        </w:tc>
        <w:tc>
          <w:tcPr>
            <w:tcW w:w="741" w:type="dxa"/>
            <w:tcBorders>
              <w:top w:val="single" w:color="auto" w:sz="2" w:space="0"/>
              <w:left w:val="single" w:color="auto" w:sz="2" w:space="0"/>
              <w:bottom w:val="single" w:color="auto" w:sz="2" w:space="0"/>
              <w:right w:val="single" w:color="auto" w:sz="2" w:space="0"/>
            </w:tcBorders>
            <w:vAlign w:val="center"/>
          </w:tcPr>
          <w:p w14:paraId="44260C64">
            <w:pPr>
              <w:spacing w:line="240" w:lineRule="exact"/>
              <w:jc w:val="right"/>
              <w:rPr>
                <w:rFonts w:ascii="Times New Roman" w:hAnsi="Times New Roman" w:cs="Times New Roman" w:eastAsiaTheme="majorEastAsia"/>
                <w:sz w:val="18"/>
                <w:szCs w:val="18"/>
              </w:rPr>
            </w:pPr>
          </w:p>
        </w:tc>
        <w:tc>
          <w:tcPr>
            <w:tcW w:w="741" w:type="dxa"/>
            <w:tcBorders>
              <w:top w:val="single" w:color="auto" w:sz="2" w:space="0"/>
              <w:left w:val="single" w:color="auto" w:sz="2" w:space="0"/>
              <w:bottom w:val="single" w:color="auto" w:sz="2" w:space="0"/>
              <w:right w:val="single" w:color="auto" w:sz="2" w:space="0"/>
            </w:tcBorders>
            <w:vAlign w:val="center"/>
          </w:tcPr>
          <w:p w14:paraId="1225484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321,681.05</w:t>
            </w:r>
          </w:p>
        </w:tc>
      </w:tr>
      <w:tr w14:paraId="06B168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41" w:type="dxa"/>
            <w:tcBorders>
              <w:top w:val="single" w:color="auto" w:sz="2" w:space="0"/>
              <w:left w:val="single" w:color="auto" w:sz="2" w:space="0"/>
              <w:bottom w:val="single" w:color="auto" w:sz="2" w:space="0"/>
              <w:right w:val="single" w:color="auto" w:sz="2" w:space="0"/>
            </w:tcBorders>
            <w:vAlign w:val="center"/>
          </w:tcPr>
          <w:p w14:paraId="3FD2957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741" w:type="dxa"/>
            <w:tcBorders>
              <w:top w:val="single" w:color="auto" w:sz="2" w:space="0"/>
              <w:left w:val="single" w:color="auto" w:sz="2" w:space="0"/>
              <w:bottom w:val="single" w:color="auto" w:sz="2" w:space="0"/>
              <w:right w:val="single" w:color="auto" w:sz="2" w:space="0"/>
            </w:tcBorders>
            <w:vAlign w:val="center"/>
          </w:tcPr>
          <w:p w14:paraId="058195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14,274,558.12</w:t>
            </w:r>
          </w:p>
        </w:tc>
        <w:tc>
          <w:tcPr>
            <w:tcW w:w="741" w:type="dxa"/>
            <w:tcBorders>
              <w:top w:val="single" w:color="auto" w:sz="2" w:space="0"/>
              <w:left w:val="single" w:color="auto" w:sz="2" w:space="0"/>
              <w:bottom w:val="single" w:color="auto" w:sz="2" w:space="0"/>
              <w:right w:val="single" w:color="auto" w:sz="2" w:space="0"/>
            </w:tcBorders>
            <w:vAlign w:val="center"/>
          </w:tcPr>
          <w:p w14:paraId="4858D2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4,961,738.49</w:t>
            </w:r>
          </w:p>
        </w:tc>
        <w:tc>
          <w:tcPr>
            <w:tcW w:w="741" w:type="dxa"/>
            <w:tcBorders>
              <w:top w:val="single" w:color="auto" w:sz="2" w:space="0"/>
              <w:left w:val="single" w:color="auto" w:sz="2" w:space="0"/>
              <w:bottom w:val="single" w:color="auto" w:sz="2" w:space="0"/>
              <w:right w:val="single" w:color="auto" w:sz="2" w:space="0"/>
            </w:tcBorders>
            <w:vAlign w:val="center"/>
          </w:tcPr>
          <w:p w14:paraId="7DF9EF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19,236,296.61</w:t>
            </w:r>
          </w:p>
        </w:tc>
        <w:tc>
          <w:tcPr>
            <w:tcW w:w="741" w:type="dxa"/>
            <w:tcBorders>
              <w:top w:val="single" w:color="auto" w:sz="2" w:space="0"/>
              <w:left w:val="single" w:color="auto" w:sz="2" w:space="0"/>
              <w:bottom w:val="single" w:color="auto" w:sz="2" w:space="0"/>
              <w:right w:val="single" w:color="auto" w:sz="2" w:space="0"/>
            </w:tcBorders>
            <w:vAlign w:val="center"/>
          </w:tcPr>
          <w:p w14:paraId="22B032C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23,026,300.04</w:t>
            </w:r>
          </w:p>
        </w:tc>
        <w:tc>
          <w:tcPr>
            <w:tcW w:w="741" w:type="dxa"/>
            <w:tcBorders>
              <w:top w:val="single" w:color="auto" w:sz="2" w:space="0"/>
              <w:left w:val="single" w:color="auto" w:sz="2" w:space="0"/>
              <w:bottom w:val="single" w:color="auto" w:sz="2" w:space="0"/>
              <w:right w:val="single" w:color="auto" w:sz="2" w:space="0"/>
            </w:tcBorders>
            <w:vAlign w:val="center"/>
          </w:tcPr>
          <w:p w14:paraId="456E1B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713,032.15</w:t>
            </w:r>
          </w:p>
        </w:tc>
        <w:tc>
          <w:tcPr>
            <w:tcW w:w="741" w:type="dxa"/>
            <w:tcBorders>
              <w:top w:val="single" w:color="auto" w:sz="2" w:space="0"/>
              <w:left w:val="single" w:color="auto" w:sz="2" w:space="0"/>
              <w:bottom w:val="single" w:color="auto" w:sz="2" w:space="0"/>
              <w:right w:val="single" w:color="auto" w:sz="2" w:space="0"/>
            </w:tcBorders>
            <w:vAlign w:val="center"/>
          </w:tcPr>
          <w:p w14:paraId="3F4010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23,739,332.19</w:t>
            </w:r>
          </w:p>
        </w:tc>
        <w:tc>
          <w:tcPr>
            <w:tcW w:w="741" w:type="dxa"/>
            <w:tcBorders>
              <w:top w:val="single" w:color="auto" w:sz="2" w:space="0"/>
              <w:left w:val="single" w:color="auto" w:sz="2" w:space="0"/>
              <w:bottom w:val="single" w:color="auto" w:sz="2" w:space="0"/>
              <w:right w:val="single" w:color="auto" w:sz="2" w:space="0"/>
            </w:tcBorders>
            <w:vAlign w:val="center"/>
          </w:tcPr>
          <w:p w14:paraId="6360C0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2,526,681.25</w:t>
            </w:r>
          </w:p>
        </w:tc>
        <w:tc>
          <w:tcPr>
            <w:tcW w:w="741" w:type="dxa"/>
            <w:tcBorders>
              <w:top w:val="single" w:color="auto" w:sz="2" w:space="0"/>
              <w:left w:val="single" w:color="auto" w:sz="2" w:space="0"/>
              <w:bottom w:val="single" w:color="auto" w:sz="2" w:space="0"/>
              <w:right w:val="single" w:color="auto" w:sz="2" w:space="0"/>
            </w:tcBorders>
            <w:vAlign w:val="center"/>
          </w:tcPr>
          <w:p w14:paraId="23C2A8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1,886,669.39</w:t>
            </w:r>
          </w:p>
        </w:tc>
        <w:tc>
          <w:tcPr>
            <w:tcW w:w="741" w:type="dxa"/>
            <w:tcBorders>
              <w:top w:val="single" w:color="auto" w:sz="2" w:space="0"/>
              <w:left w:val="single" w:color="auto" w:sz="2" w:space="0"/>
              <w:bottom w:val="single" w:color="auto" w:sz="2" w:space="0"/>
              <w:right w:val="single" w:color="auto" w:sz="2" w:space="0"/>
            </w:tcBorders>
            <w:vAlign w:val="center"/>
          </w:tcPr>
          <w:p w14:paraId="05EC2C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4,413,350.64</w:t>
            </w:r>
          </w:p>
        </w:tc>
        <w:tc>
          <w:tcPr>
            <w:tcW w:w="741" w:type="dxa"/>
            <w:tcBorders>
              <w:top w:val="single" w:color="auto" w:sz="2" w:space="0"/>
              <w:left w:val="single" w:color="auto" w:sz="2" w:space="0"/>
              <w:bottom w:val="single" w:color="auto" w:sz="2" w:space="0"/>
              <w:right w:val="single" w:color="auto" w:sz="2" w:space="0"/>
            </w:tcBorders>
            <w:vAlign w:val="center"/>
          </w:tcPr>
          <w:p w14:paraId="1BDD86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1,809,550.07</w:t>
            </w:r>
          </w:p>
        </w:tc>
        <w:tc>
          <w:tcPr>
            <w:tcW w:w="741" w:type="dxa"/>
            <w:tcBorders>
              <w:top w:val="single" w:color="auto" w:sz="2" w:space="0"/>
              <w:left w:val="single" w:color="auto" w:sz="2" w:space="0"/>
              <w:bottom w:val="single" w:color="auto" w:sz="2" w:space="0"/>
              <w:right w:val="single" w:color="auto" w:sz="2" w:space="0"/>
            </w:tcBorders>
            <w:vAlign w:val="center"/>
          </w:tcPr>
          <w:p w14:paraId="35A40E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121,432.60</w:t>
            </w:r>
          </w:p>
        </w:tc>
        <w:tc>
          <w:tcPr>
            <w:tcW w:w="741" w:type="dxa"/>
            <w:tcBorders>
              <w:top w:val="single" w:color="auto" w:sz="2" w:space="0"/>
              <w:left w:val="single" w:color="auto" w:sz="2" w:space="0"/>
              <w:bottom w:val="single" w:color="auto" w:sz="2" w:space="0"/>
              <w:right w:val="single" w:color="auto" w:sz="2" w:space="0"/>
            </w:tcBorders>
            <w:vAlign w:val="center"/>
          </w:tcPr>
          <w:p w14:paraId="6E3435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1,930,982.67</w:t>
            </w:r>
          </w:p>
        </w:tc>
      </w:tr>
    </w:tbl>
    <w:p w14:paraId="4826FBE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71"/>
        <w:gridCol w:w="1071"/>
        <w:gridCol w:w="1071"/>
        <w:gridCol w:w="1071"/>
        <w:gridCol w:w="1071"/>
        <w:gridCol w:w="1071"/>
        <w:gridCol w:w="1071"/>
        <w:gridCol w:w="1071"/>
        <w:gridCol w:w="1071"/>
      </w:tblGrid>
      <w:tr w14:paraId="507D05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71"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E73B30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子公司名称</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7FE4C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4284"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79FD76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7673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71"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647E26A">
            <w:pPr>
              <w:rPr>
                <w:rFonts w:ascii="Times New Roman" w:hAnsi="Times New Roman" w:cs="Times New Roman" w:eastAsiaTheme="majorEastAsia"/>
              </w:rPr>
            </w:pP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34DABD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E891CD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47AE35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20751D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经营活动现金流量</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F227A3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营业收入</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727BCD8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净利润</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0D2E1A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综合收益总额</w:t>
            </w:r>
          </w:p>
        </w:tc>
        <w:tc>
          <w:tcPr>
            <w:tcW w:w="1071" w:type="dxa"/>
            <w:tcBorders>
              <w:top w:val="single" w:color="auto" w:sz="2" w:space="0"/>
              <w:left w:val="single" w:color="auto" w:sz="2" w:space="0"/>
              <w:bottom w:val="single" w:color="auto" w:sz="2" w:space="0"/>
              <w:right w:val="single" w:color="auto" w:sz="2" w:space="0"/>
            </w:tcBorders>
            <w:shd w:val="clear" w:color="auto" w:fill="D3D3D3"/>
            <w:vAlign w:val="center"/>
          </w:tcPr>
          <w:p w14:paraId="5B35462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经营活动现金流量</w:t>
            </w:r>
          </w:p>
        </w:tc>
      </w:tr>
      <w:tr w14:paraId="68A7FE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717BCB3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15F809D9">
            <w:pPr>
              <w:spacing w:line="240" w:lineRule="exact"/>
              <w:ind w:right="-63" w:rightChars="-30"/>
              <w:jc w:val="right"/>
              <w:rPr>
                <w:rFonts w:ascii="Times New Roman" w:hAnsi="Times New Roman" w:cs="Times New Roman" w:eastAsiaTheme="majorEastAsia"/>
                <w:sz w:val="15"/>
                <w:szCs w:val="15"/>
              </w:rPr>
            </w:pPr>
          </w:p>
        </w:tc>
        <w:tc>
          <w:tcPr>
            <w:tcW w:w="1071" w:type="dxa"/>
            <w:tcBorders>
              <w:top w:val="single" w:color="auto" w:sz="2" w:space="0"/>
              <w:left w:val="single" w:color="auto" w:sz="2" w:space="0"/>
              <w:bottom w:val="single" w:color="auto" w:sz="2" w:space="0"/>
              <w:right w:val="single" w:color="auto" w:sz="2" w:space="0"/>
            </w:tcBorders>
            <w:vAlign w:val="center"/>
          </w:tcPr>
          <w:p w14:paraId="17AFC440">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-9,879.80</w:t>
            </w:r>
          </w:p>
        </w:tc>
        <w:tc>
          <w:tcPr>
            <w:tcW w:w="1071" w:type="dxa"/>
            <w:tcBorders>
              <w:top w:val="single" w:color="auto" w:sz="2" w:space="0"/>
              <w:left w:val="single" w:color="auto" w:sz="2" w:space="0"/>
              <w:bottom w:val="single" w:color="auto" w:sz="2" w:space="0"/>
              <w:right w:val="single" w:color="auto" w:sz="2" w:space="0"/>
            </w:tcBorders>
            <w:vAlign w:val="center"/>
          </w:tcPr>
          <w:p w14:paraId="3ACFC79A">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-9,879.80</w:t>
            </w:r>
          </w:p>
        </w:tc>
        <w:tc>
          <w:tcPr>
            <w:tcW w:w="1071" w:type="dxa"/>
            <w:tcBorders>
              <w:top w:val="single" w:color="auto" w:sz="2" w:space="0"/>
              <w:left w:val="single" w:color="auto" w:sz="2" w:space="0"/>
              <w:bottom w:val="single" w:color="auto" w:sz="2" w:space="0"/>
              <w:right w:val="single" w:color="auto" w:sz="2" w:space="0"/>
            </w:tcBorders>
            <w:vAlign w:val="center"/>
          </w:tcPr>
          <w:p w14:paraId="3DD1688A">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-726.27</w:t>
            </w:r>
          </w:p>
        </w:tc>
        <w:tc>
          <w:tcPr>
            <w:tcW w:w="1071" w:type="dxa"/>
            <w:tcBorders>
              <w:top w:val="single" w:color="auto" w:sz="2" w:space="0"/>
              <w:left w:val="single" w:color="auto" w:sz="2" w:space="0"/>
              <w:bottom w:val="single" w:color="auto" w:sz="2" w:space="0"/>
              <w:right w:val="single" w:color="auto" w:sz="2" w:space="0"/>
            </w:tcBorders>
            <w:vAlign w:val="center"/>
          </w:tcPr>
          <w:p w14:paraId="40FC4A0F">
            <w:pPr>
              <w:spacing w:line="240" w:lineRule="exact"/>
              <w:ind w:right="-63" w:rightChars="-30"/>
              <w:jc w:val="right"/>
              <w:rPr>
                <w:rFonts w:ascii="Times New Roman" w:hAnsi="Times New Roman" w:cs="Times New Roman" w:eastAsiaTheme="majorEastAsia"/>
                <w:sz w:val="15"/>
                <w:szCs w:val="15"/>
              </w:rPr>
            </w:pPr>
          </w:p>
        </w:tc>
        <w:tc>
          <w:tcPr>
            <w:tcW w:w="1071" w:type="dxa"/>
            <w:tcBorders>
              <w:top w:val="single" w:color="auto" w:sz="2" w:space="0"/>
              <w:left w:val="single" w:color="auto" w:sz="2" w:space="0"/>
              <w:bottom w:val="single" w:color="auto" w:sz="2" w:space="0"/>
              <w:right w:val="single" w:color="auto" w:sz="2" w:space="0"/>
            </w:tcBorders>
            <w:vAlign w:val="center"/>
          </w:tcPr>
          <w:p w14:paraId="03A73902">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-8,639.02</w:t>
            </w:r>
          </w:p>
        </w:tc>
        <w:tc>
          <w:tcPr>
            <w:tcW w:w="1071" w:type="dxa"/>
            <w:tcBorders>
              <w:top w:val="single" w:color="auto" w:sz="2" w:space="0"/>
              <w:left w:val="single" w:color="auto" w:sz="2" w:space="0"/>
              <w:bottom w:val="single" w:color="auto" w:sz="2" w:space="0"/>
              <w:right w:val="single" w:color="auto" w:sz="2" w:space="0"/>
            </w:tcBorders>
            <w:vAlign w:val="center"/>
          </w:tcPr>
          <w:p w14:paraId="4E4C1CBC">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-8,639.02</w:t>
            </w:r>
          </w:p>
        </w:tc>
        <w:tc>
          <w:tcPr>
            <w:tcW w:w="1071" w:type="dxa"/>
            <w:tcBorders>
              <w:top w:val="single" w:color="auto" w:sz="2" w:space="0"/>
              <w:left w:val="single" w:color="auto" w:sz="2" w:space="0"/>
              <w:bottom w:val="single" w:color="auto" w:sz="2" w:space="0"/>
              <w:right w:val="single" w:color="auto" w:sz="2" w:space="0"/>
            </w:tcBorders>
            <w:vAlign w:val="center"/>
          </w:tcPr>
          <w:p w14:paraId="5E079E8E">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-6,505.47</w:t>
            </w:r>
          </w:p>
        </w:tc>
      </w:tr>
      <w:tr w14:paraId="6ECC14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2FF14A1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563274EA">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643,382.46</w:t>
            </w:r>
          </w:p>
        </w:tc>
        <w:tc>
          <w:tcPr>
            <w:tcW w:w="1071" w:type="dxa"/>
            <w:tcBorders>
              <w:top w:val="single" w:color="auto" w:sz="2" w:space="0"/>
              <w:left w:val="single" w:color="auto" w:sz="2" w:space="0"/>
              <w:bottom w:val="single" w:color="auto" w:sz="2" w:space="0"/>
              <w:right w:val="single" w:color="auto" w:sz="2" w:space="0"/>
            </w:tcBorders>
            <w:vAlign w:val="center"/>
          </w:tcPr>
          <w:p w14:paraId="404E296C">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-3,209,009.63</w:t>
            </w:r>
          </w:p>
        </w:tc>
        <w:tc>
          <w:tcPr>
            <w:tcW w:w="1071" w:type="dxa"/>
            <w:tcBorders>
              <w:top w:val="single" w:color="auto" w:sz="2" w:space="0"/>
              <w:left w:val="single" w:color="auto" w:sz="2" w:space="0"/>
              <w:bottom w:val="single" w:color="auto" w:sz="2" w:space="0"/>
              <w:right w:val="single" w:color="auto" w:sz="2" w:space="0"/>
            </w:tcBorders>
            <w:vAlign w:val="center"/>
          </w:tcPr>
          <w:p w14:paraId="54ECE95A">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-3,209,009.63</w:t>
            </w:r>
          </w:p>
        </w:tc>
        <w:tc>
          <w:tcPr>
            <w:tcW w:w="1071" w:type="dxa"/>
            <w:tcBorders>
              <w:top w:val="single" w:color="auto" w:sz="2" w:space="0"/>
              <w:left w:val="single" w:color="auto" w:sz="2" w:space="0"/>
              <w:bottom w:val="single" w:color="auto" w:sz="2" w:space="0"/>
              <w:right w:val="single" w:color="auto" w:sz="2" w:space="0"/>
            </w:tcBorders>
            <w:vAlign w:val="center"/>
          </w:tcPr>
          <w:p w14:paraId="6FA12D39">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17,860,222.17</w:t>
            </w:r>
          </w:p>
        </w:tc>
        <w:tc>
          <w:tcPr>
            <w:tcW w:w="1071" w:type="dxa"/>
            <w:tcBorders>
              <w:top w:val="single" w:color="auto" w:sz="2" w:space="0"/>
              <w:left w:val="single" w:color="auto" w:sz="2" w:space="0"/>
              <w:bottom w:val="single" w:color="auto" w:sz="2" w:space="0"/>
              <w:right w:val="single" w:color="auto" w:sz="2" w:space="0"/>
            </w:tcBorders>
            <w:vAlign w:val="center"/>
          </w:tcPr>
          <w:p w14:paraId="45F2723B">
            <w:pPr>
              <w:spacing w:line="240" w:lineRule="exact"/>
              <w:ind w:right="-63" w:rightChars="-30"/>
              <w:jc w:val="right"/>
              <w:rPr>
                <w:rFonts w:ascii="Times New Roman" w:hAnsi="Times New Roman" w:cs="Times New Roman" w:eastAsiaTheme="majorEastAsia"/>
                <w:sz w:val="15"/>
                <w:szCs w:val="15"/>
              </w:rPr>
            </w:pPr>
          </w:p>
        </w:tc>
        <w:tc>
          <w:tcPr>
            <w:tcW w:w="1071" w:type="dxa"/>
            <w:tcBorders>
              <w:top w:val="single" w:color="auto" w:sz="2" w:space="0"/>
              <w:left w:val="single" w:color="auto" w:sz="2" w:space="0"/>
              <w:bottom w:val="single" w:color="auto" w:sz="2" w:space="0"/>
              <w:right w:val="single" w:color="auto" w:sz="2" w:space="0"/>
            </w:tcBorders>
            <w:vAlign w:val="center"/>
          </w:tcPr>
          <w:p w14:paraId="2EC84E3C">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-338,133.22</w:t>
            </w:r>
          </w:p>
        </w:tc>
        <w:tc>
          <w:tcPr>
            <w:tcW w:w="1071" w:type="dxa"/>
            <w:tcBorders>
              <w:top w:val="single" w:color="auto" w:sz="2" w:space="0"/>
              <w:left w:val="single" w:color="auto" w:sz="2" w:space="0"/>
              <w:bottom w:val="single" w:color="auto" w:sz="2" w:space="0"/>
              <w:right w:val="single" w:color="auto" w:sz="2" w:space="0"/>
            </w:tcBorders>
            <w:vAlign w:val="center"/>
          </w:tcPr>
          <w:p w14:paraId="6D27DAFE">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-338,133.22</w:t>
            </w:r>
          </w:p>
        </w:tc>
        <w:tc>
          <w:tcPr>
            <w:tcW w:w="1071" w:type="dxa"/>
            <w:tcBorders>
              <w:top w:val="single" w:color="auto" w:sz="2" w:space="0"/>
              <w:left w:val="single" w:color="auto" w:sz="2" w:space="0"/>
              <w:bottom w:val="single" w:color="auto" w:sz="2" w:space="0"/>
              <w:right w:val="single" w:color="auto" w:sz="2" w:space="0"/>
            </w:tcBorders>
            <w:vAlign w:val="center"/>
          </w:tcPr>
          <w:p w14:paraId="4025E22A">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-112,192.65</w:t>
            </w:r>
          </w:p>
        </w:tc>
      </w:tr>
      <w:tr w14:paraId="048FEE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71" w:type="dxa"/>
            <w:tcBorders>
              <w:top w:val="single" w:color="auto" w:sz="2" w:space="0"/>
              <w:left w:val="single" w:color="auto" w:sz="2" w:space="0"/>
              <w:bottom w:val="single" w:color="auto" w:sz="2" w:space="0"/>
              <w:right w:val="single" w:color="auto" w:sz="2" w:space="0"/>
            </w:tcBorders>
            <w:vAlign w:val="center"/>
          </w:tcPr>
          <w:p w14:paraId="0D94812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1071" w:type="dxa"/>
            <w:tcBorders>
              <w:top w:val="single" w:color="auto" w:sz="2" w:space="0"/>
              <w:left w:val="single" w:color="auto" w:sz="2" w:space="0"/>
              <w:bottom w:val="single" w:color="auto" w:sz="2" w:space="0"/>
              <w:right w:val="single" w:color="auto" w:sz="2" w:space="0"/>
            </w:tcBorders>
            <w:vAlign w:val="center"/>
          </w:tcPr>
          <w:p w14:paraId="15E7C7D3">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8,138,699.56</w:t>
            </w:r>
          </w:p>
        </w:tc>
        <w:tc>
          <w:tcPr>
            <w:tcW w:w="1071" w:type="dxa"/>
            <w:tcBorders>
              <w:top w:val="single" w:color="auto" w:sz="2" w:space="0"/>
              <w:left w:val="single" w:color="auto" w:sz="2" w:space="0"/>
              <w:bottom w:val="single" w:color="auto" w:sz="2" w:space="0"/>
              <w:right w:val="single" w:color="auto" w:sz="2" w:space="0"/>
            </w:tcBorders>
            <w:vAlign w:val="center"/>
          </w:tcPr>
          <w:p w14:paraId="4838BFAB">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-6,985,403.55</w:t>
            </w:r>
          </w:p>
        </w:tc>
        <w:tc>
          <w:tcPr>
            <w:tcW w:w="1071" w:type="dxa"/>
            <w:tcBorders>
              <w:top w:val="single" w:color="auto" w:sz="2" w:space="0"/>
              <w:left w:val="single" w:color="auto" w:sz="2" w:space="0"/>
              <w:bottom w:val="single" w:color="auto" w:sz="2" w:space="0"/>
              <w:right w:val="single" w:color="auto" w:sz="2" w:space="0"/>
            </w:tcBorders>
            <w:vAlign w:val="center"/>
          </w:tcPr>
          <w:p w14:paraId="74D60DD5">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-6,985,403.55</w:t>
            </w:r>
          </w:p>
        </w:tc>
        <w:tc>
          <w:tcPr>
            <w:tcW w:w="1071" w:type="dxa"/>
            <w:tcBorders>
              <w:top w:val="single" w:color="auto" w:sz="2" w:space="0"/>
              <w:left w:val="single" w:color="auto" w:sz="2" w:space="0"/>
              <w:bottom w:val="single" w:color="auto" w:sz="2" w:space="0"/>
              <w:right w:val="single" w:color="auto" w:sz="2" w:space="0"/>
            </w:tcBorders>
            <w:vAlign w:val="center"/>
          </w:tcPr>
          <w:p w14:paraId="14F0BDBC">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929,570.92</w:t>
            </w:r>
          </w:p>
        </w:tc>
        <w:tc>
          <w:tcPr>
            <w:tcW w:w="1071" w:type="dxa"/>
            <w:tcBorders>
              <w:top w:val="single" w:color="auto" w:sz="2" w:space="0"/>
              <w:left w:val="single" w:color="auto" w:sz="2" w:space="0"/>
              <w:bottom w:val="single" w:color="auto" w:sz="2" w:space="0"/>
              <w:right w:val="single" w:color="auto" w:sz="2" w:space="0"/>
            </w:tcBorders>
            <w:vAlign w:val="center"/>
          </w:tcPr>
          <w:p w14:paraId="64F1E4B7">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1,061,946.90</w:t>
            </w:r>
          </w:p>
        </w:tc>
        <w:tc>
          <w:tcPr>
            <w:tcW w:w="1071" w:type="dxa"/>
            <w:tcBorders>
              <w:top w:val="single" w:color="auto" w:sz="2" w:space="0"/>
              <w:left w:val="single" w:color="auto" w:sz="2" w:space="0"/>
              <w:bottom w:val="single" w:color="auto" w:sz="2" w:space="0"/>
              <w:right w:val="single" w:color="auto" w:sz="2" w:space="0"/>
            </w:tcBorders>
            <w:vAlign w:val="center"/>
          </w:tcPr>
          <w:p w14:paraId="5B863EEF">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-3,737,188.83</w:t>
            </w:r>
          </w:p>
        </w:tc>
        <w:tc>
          <w:tcPr>
            <w:tcW w:w="1071" w:type="dxa"/>
            <w:tcBorders>
              <w:top w:val="single" w:color="auto" w:sz="2" w:space="0"/>
              <w:left w:val="single" w:color="auto" w:sz="2" w:space="0"/>
              <w:bottom w:val="single" w:color="auto" w:sz="2" w:space="0"/>
              <w:right w:val="single" w:color="auto" w:sz="2" w:space="0"/>
            </w:tcBorders>
            <w:vAlign w:val="center"/>
          </w:tcPr>
          <w:p w14:paraId="55442747">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-3,737,188.83</w:t>
            </w:r>
          </w:p>
        </w:tc>
        <w:tc>
          <w:tcPr>
            <w:tcW w:w="1071" w:type="dxa"/>
            <w:tcBorders>
              <w:top w:val="single" w:color="auto" w:sz="2" w:space="0"/>
              <w:left w:val="single" w:color="auto" w:sz="2" w:space="0"/>
              <w:bottom w:val="single" w:color="auto" w:sz="2" w:space="0"/>
              <w:right w:val="single" w:color="auto" w:sz="2" w:space="0"/>
            </w:tcBorders>
            <w:vAlign w:val="center"/>
          </w:tcPr>
          <w:p w14:paraId="04ECC2A2">
            <w:pPr>
              <w:spacing w:line="240" w:lineRule="exact"/>
              <w:ind w:right="-63" w:rightChars="-30"/>
              <w:jc w:val="right"/>
              <w:rPr>
                <w:rFonts w:ascii="Times New Roman" w:hAnsi="Times New Roman" w:cs="Times New Roman" w:eastAsiaTheme="majorEastAsia"/>
                <w:sz w:val="15"/>
                <w:szCs w:val="15"/>
              </w:rPr>
            </w:pPr>
            <w:r>
              <w:rPr>
                <w:rFonts w:ascii="Times New Roman" w:hAnsi="Times New Roman" w:cs="Times New Roman" w:eastAsiaTheme="majorEastAsia"/>
                <w:sz w:val="15"/>
                <w:szCs w:val="15"/>
              </w:rPr>
              <w:t>-6,608,608.96</w:t>
            </w:r>
          </w:p>
        </w:tc>
      </w:tr>
    </w:tbl>
    <w:p w14:paraId="17F57ED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7946D9E1">
      <w:pPr>
        <w:keepNext/>
        <w:keepLines/>
        <w:spacing w:before="300" w:after="300" w:line="280" w:lineRule="exact"/>
        <w:outlineLvl w:val="3"/>
        <w:rPr>
          <w:rFonts w:ascii="Times New Roman" w:hAnsi="Times New Roman" w:cs="Times New Roman" w:eastAsiaTheme="majorEastAsia"/>
          <w:b/>
          <w:bCs/>
          <w:sz w:val="18"/>
          <w:szCs w:val="18"/>
        </w:rPr>
      </w:pPr>
      <w:bookmarkStart w:id="411" w:name="_Toc989303"/>
      <w:r>
        <w:rPr>
          <w:rFonts w:ascii="Times New Roman" w:hAnsi="Times New Roman" w:cs="Times New Roman" w:eastAsiaTheme="majorEastAsia"/>
          <w:b/>
          <w:bCs/>
          <w:sz w:val="18"/>
          <w:szCs w:val="18"/>
        </w:rPr>
        <w:t>（4） 使用企业集团资产和清偿企业集团债务的重大限制</w:t>
      </w:r>
      <w:bookmarkEnd w:id="411"/>
    </w:p>
    <w:p w14:paraId="2E60D29A">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1B9722D8">
      <w:pPr>
        <w:keepNext/>
        <w:keepLines/>
        <w:spacing w:before="300" w:after="300" w:line="280" w:lineRule="exact"/>
        <w:outlineLvl w:val="3"/>
        <w:rPr>
          <w:rFonts w:ascii="Times New Roman" w:hAnsi="Times New Roman" w:cs="Times New Roman" w:eastAsiaTheme="majorEastAsia"/>
          <w:b/>
          <w:bCs/>
          <w:sz w:val="18"/>
          <w:szCs w:val="18"/>
        </w:rPr>
      </w:pPr>
      <w:bookmarkStart w:id="412" w:name="_Toc989304"/>
      <w:r>
        <w:rPr>
          <w:rFonts w:ascii="Times New Roman" w:hAnsi="Times New Roman" w:cs="Times New Roman" w:eastAsiaTheme="majorEastAsia"/>
          <w:b/>
          <w:bCs/>
          <w:sz w:val="18"/>
          <w:szCs w:val="18"/>
        </w:rPr>
        <w:t>（5） 向纳入合并财务报表范围的结构化主体提供的财务支持或其他支持</w:t>
      </w:r>
      <w:bookmarkEnd w:id="412"/>
    </w:p>
    <w:p w14:paraId="1D96DCB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其他说明：无</w:t>
      </w:r>
      <w:r>
        <w:rPr>
          <w:rFonts w:hint="eastAsia" w:ascii="Times New Roman" w:hAnsi="Times New Roman" w:cs="Times New Roman" w:eastAsiaTheme="majorEastAsia"/>
          <w:sz w:val="18"/>
          <w:szCs w:val="18"/>
        </w:rPr>
        <w:t>。</w:t>
      </w:r>
    </w:p>
    <w:p w14:paraId="213AD799">
      <w:pPr>
        <w:pStyle w:val="3"/>
        <w:spacing w:line="280" w:lineRule="exact"/>
        <w:jc w:val="left"/>
        <w:rPr>
          <w:rFonts w:ascii="Times New Roman" w:hAnsi="Times New Roman" w:cs="Times New Roman" w:eastAsiaTheme="majorEastAsia"/>
          <w:b/>
          <w:bCs/>
        </w:rPr>
      </w:pPr>
      <w:bookmarkStart w:id="413" w:name="_Toc989305"/>
      <w:r>
        <w:rPr>
          <w:rFonts w:ascii="Times New Roman" w:hAnsi="Times New Roman" w:cs="Times New Roman" w:eastAsiaTheme="majorEastAsia"/>
          <w:b/>
          <w:bCs/>
        </w:rPr>
        <w:t>2、在子公司的所有者权益份额发生变化且仍控制子公司的交易</w:t>
      </w:r>
      <w:bookmarkEnd w:id="413"/>
    </w:p>
    <w:p w14:paraId="1080791A">
      <w:pPr>
        <w:keepNext/>
        <w:keepLines/>
        <w:spacing w:before="300" w:after="300" w:line="280" w:lineRule="exact"/>
        <w:outlineLvl w:val="3"/>
        <w:rPr>
          <w:rFonts w:ascii="Times New Roman" w:hAnsi="Times New Roman" w:cs="Times New Roman" w:eastAsiaTheme="majorEastAsia"/>
          <w:b/>
          <w:bCs/>
          <w:sz w:val="18"/>
          <w:szCs w:val="18"/>
        </w:rPr>
      </w:pPr>
      <w:bookmarkStart w:id="414" w:name="_Toc989306"/>
      <w:r>
        <w:rPr>
          <w:rFonts w:ascii="Times New Roman" w:hAnsi="Times New Roman" w:cs="Times New Roman" w:eastAsiaTheme="majorEastAsia"/>
          <w:b/>
          <w:bCs/>
          <w:sz w:val="18"/>
          <w:szCs w:val="18"/>
        </w:rPr>
        <w:t>（1） 在子公司所有者权益份额发生变化的情况说明</w:t>
      </w:r>
      <w:bookmarkEnd w:id="414"/>
    </w:p>
    <w:p w14:paraId="26347F6D">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58F688F2">
      <w:pPr>
        <w:keepNext/>
        <w:keepLines/>
        <w:spacing w:before="300" w:after="300" w:line="280" w:lineRule="exact"/>
        <w:outlineLvl w:val="3"/>
        <w:rPr>
          <w:rFonts w:ascii="Times New Roman" w:hAnsi="Times New Roman" w:cs="Times New Roman" w:eastAsiaTheme="majorEastAsia"/>
          <w:b/>
          <w:bCs/>
          <w:sz w:val="18"/>
          <w:szCs w:val="18"/>
        </w:rPr>
      </w:pPr>
      <w:bookmarkStart w:id="415" w:name="_Toc989307"/>
      <w:r>
        <w:rPr>
          <w:rFonts w:ascii="Times New Roman" w:hAnsi="Times New Roman" w:cs="Times New Roman" w:eastAsiaTheme="majorEastAsia"/>
          <w:b/>
          <w:bCs/>
          <w:sz w:val="18"/>
          <w:szCs w:val="18"/>
        </w:rPr>
        <w:t>（2） 交易对于少数股东权益及归属于母公司所有者权益的影响</w:t>
      </w:r>
      <w:bookmarkEnd w:id="415"/>
    </w:p>
    <w:p w14:paraId="7190212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107732B">
      <w:pPr>
        <w:pStyle w:val="3"/>
        <w:spacing w:line="280" w:lineRule="exact"/>
        <w:jc w:val="left"/>
        <w:rPr>
          <w:rFonts w:ascii="Times New Roman" w:hAnsi="Times New Roman" w:cs="Times New Roman" w:eastAsiaTheme="majorEastAsia"/>
          <w:b/>
          <w:bCs/>
        </w:rPr>
      </w:pPr>
      <w:bookmarkStart w:id="416" w:name="_Toc989308"/>
      <w:r>
        <w:rPr>
          <w:rFonts w:ascii="Times New Roman" w:hAnsi="Times New Roman" w:cs="Times New Roman" w:eastAsiaTheme="majorEastAsia"/>
          <w:b/>
          <w:bCs/>
        </w:rPr>
        <w:t>3、在合营安排或联营企业中的权益</w:t>
      </w:r>
      <w:bookmarkEnd w:id="416"/>
    </w:p>
    <w:p w14:paraId="3D8152D5">
      <w:pPr>
        <w:keepNext/>
        <w:keepLines/>
        <w:spacing w:before="300" w:after="300" w:line="280" w:lineRule="exact"/>
        <w:outlineLvl w:val="3"/>
        <w:rPr>
          <w:rFonts w:ascii="Times New Roman" w:hAnsi="Times New Roman" w:cs="Times New Roman" w:eastAsiaTheme="majorEastAsia"/>
          <w:b/>
          <w:bCs/>
          <w:szCs w:val="21"/>
        </w:rPr>
      </w:pPr>
      <w:bookmarkStart w:id="417" w:name="_Toc989309"/>
      <w:r>
        <w:rPr>
          <w:rFonts w:ascii="Times New Roman" w:hAnsi="Times New Roman" w:cs="Times New Roman" w:eastAsiaTheme="majorEastAsia"/>
          <w:b/>
          <w:bCs/>
          <w:szCs w:val="21"/>
        </w:rPr>
        <w:t>（1） 重要的合营企业或联营企业</w:t>
      </w:r>
      <w:bookmarkEnd w:id="417"/>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042778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28A6A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合营企业或联营企业名称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C60F88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主要经营地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7177B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注册地</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76BE20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业务性质</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88A49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持股比例</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AD8C58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对合营企业或联营企业投资的会计处理方法</w:t>
            </w:r>
          </w:p>
        </w:tc>
      </w:tr>
      <w:tr w14:paraId="1D3256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4EEEB0">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60A5F09">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44A7923">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7C8884A">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04268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E3A50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间接</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A20905B">
            <w:pPr>
              <w:rPr>
                <w:rFonts w:ascii="Times New Roman" w:hAnsi="Times New Roman" w:cs="Times New Roman" w:eastAsiaTheme="majorEastAsia"/>
              </w:rPr>
            </w:pPr>
          </w:p>
        </w:tc>
      </w:tr>
      <w:tr w14:paraId="2BF282E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55A3C9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377" w:type="dxa"/>
            <w:tcBorders>
              <w:top w:val="single" w:color="auto" w:sz="2" w:space="0"/>
              <w:left w:val="single" w:color="auto" w:sz="2" w:space="0"/>
              <w:bottom w:val="single" w:color="auto" w:sz="2" w:space="0"/>
              <w:right w:val="single" w:color="auto" w:sz="2" w:space="0"/>
            </w:tcBorders>
            <w:vAlign w:val="center"/>
          </w:tcPr>
          <w:p w14:paraId="6D2294B0">
            <w:pPr>
              <w:spacing w:line="240" w:lineRule="exac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70C2A40">
            <w:pPr>
              <w:spacing w:line="240" w:lineRule="exac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C5E2921">
            <w:pPr>
              <w:spacing w:line="240" w:lineRule="exac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D16900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A71FA8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176CFD8">
            <w:pPr>
              <w:spacing w:line="240" w:lineRule="exact"/>
              <w:rPr>
                <w:rFonts w:ascii="Times New Roman" w:hAnsi="Times New Roman" w:cs="Times New Roman" w:eastAsiaTheme="majorEastAsia"/>
                <w:sz w:val="18"/>
                <w:szCs w:val="18"/>
              </w:rPr>
            </w:pPr>
          </w:p>
        </w:tc>
      </w:tr>
    </w:tbl>
    <w:p w14:paraId="4CFCDE9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在合营企业或联营企业的持股比例不同于表决权比例的说明：</w:t>
      </w:r>
      <w:r>
        <w:rPr>
          <w:rFonts w:hint="eastAsia" w:ascii="Times New Roman" w:hAnsi="Times New Roman" w:cs="Times New Roman" w:eastAsiaTheme="majorEastAsia"/>
          <w:sz w:val="18"/>
          <w:szCs w:val="18"/>
        </w:rPr>
        <w:t>不适用。</w:t>
      </w:r>
    </w:p>
    <w:p w14:paraId="3F0B706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持有20%以下表决权但具有重大影响，或者持有20%或以上表决权但不具有重大影响的依据：</w:t>
      </w:r>
      <w:r>
        <w:rPr>
          <w:rFonts w:hint="eastAsia" w:ascii="Times New Roman" w:hAnsi="Times New Roman" w:cs="Times New Roman" w:eastAsiaTheme="majorEastAsia"/>
          <w:sz w:val="18"/>
          <w:szCs w:val="18"/>
        </w:rPr>
        <w:t>不适用。</w:t>
      </w:r>
    </w:p>
    <w:p w14:paraId="4DA7014F">
      <w:pPr>
        <w:pStyle w:val="3"/>
        <w:spacing w:line="280" w:lineRule="exact"/>
        <w:jc w:val="left"/>
        <w:rPr>
          <w:rFonts w:ascii="Times New Roman" w:hAnsi="Times New Roman" w:cs="Times New Roman" w:eastAsiaTheme="majorEastAsia"/>
          <w:b/>
          <w:bCs/>
        </w:rPr>
      </w:pPr>
      <w:bookmarkStart w:id="418" w:name="_Toc989310"/>
      <w:r>
        <w:rPr>
          <w:rFonts w:ascii="Times New Roman" w:hAnsi="Times New Roman" w:cs="Times New Roman" w:eastAsiaTheme="majorEastAsia"/>
          <w:b/>
          <w:bCs/>
        </w:rPr>
        <w:t>4、重要的共同经营</w:t>
      </w:r>
      <w:bookmarkEnd w:id="418"/>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7"/>
        <w:gridCol w:w="1606"/>
        <w:gridCol w:w="1606"/>
        <w:gridCol w:w="1606"/>
        <w:gridCol w:w="1607"/>
      </w:tblGrid>
      <w:tr w14:paraId="2DE92E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0A4862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共同经营名称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AD9C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主要经营地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88245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注册地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50F64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业务性质</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B964F4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持股比例/享有的份额</w:t>
            </w:r>
          </w:p>
        </w:tc>
      </w:tr>
      <w:tr w14:paraId="153BAD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845742A">
            <w:pPr>
              <w:rPr>
                <w:rFonts w:ascii="Times New Roman" w:hAnsi="Times New Roman" w:cs="Times New Roman" w:eastAsiaTheme="majorEastAsia"/>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9AC1204">
            <w:pPr>
              <w:rPr>
                <w:rFonts w:ascii="Times New Roman" w:hAnsi="Times New Roman" w:cs="Times New Roman" w:eastAsiaTheme="majorEastAsia"/>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2BB910">
            <w:pPr>
              <w:rPr>
                <w:rFonts w:ascii="Times New Roman" w:hAnsi="Times New Roman" w:cs="Times New Roman" w:eastAsiaTheme="majorEastAsia"/>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D58CC59">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F083AF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直接</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3485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间接</w:t>
            </w:r>
          </w:p>
        </w:tc>
      </w:tr>
      <w:tr w14:paraId="63A382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78BA4AC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606" w:type="dxa"/>
            <w:tcBorders>
              <w:top w:val="single" w:color="auto" w:sz="2" w:space="0"/>
              <w:left w:val="single" w:color="auto" w:sz="2" w:space="0"/>
              <w:bottom w:val="single" w:color="auto" w:sz="2" w:space="0"/>
              <w:right w:val="single" w:color="auto" w:sz="2" w:space="0"/>
            </w:tcBorders>
            <w:vAlign w:val="center"/>
          </w:tcPr>
          <w:p w14:paraId="4B843A05">
            <w:pPr>
              <w:spacing w:line="240" w:lineRule="exac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4A7E4189">
            <w:pPr>
              <w:spacing w:line="240" w:lineRule="exac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65A7CCE3">
            <w:pPr>
              <w:spacing w:line="240" w:lineRule="exac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10EC4B1F">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57E77CC">
            <w:pPr>
              <w:spacing w:line="240" w:lineRule="exact"/>
              <w:jc w:val="right"/>
              <w:rPr>
                <w:rFonts w:ascii="Times New Roman" w:hAnsi="Times New Roman" w:cs="Times New Roman" w:eastAsiaTheme="majorEastAsia"/>
                <w:sz w:val="18"/>
                <w:szCs w:val="18"/>
              </w:rPr>
            </w:pPr>
          </w:p>
        </w:tc>
      </w:tr>
    </w:tbl>
    <w:p w14:paraId="3DBAC81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在共同经营中的持股比例或享有的份额不同于表决权比例的说明：</w:t>
      </w:r>
      <w:r>
        <w:rPr>
          <w:rFonts w:hint="eastAsia" w:ascii="Times New Roman" w:hAnsi="Times New Roman" w:cs="Times New Roman" w:eastAsiaTheme="majorEastAsia"/>
          <w:sz w:val="18"/>
          <w:szCs w:val="18"/>
        </w:rPr>
        <w:t>不适用。</w:t>
      </w:r>
    </w:p>
    <w:p w14:paraId="4BC1138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共同经营为单独主体的，分类为共同经营的依据：</w:t>
      </w:r>
      <w:r>
        <w:rPr>
          <w:rFonts w:hint="eastAsia" w:ascii="Times New Roman" w:hAnsi="Times New Roman" w:cs="Times New Roman" w:eastAsiaTheme="majorEastAsia"/>
          <w:sz w:val="18"/>
          <w:szCs w:val="18"/>
        </w:rPr>
        <w:t>不适用。</w:t>
      </w:r>
    </w:p>
    <w:p w14:paraId="393102A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1DDE07C2">
      <w:pPr>
        <w:pStyle w:val="3"/>
        <w:spacing w:line="280" w:lineRule="exact"/>
        <w:jc w:val="left"/>
        <w:rPr>
          <w:rFonts w:ascii="Times New Roman" w:hAnsi="Times New Roman" w:cs="Times New Roman" w:eastAsiaTheme="majorEastAsia"/>
          <w:b/>
          <w:bCs/>
        </w:rPr>
      </w:pPr>
      <w:bookmarkStart w:id="419" w:name="_Toc989311"/>
      <w:r>
        <w:rPr>
          <w:rFonts w:ascii="Times New Roman" w:hAnsi="Times New Roman" w:cs="Times New Roman" w:eastAsiaTheme="majorEastAsia"/>
          <w:b/>
          <w:bCs/>
        </w:rPr>
        <w:t>5、在未纳入合并财务报表范围的结构化主体中的权益</w:t>
      </w:r>
      <w:bookmarkEnd w:id="419"/>
    </w:p>
    <w:p w14:paraId="6227187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未纳入合并财务报表范围的结构化主体的相关说明：</w:t>
      </w:r>
      <w:r>
        <w:rPr>
          <w:rFonts w:ascii="Times New Roman" w:hAnsi="Times New Roman" w:cs="Times New Roman" w:eastAsiaTheme="majorEastAsia"/>
          <w:szCs w:val="21"/>
        </w:rPr>
        <w:t>无。</w:t>
      </w:r>
    </w:p>
    <w:p w14:paraId="4460F40A">
      <w:pPr>
        <w:pStyle w:val="3"/>
        <w:spacing w:line="280" w:lineRule="exact"/>
        <w:jc w:val="left"/>
        <w:rPr>
          <w:rFonts w:ascii="Times New Roman" w:hAnsi="Times New Roman" w:cs="Times New Roman" w:eastAsiaTheme="majorEastAsia"/>
          <w:b/>
          <w:bCs/>
        </w:rPr>
      </w:pPr>
      <w:bookmarkStart w:id="420" w:name="_Toc989312"/>
      <w:r>
        <w:rPr>
          <w:rFonts w:ascii="Times New Roman" w:hAnsi="Times New Roman" w:cs="Times New Roman" w:eastAsiaTheme="majorEastAsia"/>
          <w:b/>
          <w:bCs/>
        </w:rPr>
        <w:t>6、其他</w:t>
      </w:r>
      <w:bookmarkEnd w:id="420"/>
    </w:p>
    <w:p w14:paraId="788FC85F">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62327339">
      <w:pPr>
        <w:pStyle w:val="2"/>
        <w:spacing w:before="300" w:after="300" w:line="320" w:lineRule="exact"/>
        <w:rPr>
          <w:rFonts w:ascii="Times New Roman" w:hAnsi="Times New Roman" w:cs="Times New Roman" w:eastAsiaTheme="majorEastAsia"/>
          <w:b/>
          <w:bCs/>
          <w:sz w:val="24"/>
          <w:szCs w:val="24"/>
        </w:rPr>
      </w:pPr>
      <w:bookmarkStart w:id="421" w:name="_Toc989313"/>
      <w:r>
        <w:rPr>
          <w:rFonts w:ascii="Times New Roman" w:hAnsi="Times New Roman" w:cs="Times New Roman" w:eastAsiaTheme="majorEastAsia"/>
          <w:b/>
          <w:bCs/>
          <w:sz w:val="24"/>
          <w:szCs w:val="24"/>
        </w:rPr>
        <w:t>十一、政府补助</w:t>
      </w:r>
      <w:bookmarkEnd w:id="421"/>
    </w:p>
    <w:p w14:paraId="6B4EA335">
      <w:pPr>
        <w:pStyle w:val="3"/>
        <w:spacing w:line="280" w:lineRule="exact"/>
        <w:jc w:val="left"/>
        <w:rPr>
          <w:rFonts w:ascii="Times New Roman" w:hAnsi="Times New Roman" w:cs="Times New Roman" w:eastAsiaTheme="majorEastAsia"/>
          <w:b/>
          <w:bCs/>
        </w:rPr>
      </w:pPr>
      <w:bookmarkStart w:id="422" w:name="_Toc989314"/>
      <w:r>
        <w:rPr>
          <w:rFonts w:ascii="Times New Roman" w:hAnsi="Times New Roman" w:cs="Times New Roman" w:eastAsiaTheme="majorEastAsia"/>
          <w:b/>
          <w:bCs/>
        </w:rPr>
        <w:t>1、报告期末按应收金额确认的政府补助</w:t>
      </w:r>
      <w:bookmarkEnd w:id="422"/>
    </w:p>
    <w:p w14:paraId="169163B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07329E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未能在预计时点收到预计金额的政府补助的原因</w:t>
      </w:r>
    </w:p>
    <w:p w14:paraId="12E5F27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2FAA397">
      <w:pPr>
        <w:pStyle w:val="3"/>
        <w:spacing w:line="280" w:lineRule="exact"/>
        <w:jc w:val="left"/>
        <w:rPr>
          <w:rFonts w:ascii="Times New Roman" w:hAnsi="Times New Roman" w:cs="Times New Roman" w:eastAsiaTheme="majorEastAsia"/>
          <w:b/>
          <w:bCs/>
        </w:rPr>
      </w:pPr>
      <w:bookmarkStart w:id="423" w:name="_Toc989315"/>
      <w:r>
        <w:rPr>
          <w:rFonts w:ascii="Times New Roman" w:hAnsi="Times New Roman" w:cs="Times New Roman" w:eastAsiaTheme="majorEastAsia"/>
          <w:b/>
          <w:bCs/>
        </w:rPr>
        <w:t>2、涉及政府补助的负债项目</w:t>
      </w:r>
      <w:bookmarkEnd w:id="423"/>
    </w:p>
    <w:p w14:paraId="12FFC2AE">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0133BD23">
      <w:pPr>
        <w:pStyle w:val="3"/>
        <w:spacing w:line="280" w:lineRule="exact"/>
        <w:jc w:val="left"/>
        <w:rPr>
          <w:rFonts w:ascii="Times New Roman" w:hAnsi="Times New Roman" w:cs="Times New Roman" w:eastAsiaTheme="majorEastAsia"/>
          <w:b/>
          <w:bCs/>
        </w:rPr>
      </w:pPr>
      <w:bookmarkStart w:id="424" w:name="_Toc989316"/>
      <w:r>
        <w:rPr>
          <w:rFonts w:ascii="Times New Roman" w:hAnsi="Times New Roman" w:cs="Times New Roman" w:eastAsiaTheme="majorEastAsia"/>
          <w:b/>
          <w:bCs/>
        </w:rPr>
        <w:t>3、计入当期损益的政府补助</w:t>
      </w:r>
      <w:bookmarkEnd w:id="424"/>
    </w:p>
    <w:p w14:paraId="1DC91C6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 xml:space="preserve">适用 </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74CDC8B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581C8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8B10A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会计科目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62A9E5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0F0E2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742EE8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A35E05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其他收益</w:t>
            </w:r>
          </w:p>
        </w:tc>
        <w:tc>
          <w:tcPr>
            <w:tcW w:w="3213" w:type="dxa"/>
            <w:tcBorders>
              <w:top w:val="single" w:color="auto" w:sz="2" w:space="0"/>
              <w:left w:val="single" w:color="auto" w:sz="2" w:space="0"/>
              <w:bottom w:val="single" w:color="auto" w:sz="2" w:space="0"/>
              <w:right w:val="single" w:color="auto" w:sz="2" w:space="0"/>
            </w:tcBorders>
            <w:vAlign w:val="center"/>
          </w:tcPr>
          <w:p w14:paraId="505985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65,182.83</w:t>
            </w:r>
          </w:p>
        </w:tc>
        <w:tc>
          <w:tcPr>
            <w:tcW w:w="3213" w:type="dxa"/>
            <w:tcBorders>
              <w:top w:val="single" w:color="auto" w:sz="2" w:space="0"/>
              <w:left w:val="single" w:color="auto" w:sz="2" w:space="0"/>
              <w:bottom w:val="single" w:color="auto" w:sz="2" w:space="0"/>
              <w:right w:val="single" w:color="auto" w:sz="2" w:space="0"/>
            </w:tcBorders>
            <w:vAlign w:val="center"/>
          </w:tcPr>
          <w:p w14:paraId="58EE13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79,163.99</w:t>
            </w:r>
          </w:p>
        </w:tc>
      </w:tr>
      <w:tr w14:paraId="0F75D3C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0DE05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营业外收入</w:t>
            </w:r>
          </w:p>
        </w:tc>
        <w:tc>
          <w:tcPr>
            <w:tcW w:w="3213" w:type="dxa"/>
            <w:tcBorders>
              <w:top w:val="single" w:color="auto" w:sz="2" w:space="0"/>
              <w:left w:val="single" w:color="auto" w:sz="2" w:space="0"/>
              <w:bottom w:val="single" w:color="auto" w:sz="2" w:space="0"/>
              <w:right w:val="single" w:color="auto" w:sz="2" w:space="0"/>
            </w:tcBorders>
            <w:vAlign w:val="center"/>
          </w:tcPr>
          <w:p w14:paraId="102282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297,318.39</w:t>
            </w:r>
          </w:p>
        </w:tc>
        <w:tc>
          <w:tcPr>
            <w:tcW w:w="3213" w:type="dxa"/>
            <w:tcBorders>
              <w:top w:val="single" w:color="auto" w:sz="2" w:space="0"/>
              <w:left w:val="single" w:color="auto" w:sz="2" w:space="0"/>
              <w:bottom w:val="single" w:color="auto" w:sz="2" w:space="0"/>
              <w:right w:val="single" w:color="auto" w:sz="2" w:space="0"/>
            </w:tcBorders>
            <w:vAlign w:val="center"/>
          </w:tcPr>
          <w:p w14:paraId="4634C77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134,200.00</w:t>
            </w:r>
          </w:p>
        </w:tc>
      </w:tr>
    </w:tbl>
    <w:p w14:paraId="7E919FA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无。</w:t>
      </w:r>
    </w:p>
    <w:p w14:paraId="31DBB44C">
      <w:pPr>
        <w:pStyle w:val="2"/>
        <w:spacing w:before="300" w:after="300" w:line="320" w:lineRule="exact"/>
        <w:rPr>
          <w:rFonts w:ascii="Times New Roman" w:hAnsi="Times New Roman" w:cs="Times New Roman" w:eastAsiaTheme="majorEastAsia"/>
          <w:b/>
          <w:bCs/>
          <w:sz w:val="24"/>
          <w:szCs w:val="24"/>
        </w:rPr>
      </w:pPr>
      <w:bookmarkStart w:id="425" w:name="_Toc989317"/>
      <w:r>
        <w:rPr>
          <w:rFonts w:ascii="Times New Roman" w:hAnsi="Times New Roman" w:cs="Times New Roman" w:eastAsiaTheme="majorEastAsia"/>
          <w:b/>
          <w:bCs/>
          <w:sz w:val="24"/>
          <w:szCs w:val="24"/>
        </w:rPr>
        <w:t>十二、与金融工具相关的风险</w:t>
      </w:r>
      <w:bookmarkEnd w:id="425"/>
    </w:p>
    <w:p w14:paraId="1CB6D720">
      <w:pPr>
        <w:pStyle w:val="3"/>
        <w:spacing w:line="280" w:lineRule="exact"/>
        <w:jc w:val="left"/>
        <w:rPr>
          <w:rFonts w:ascii="Times New Roman" w:hAnsi="Times New Roman" w:cs="Times New Roman" w:eastAsiaTheme="majorEastAsia"/>
          <w:b/>
          <w:bCs/>
        </w:rPr>
      </w:pPr>
      <w:bookmarkStart w:id="426" w:name="_Toc989318"/>
      <w:r>
        <w:rPr>
          <w:rFonts w:ascii="Times New Roman" w:hAnsi="Times New Roman" w:cs="Times New Roman" w:eastAsiaTheme="majorEastAsia"/>
          <w:b/>
          <w:bCs/>
        </w:rPr>
        <w:t>1、金融工具产生的各类风险</w:t>
      </w:r>
      <w:bookmarkEnd w:id="426"/>
    </w:p>
    <w:p w14:paraId="580CD5DD">
      <w:pPr>
        <w:pStyle w:val="10"/>
        <w:spacing w:before="156" w:beforeLines="50" w:beforeAutospacing="0" w:after="156" w:afterLines="50" w:afterAutospacing="0"/>
        <w:ind w:firstLine="417"/>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1、风险管理目标和政策</w:t>
      </w:r>
    </w:p>
    <w:p w14:paraId="7AA3125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集团的主要金融工具包括股权投资、债权投资、借款、应收款项、应付账款等，各项金融工具的详细情况说明见本附注五相关项目。本集团从事风险管理的目标是在风险和收益之间取得适当的平衡，将风险对本集团经营业绩的负面影响降低到最低水平，使股东及其他权益投资者的利益最大化。基于该风险管理目标，本集团风险管理的基本策略是确定和分析本集团所面临的各种风险，建立适当的风险承受底线和进行风险管理，并及时可靠地对各种风险进行监督，将风险控制在限定的范围之内。</w:t>
      </w:r>
    </w:p>
    <w:p w14:paraId="4579CEF3">
      <w:pPr>
        <w:pStyle w:val="10"/>
        <w:spacing w:before="156" w:beforeLines="50" w:beforeAutospacing="0" w:after="156" w:afterLines="50" w:afterAutospacing="0"/>
        <w:ind w:firstLine="417"/>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2、信用风险</w:t>
      </w:r>
    </w:p>
    <w:p w14:paraId="315BC09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信用风险，是指金融工具的一方不能履行义务，造成另一方发生财务损失的风险。</w:t>
      </w:r>
    </w:p>
    <w:p w14:paraId="5F42CC44">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于2024年12月31日，本集团的信用风险主要来自于本集团确认的金融资产，具体包括：</w:t>
      </w:r>
    </w:p>
    <w:p w14:paraId="74E28E8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合并资产负债表中已确认的金融资产的账面金额，最大风险敞口等于这些金融资产的账面价值。</w:t>
      </w:r>
    </w:p>
    <w:p w14:paraId="00C9EA9E">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本节七.</w:t>
      </w:r>
      <w:r>
        <w:rPr>
          <w:rFonts w:hint="eastAsia" w:ascii="Times New Roman" w:hAnsi="Times New Roman" w:cs="Times New Roman" w:eastAsiaTheme="majorEastAsia"/>
          <w:sz w:val="21"/>
          <w:szCs w:val="21"/>
        </w:rPr>
        <w:t>5</w:t>
      </w:r>
      <w:r>
        <w:rPr>
          <w:rFonts w:cs="Times New Roman" w:asciiTheme="minorEastAsia" w:hAnsiTheme="minorEastAsia" w:eastAsiaTheme="minorEastAsia"/>
          <w:sz w:val="21"/>
          <w:szCs w:val="21"/>
        </w:rPr>
        <w:t>“合同资产”中</w:t>
      </w:r>
      <w:r>
        <w:rPr>
          <w:rFonts w:ascii="Times New Roman" w:hAnsi="Times New Roman" w:cs="Times New Roman" w:eastAsiaTheme="majorEastAsia"/>
          <w:sz w:val="21"/>
          <w:szCs w:val="21"/>
        </w:rPr>
        <w:t>披露的合同资产金额。</w:t>
      </w:r>
    </w:p>
    <w:p w14:paraId="6792680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集团的流动资金存放在信用评级较高的银行，故流动资金的信用风险较低。本集团与客户间的贸易条款以信用交易为主，且一般要求新客户预付款或采取货到付款方式进行。信用期通常为1个月，主要客户可以延长至6个月，交易记录良好的客户可获得比较长的信贷期。由于本集团仅与经认可的且信誉良好的第三方进行交易，所以无需担保物。</w:t>
      </w:r>
    </w:p>
    <w:p w14:paraId="7A9C613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本集团评估信用风险自初始确认后是否已增加的方法、确定金融资产已发生信用减值的依据、划分组合为基础评估预期信用风险的金融工具的组合方法、直接减记金融工具的政策等，参见本节五.11。</w:t>
      </w:r>
    </w:p>
    <w:p w14:paraId="51222C4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集团对不同的资产分别以12个月或整个存续期的预期信用损失计量减值准备。预期信用损失计量的关键参数包括违约概率、违约损失率和违约风险敞口。本集团考虑历史统计数据(如交易对手评级、担保方式及抵质押物类别、还款方式等)的定量分析及前瞻性信息，建立违约概率、违约损失率及违约风险敞口模型。</w:t>
      </w:r>
    </w:p>
    <w:p w14:paraId="0E748D5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信用风险显著增加的评估及预期信用损失的计算均涉及前瞻性信息。本集团通过进行历史数据分析，识别出影响各业务类型信用风险及预期信用损失的关键经济指标。</w:t>
      </w:r>
    </w:p>
    <w:p w14:paraId="64AE580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本集团因应收账款、其他应收款和合同资产产生的信用风险敞口、损失准备的量化数据，参见本节五.13、本节五.15和本节五.16的披露。</w:t>
      </w:r>
    </w:p>
    <w:p w14:paraId="68120F60">
      <w:pPr>
        <w:pStyle w:val="10"/>
        <w:spacing w:before="156" w:beforeLines="50" w:beforeAutospacing="0" w:after="156" w:afterLines="50" w:afterAutospacing="0"/>
        <w:ind w:firstLine="417"/>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3、流动风险</w:t>
      </w:r>
    </w:p>
    <w:p w14:paraId="7F8ED265">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流动性风险，是指企业在履行以交付现金或其他金融资产的方式结算的义务时发生资金短缺的风险。本公司通过利用银行贷款及债务维持资金延续性与灵活性之间的平衡，以管理其流动性风险。本公司的目标是运用银行借款、债券和其他计息借款等多种融资手段以保持融资的持续性与灵活性的平衡。</w:t>
      </w:r>
    </w:p>
    <w:p w14:paraId="75304E1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截至报告期末，本公司无对外承担其他保证责任的事项。</w:t>
      </w:r>
    </w:p>
    <w:p w14:paraId="71B527D9">
      <w:pPr>
        <w:pStyle w:val="10"/>
        <w:spacing w:before="156" w:beforeLines="50" w:beforeAutospacing="0" w:after="156" w:afterLines="50" w:afterAutospacing="0"/>
        <w:ind w:firstLine="417"/>
        <w:jc w:val="both"/>
        <w:rPr>
          <w:rFonts w:ascii="Times New Roman" w:hAnsi="Times New Roman" w:cs="Times New Roman" w:eastAsiaTheme="majorEastAsia"/>
          <w:sz w:val="21"/>
          <w:szCs w:val="21"/>
        </w:rPr>
      </w:pPr>
      <w:r>
        <w:rPr>
          <w:rStyle w:val="14"/>
          <w:rFonts w:hint="eastAsia" w:ascii="Times New Roman" w:hAnsi="Times New Roman" w:cs="Times New Roman" w:eastAsiaTheme="majorEastAsia"/>
          <w:sz w:val="21"/>
          <w:szCs w:val="21"/>
        </w:rPr>
        <w:t>4、</w:t>
      </w:r>
      <w:r>
        <w:rPr>
          <w:rStyle w:val="14"/>
          <w:rFonts w:ascii="Times New Roman" w:hAnsi="Times New Roman" w:cs="Times New Roman" w:eastAsiaTheme="majorEastAsia"/>
          <w:sz w:val="21"/>
          <w:szCs w:val="21"/>
        </w:rPr>
        <w:t>市场风险</w:t>
      </w:r>
    </w:p>
    <w:p w14:paraId="18D7DE7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市场风险，是指金融工具的公允价值或未来现金流量因市场价格变动而发生波动的风险，包括汇率风险、利率风险和其他价格风险。</w:t>
      </w:r>
    </w:p>
    <w:p w14:paraId="5641366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A、汇率风险</w:t>
      </w:r>
    </w:p>
    <w:p w14:paraId="350D402F">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汇率风险，是指金融工具的公允价值或未来现金流量因外汇汇率变动而发生波动的风险。</w:t>
      </w:r>
    </w:p>
    <w:p w14:paraId="0D23D3FA">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B、利率风险</w:t>
      </w:r>
    </w:p>
    <w:p w14:paraId="0B898AA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利率风险，是指金融工具的公允价值或未来现金流量因市场利率变动而发生波动的风险。</w:t>
      </w:r>
    </w:p>
    <w:p w14:paraId="79E0D592">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本公司的利率风险产生于银行借款及应付债券等带息债务。浮动利率的金融负债使本公司面临现金流量利率风险，固定利率的金融负债使本公司面临公允价值利率风险。本公司根据当时的市场环境来决定固定利率及浮动利率合同的相对比例。</w:t>
      </w:r>
    </w:p>
    <w:p w14:paraId="285B7D21">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C、其他价格风险</w:t>
      </w:r>
    </w:p>
    <w:p w14:paraId="795F027B">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其他价格风险，是指汇率风险和利率风险以外的市场价格变动而发生波动的风险，无论这些变动是由于与单项金融工具或其发行方有关的因素而引起的，还是由于与市场内交易的所有类似金融工具有关的因素而引起的。</w:t>
      </w:r>
    </w:p>
    <w:p w14:paraId="31CEC11D">
      <w:pPr>
        <w:pStyle w:val="3"/>
        <w:spacing w:line="280" w:lineRule="exact"/>
        <w:jc w:val="left"/>
        <w:rPr>
          <w:rFonts w:ascii="Times New Roman" w:hAnsi="Times New Roman" w:cs="Times New Roman" w:eastAsiaTheme="majorEastAsia"/>
          <w:b/>
          <w:bCs/>
        </w:rPr>
      </w:pPr>
      <w:bookmarkStart w:id="427" w:name="_Toc989319"/>
      <w:r>
        <w:rPr>
          <w:rFonts w:ascii="Times New Roman" w:hAnsi="Times New Roman" w:cs="Times New Roman" w:eastAsiaTheme="majorEastAsia"/>
          <w:b/>
          <w:bCs/>
        </w:rPr>
        <w:t>2、套期</w:t>
      </w:r>
      <w:bookmarkEnd w:id="427"/>
    </w:p>
    <w:p w14:paraId="33F7C665">
      <w:pPr>
        <w:keepNext/>
        <w:keepLines/>
        <w:spacing w:before="300" w:after="300" w:line="280" w:lineRule="exact"/>
        <w:outlineLvl w:val="4"/>
        <w:rPr>
          <w:rFonts w:ascii="Times New Roman" w:hAnsi="Times New Roman" w:cs="Times New Roman" w:eastAsiaTheme="majorEastAsia"/>
          <w:b/>
          <w:bCs/>
          <w:sz w:val="18"/>
          <w:szCs w:val="18"/>
        </w:rPr>
      </w:pPr>
      <w:bookmarkStart w:id="428" w:name="_Toc989320"/>
      <w:r>
        <w:rPr>
          <w:rFonts w:ascii="Times New Roman" w:hAnsi="Times New Roman" w:cs="Times New Roman" w:eastAsiaTheme="majorEastAsia"/>
          <w:b/>
          <w:bCs/>
          <w:sz w:val="18"/>
          <w:szCs w:val="18"/>
        </w:rPr>
        <w:t>（1） 公司开展套期业务进行风险管理</w:t>
      </w:r>
      <w:bookmarkEnd w:id="428"/>
    </w:p>
    <w:p w14:paraId="0FA04750">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939410C">
      <w:pPr>
        <w:keepNext/>
        <w:keepLines/>
        <w:spacing w:before="300" w:after="300" w:line="280" w:lineRule="exact"/>
        <w:outlineLvl w:val="4"/>
        <w:rPr>
          <w:rFonts w:ascii="Times New Roman" w:hAnsi="Times New Roman" w:cs="Times New Roman" w:eastAsiaTheme="majorEastAsia"/>
          <w:b/>
          <w:bCs/>
          <w:sz w:val="18"/>
          <w:szCs w:val="18"/>
        </w:rPr>
      </w:pPr>
      <w:bookmarkStart w:id="429" w:name="_Toc989321"/>
      <w:r>
        <w:rPr>
          <w:rFonts w:ascii="Times New Roman" w:hAnsi="Times New Roman" w:cs="Times New Roman" w:eastAsiaTheme="majorEastAsia"/>
          <w:b/>
          <w:bCs/>
          <w:sz w:val="18"/>
          <w:szCs w:val="18"/>
        </w:rPr>
        <w:t>（2） 公司开展符合条件套期业务并应用套期会计</w:t>
      </w:r>
      <w:bookmarkEnd w:id="429"/>
    </w:p>
    <w:p w14:paraId="2255A13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：不适用。</w:t>
      </w:r>
    </w:p>
    <w:p w14:paraId="4F530CB9">
      <w:pPr>
        <w:keepNext/>
        <w:keepLines/>
        <w:spacing w:before="300" w:after="300" w:line="280" w:lineRule="exact"/>
        <w:outlineLvl w:val="3"/>
        <w:rPr>
          <w:rFonts w:ascii="Times New Roman" w:hAnsi="Times New Roman" w:cs="Times New Roman" w:eastAsiaTheme="majorEastAsia"/>
          <w:b/>
          <w:bCs/>
          <w:sz w:val="18"/>
          <w:szCs w:val="18"/>
        </w:rPr>
      </w:pPr>
      <w:bookmarkStart w:id="430" w:name="_Toc989322"/>
      <w:r>
        <w:rPr>
          <w:rFonts w:ascii="Times New Roman" w:hAnsi="Times New Roman" w:cs="Times New Roman" w:eastAsiaTheme="majorEastAsia"/>
          <w:b/>
          <w:bCs/>
          <w:sz w:val="18"/>
          <w:szCs w:val="18"/>
        </w:rPr>
        <w:t>（3） 公司开展套期业务进行风险管理、预期能实现风险管理目标但未应用套期会计</w:t>
      </w:r>
      <w:bookmarkEnd w:id="430"/>
    </w:p>
    <w:p w14:paraId="34D488C5">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63A3E44">
      <w:pPr>
        <w:pStyle w:val="3"/>
        <w:spacing w:line="280" w:lineRule="exact"/>
        <w:jc w:val="left"/>
        <w:rPr>
          <w:rFonts w:ascii="Times New Roman" w:hAnsi="Times New Roman" w:cs="Times New Roman" w:eastAsiaTheme="majorEastAsia"/>
          <w:b/>
          <w:bCs/>
        </w:rPr>
      </w:pPr>
      <w:bookmarkStart w:id="431" w:name="_Toc989323"/>
      <w:r>
        <w:rPr>
          <w:rFonts w:ascii="Times New Roman" w:hAnsi="Times New Roman" w:cs="Times New Roman" w:eastAsiaTheme="majorEastAsia"/>
          <w:b/>
          <w:bCs/>
        </w:rPr>
        <w:t>3、金融资产</w:t>
      </w:r>
      <w:bookmarkEnd w:id="431"/>
    </w:p>
    <w:p w14:paraId="41D5663A">
      <w:pPr>
        <w:keepNext/>
        <w:keepLines/>
        <w:spacing w:before="300" w:after="300" w:line="280" w:lineRule="exact"/>
        <w:outlineLvl w:val="3"/>
        <w:rPr>
          <w:rFonts w:ascii="Times New Roman" w:hAnsi="Times New Roman" w:cs="Times New Roman" w:eastAsiaTheme="majorEastAsia"/>
          <w:b/>
          <w:bCs/>
          <w:sz w:val="18"/>
          <w:szCs w:val="18"/>
        </w:rPr>
      </w:pPr>
      <w:bookmarkStart w:id="432" w:name="_Toc989324"/>
      <w:r>
        <w:rPr>
          <w:rFonts w:ascii="Times New Roman" w:hAnsi="Times New Roman" w:cs="Times New Roman" w:eastAsiaTheme="majorEastAsia"/>
          <w:b/>
          <w:bCs/>
          <w:sz w:val="18"/>
          <w:szCs w:val="18"/>
        </w:rPr>
        <w:t>（1） 转移方式分类</w:t>
      </w:r>
      <w:bookmarkEnd w:id="432"/>
    </w:p>
    <w:p w14:paraId="4E48D69F">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4AC9D3F">
      <w:pPr>
        <w:keepNext/>
        <w:keepLines/>
        <w:spacing w:before="300" w:after="300" w:line="280" w:lineRule="exact"/>
        <w:outlineLvl w:val="3"/>
        <w:rPr>
          <w:rFonts w:ascii="Times New Roman" w:hAnsi="Times New Roman" w:cs="Times New Roman" w:eastAsiaTheme="majorEastAsia"/>
          <w:b/>
          <w:bCs/>
          <w:sz w:val="18"/>
          <w:szCs w:val="18"/>
        </w:rPr>
      </w:pPr>
      <w:bookmarkStart w:id="433" w:name="_Toc989325"/>
      <w:r>
        <w:rPr>
          <w:rFonts w:ascii="Times New Roman" w:hAnsi="Times New Roman" w:cs="Times New Roman" w:eastAsiaTheme="majorEastAsia"/>
          <w:b/>
          <w:bCs/>
          <w:sz w:val="18"/>
          <w:szCs w:val="18"/>
        </w:rPr>
        <w:t>（2） 因转移而终止确认的金融资产</w:t>
      </w:r>
      <w:bookmarkEnd w:id="433"/>
    </w:p>
    <w:p w14:paraId="61DBC126">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65096821">
      <w:pPr>
        <w:keepNext/>
        <w:keepLines/>
        <w:spacing w:before="300" w:after="300" w:line="280" w:lineRule="exact"/>
        <w:outlineLvl w:val="3"/>
        <w:rPr>
          <w:rFonts w:ascii="Times New Roman" w:hAnsi="Times New Roman" w:cs="Times New Roman" w:eastAsiaTheme="majorEastAsia"/>
          <w:b/>
          <w:bCs/>
          <w:sz w:val="18"/>
          <w:szCs w:val="18"/>
        </w:rPr>
      </w:pPr>
      <w:bookmarkStart w:id="434" w:name="_Toc989326"/>
      <w:r>
        <w:rPr>
          <w:rFonts w:ascii="Times New Roman" w:hAnsi="Times New Roman" w:cs="Times New Roman" w:eastAsiaTheme="majorEastAsia"/>
          <w:b/>
          <w:bCs/>
          <w:sz w:val="18"/>
          <w:szCs w:val="18"/>
        </w:rPr>
        <w:t>（3） 继续涉入的资产转移金融资产</w:t>
      </w:r>
      <w:bookmarkEnd w:id="434"/>
    </w:p>
    <w:p w14:paraId="27F7A42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CDCDDA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3A9DD197">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39D6DE94">
      <w:pPr>
        <w:pStyle w:val="2"/>
        <w:spacing w:before="300" w:after="300" w:line="320" w:lineRule="exact"/>
        <w:rPr>
          <w:rFonts w:ascii="Times New Roman" w:hAnsi="Times New Roman" w:cs="Times New Roman" w:eastAsiaTheme="majorEastAsia"/>
          <w:b/>
          <w:bCs/>
          <w:sz w:val="24"/>
          <w:szCs w:val="24"/>
        </w:rPr>
      </w:pPr>
      <w:bookmarkStart w:id="435" w:name="_Toc989327"/>
      <w:r>
        <w:rPr>
          <w:rFonts w:ascii="Times New Roman" w:hAnsi="Times New Roman" w:cs="Times New Roman" w:eastAsiaTheme="majorEastAsia"/>
          <w:b/>
          <w:bCs/>
          <w:sz w:val="24"/>
          <w:szCs w:val="24"/>
        </w:rPr>
        <w:t>十三、公允价值的披露</w:t>
      </w:r>
      <w:bookmarkEnd w:id="435"/>
    </w:p>
    <w:p w14:paraId="4D61552D">
      <w:pPr>
        <w:pStyle w:val="3"/>
        <w:spacing w:line="280" w:lineRule="exact"/>
        <w:jc w:val="left"/>
        <w:rPr>
          <w:rFonts w:ascii="Times New Roman" w:hAnsi="Times New Roman" w:cs="Times New Roman" w:eastAsiaTheme="majorEastAsia"/>
          <w:b/>
          <w:bCs/>
        </w:rPr>
      </w:pPr>
      <w:bookmarkStart w:id="436" w:name="_Toc989328"/>
      <w:r>
        <w:rPr>
          <w:rFonts w:ascii="Times New Roman" w:hAnsi="Times New Roman" w:cs="Times New Roman" w:eastAsiaTheme="majorEastAsia"/>
          <w:b/>
          <w:bCs/>
        </w:rPr>
        <w:t>1、其他</w:t>
      </w:r>
      <w:bookmarkEnd w:id="436"/>
    </w:p>
    <w:p w14:paraId="1CE43FE0">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6BAFD8AA">
      <w:pPr>
        <w:pStyle w:val="2"/>
        <w:spacing w:before="300" w:after="300" w:line="320" w:lineRule="exact"/>
        <w:rPr>
          <w:rFonts w:ascii="Times New Roman" w:hAnsi="Times New Roman" w:cs="Times New Roman" w:eastAsiaTheme="majorEastAsia"/>
          <w:b/>
          <w:bCs/>
          <w:sz w:val="24"/>
          <w:szCs w:val="24"/>
        </w:rPr>
      </w:pPr>
      <w:bookmarkStart w:id="437" w:name="_Toc989329"/>
      <w:r>
        <w:rPr>
          <w:rFonts w:ascii="Times New Roman" w:hAnsi="Times New Roman" w:cs="Times New Roman" w:eastAsiaTheme="majorEastAsia"/>
          <w:b/>
          <w:bCs/>
          <w:sz w:val="24"/>
          <w:szCs w:val="24"/>
        </w:rPr>
        <w:t>十四、关联方及关联交易</w:t>
      </w:r>
      <w:bookmarkEnd w:id="437"/>
    </w:p>
    <w:p w14:paraId="5AD23F53">
      <w:pPr>
        <w:pStyle w:val="3"/>
        <w:spacing w:line="280" w:lineRule="exact"/>
        <w:jc w:val="left"/>
        <w:rPr>
          <w:rFonts w:ascii="Times New Roman" w:hAnsi="Times New Roman" w:cs="Times New Roman" w:eastAsiaTheme="majorEastAsia"/>
          <w:b/>
          <w:bCs/>
        </w:rPr>
      </w:pPr>
      <w:bookmarkStart w:id="438" w:name="_Toc989330"/>
      <w:r>
        <w:rPr>
          <w:rFonts w:ascii="Times New Roman" w:hAnsi="Times New Roman" w:cs="Times New Roman" w:eastAsiaTheme="majorEastAsia"/>
          <w:b/>
          <w:bCs/>
        </w:rPr>
        <w:t>1、本企业的母公司情况</w:t>
      </w:r>
      <w:bookmarkEnd w:id="438"/>
    </w:p>
    <w:p w14:paraId="4997B05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本企业的母公司情况的说明</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不适用。</w:t>
      </w:r>
    </w:p>
    <w:p w14:paraId="2A28AE4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本企业最终控制方是林明玲、马学沛。</w:t>
      </w:r>
    </w:p>
    <w:p w14:paraId="18B0564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10910769">
      <w:pPr>
        <w:pStyle w:val="3"/>
        <w:spacing w:line="280" w:lineRule="exact"/>
        <w:jc w:val="left"/>
        <w:rPr>
          <w:rFonts w:ascii="Times New Roman" w:hAnsi="Times New Roman" w:cs="Times New Roman" w:eastAsiaTheme="majorEastAsia"/>
          <w:b/>
          <w:bCs/>
        </w:rPr>
      </w:pPr>
      <w:bookmarkStart w:id="439" w:name="_Toc989331"/>
      <w:r>
        <w:rPr>
          <w:rFonts w:ascii="Times New Roman" w:hAnsi="Times New Roman" w:cs="Times New Roman" w:eastAsiaTheme="majorEastAsia"/>
          <w:b/>
          <w:bCs/>
        </w:rPr>
        <w:t>2、本企业的子公司情况</w:t>
      </w:r>
      <w:bookmarkEnd w:id="439"/>
    </w:p>
    <w:p w14:paraId="08DD0A3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本企业子公司的情况详见附注本节十、在其他主体中的权益。</w:t>
      </w:r>
    </w:p>
    <w:p w14:paraId="0D0CD74A">
      <w:pPr>
        <w:pStyle w:val="3"/>
        <w:spacing w:line="280" w:lineRule="exact"/>
        <w:jc w:val="left"/>
        <w:rPr>
          <w:rFonts w:ascii="Times New Roman" w:hAnsi="Times New Roman" w:cs="Times New Roman" w:eastAsiaTheme="majorEastAsia"/>
          <w:b/>
          <w:bCs/>
        </w:rPr>
      </w:pPr>
      <w:bookmarkStart w:id="440" w:name="_Toc989332"/>
      <w:r>
        <w:rPr>
          <w:rFonts w:ascii="Times New Roman" w:hAnsi="Times New Roman" w:cs="Times New Roman" w:eastAsiaTheme="majorEastAsia"/>
          <w:b/>
          <w:bCs/>
        </w:rPr>
        <w:t>3、本企业合营和联营企业情况</w:t>
      </w:r>
      <w:bookmarkEnd w:id="440"/>
    </w:p>
    <w:p w14:paraId="0635F72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本企业重要的合营或联营企业详见附注。</w:t>
      </w:r>
    </w:p>
    <w:p w14:paraId="3F993EB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本期与本公司发生关联方交易，或前期与本公司发生关联方交易形成余额的其他合营或联营企业情况如下：</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045164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42DD15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合营或联营企业名称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0FC56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与本企业关系</w:t>
            </w:r>
          </w:p>
        </w:tc>
      </w:tr>
    </w:tbl>
    <w:p w14:paraId="23E92BB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其他说明：本公司无重要的合营和联营企业。</w:t>
      </w:r>
    </w:p>
    <w:p w14:paraId="788F8754">
      <w:pPr>
        <w:pStyle w:val="3"/>
        <w:spacing w:line="280" w:lineRule="exact"/>
        <w:jc w:val="left"/>
        <w:rPr>
          <w:rFonts w:ascii="Times New Roman" w:hAnsi="Times New Roman" w:cs="Times New Roman" w:eastAsiaTheme="majorEastAsia"/>
          <w:b/>
          <w:bCs/>
        </w:rPr>
      </w:pPr>
      <w:bookmarkStart w:id="441" w:name="_Toc989333"/>
      <w:r>
        <w:rPr>
          <w:rFonts w:ascii="Times New Roman" w:hAnsi="Times New Roman" w:cs="Times New Roman" w:eastAsiaTheme="majorEastAsia"/>
          <w:b/>
          <w:bCs/>
        </w:rPr>
        <w:t>4、其他关联方情况</w:t>
      </w:r>
      <w:bookmarkEnd w:id="441"/>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B0A73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9A80E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其他关联方名称</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2655C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其他关联方与本企业关系</w:t>
            </w:r>
          </w:p>
        </w:tc>
      </w:tr>
      <w:tr w14:paraId="387B2D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vAlign w:val="center"/>
          </w:tcPr>
          <w:p w14:paraId="63FB3AE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汕头潮阳融和村镇银行股份有限公司</w:t>
            </w:r>
          </w:p>
        </w:tc>
        <w:tc>
          <w:tcPr>
            <w:tcW w:w="4820" w:type="dxa"/>
            <w:tcBorders>
              <w:top w:val="single" w:color="auto" w:sz="2" w:space="0"/>
              <w:left w:val="single" w:color="auto" w:sz="2" w:space="0"/>
              <w:bottom w:val="single" w:color="auto" w:sz="2" w:space="0"/>
              <w:right w:val="single" w:color="auto" w:sz="2" w:space="0"/>
            </w:tcBorders>
            <w:vAlign w:val="center"/>
          </w:tcPr>
          <w:p w14:paraId="51C9AD1C">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林明玲持有5%股权的企业</w:t>
            </w:r>
          </w:p>
        </w:tc>
      </w:tr>
    </w:tbl>
    <w:p w14:paraId="50AE841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09F94D40">
      <w:pPr>
        <w:pStyle w:val="3"/>
        <w:spacing w:line="280" w:lineRule="exact"/>
        <w:jc w:val="left"/>
        <w:rPr>
          <w:rFonts w:ascii="Times New Roman" w:hAnsi="Times New Roman" w:cs="Times New Roman" w:eastAsiaTheme="majorEastAsia"/>
          <w:b/>
          <w:bCs/>
        </w:rPr>
      </w:pPr>
      <w:bookmarkStart w:id="442" w:name="_Toc989334"/>
      <w:r>
        <w:rPr>
          <w:rFonts w:ascii="Times New Roman" w:hAnsi="Times New Roman" w:cs="Times New Roman" w:eastAsiaTheme="majorEastAsia"/>
          <w:b/>
          <w:bCs/>
        </w:rPr>
        <w:t>5、关联交易情况</w:t>
      </w:r>
      <w:bookmarkEnd w:id="442"/>
    </w:p>
    <w:p w14:paraId="7A5E2731">
      <w:pPr>
        <w:keepNext/>
        <w:keepLines/>
        <w:spacing w:before="300" w:after="300" w:line="280" w:lineRule="exact"/>
        <w:outlineLvl w:val="3"/>
        <w:rPr>
          <w:rFonts w:ascii="Times New Roman" w:hAnsi="Times New Roman" w:cs="Times New Roman" w:eastAsiaTheme="majorEastAsia"/>
          <w:b/>
          <w:bCs/>
          <w:szCs w:val="21"/>
        </w:rPr>
      </w:pPr>
      <w:bookmarkStart w:id="443" w:name="_Toc989335"/>
      <w:r>
        <w:rPr>
          <w:rFonts w:ascii="Times New Roman" w:hAnsi="Times New Roman" w:cs="Times New Roman" w:eastAsiaTheme="majorEastAsia"/>
          <w:b/>
          <w:bCs/>
          <w:szCs w:val="21"/>
        </w:rPr>
        <w:t>（1） 购销商品、提供和接受劳务的关联交易</w:t>
      </w:r>
      <w:bookmarkEnd w:id="443"/>
    </w:p>
    <w:p w14:paraId="768A3B8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采购商品/接受劳务情况表</w:t>
      </w:r>
    </w:p>
    <w:p w14:paraId="0C7385F8">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1572A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52EBC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8834A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关联交易内容</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1A514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DA811D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获批的交易额度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651338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是否超过交易额度</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E855C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bl>
    <w:p w14:paraId="3C8AE0C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出售商品/提供劳务情况表</w:t>
      </w:r>
    </w:p>
    <w:p w14:paraId="1F5AEA70">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760D18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FD41B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D70A21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关联交易内容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B5BB2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69AEA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6C5889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FE2F6B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汕头潮阳融和村镇银行股份有限公司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709107A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运维服务</w:t>
            </w:r>
          </w:p>
        </w:tc>
        <w:tc>
          <w:tcPr>
            <w:tcW w:w="2410" w:type="dxa"/>
            <w:tcBorders>
              <w:top w:val="single" w:color="auto" w:sz="2" w:space="0"/>
              <w:left w:val="single" w:color="auto" w:sz="2" w:space="0"/>
              <w:bottom w:val="single" w:color="auto" w:sz="2" w:space="0"/>
              <w:right w:val="single" w:color="auto" w:sz="2" w:space="0"/>
            </w:tcBorders>
            <w:vAlign w:val="center"/>
          </w:tcPr>
          <w:p w14:paraId="612A1609">
            <w:pPr>
              <w:spacing w:line="240" w:lineRule="exact"/>
              <w:jc w:val="righ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6500BA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471.70</w:t>
            </w:r>
          </w:p>
        </w:tc>
      </w:tr>
      <w:tr w14:paraId="135646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BC530A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汕头潮阳融和村镇银行股份有限公司</w:t>
            </w:r>
          </w:p>
        </w:tc>
        <w:tc>
          <w:tcPr>
            <w:tcW w:w="2410" w:type="dxa"/>
            <w:tcBorders>
              <w:top w:val="single" w:color="auto" w:sz="2" w:space="0"/>
              <w:left w:val="single" w:color="auto" w:sz="2" w:space="0"/>
              <w:bottom w:val="single" w:color="auto" w:sz="2" w:space="0"/>
              <w:right w:val="single" w:color="auto" w:sz="2" w:space="0"/>
            </w:tcBorders>
            <w:vAlign w:val="center"/>
          </w:tcPr>
          <w:p w14:paraId="01BBE6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系统集成</w:t>
            </w:r>
          </w:p>
        </w:tc>
        <w:tc>
          <w:tcPr>
            <w:tcW w:w="2410" w:type="dxa"/>
            <w:tcBorders>
              <w:top w:val="single" w:color="auto" w:sz="2" w:space="0"/>
              <w:left w:val="single" w:color="auto" w:sz="2" w:space="0"/>
              <w:bottom w:val="single" w:color="auto" w:sz="2" w:space="0"/>
              <w:right w:val="single" w:color="auto" w:sz="2" w:space="0"/>
            </w:tcBorders>
            <w:vAlign w:val="center"/>
          </w:tcPr>
          <w:p w14:paraId="70942D0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203,160.91</w:t>
            </w:r>
          </w:p>
        </w:tc>
        <w:tc>
          <w:tcPr>
            <w:tcW w:w="2410" w:type="dxa"/>
            <w:tcBorders>
              <w:top w:val="single" w:color="auto" w:sz="2" w:space="0"/>
              <w:left w:val="single" w:color="auto" w:sz="2" w:space="0"/>
              <w:bottom w:val="single" w:color="auto" w:sz="2" w:space="0"/>
              <w:right w:val="single" w:color="auto" w:sz="2" w:space="0"/>
            </w:tcBorders>
            <w:vAlign w:val="center"/>
          </w:tcPr>
          <w:p w14:paraId="6ACDF2A7">
            <w:pPr>
              <w:spacing w:line="240" w:lineRule="exact"/>
              <w:jc w:val="right"/>
              <w:rPr>
                <w:rFonts w:ascii="Times New Roman" w:hAnsi="Times New Roman" w:cs="Times New Roman" w:eastAsiaTheme="majorEastAsia"/>
                <w:sz w:val="18"/>
                <w:szCs w:val="18"/>
              </w:rPr>
            </w:pPr>
          </w:p>
        </w:tc>
      </w:tr>
      <w:tr w14:paraId="548685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DFF40E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145BC6A1">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5F03812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203,160.91</w:t>
            </w:r>
          </w:p>
        </w:tc>
        <w:tc>
          <w:tcPr>
            <w:tcW w:w="2410" w:type="dxa"/>
            <w:tcBorders>
              <w:top w:val="single" w:color="auto" w:sz="2" w:space="0"/>
              <w:left w:val="single" w:color="auto" w:sz="2" w:space="0"/>
              <w:bottom w:val="single" w:color="auto" w:sz="2" w:space="0"/>
              <w:right w:val="single" w:color="auto" w:sz="2" w:space="0"/>
            </w:tcBorders>
            <w:vAlign w:val="center"/>
          </w:tcPr>
          <w:p w14:paraId="1325C2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471.70</w:t>
            </w:r>
          </w:p>
        </w:tc>
      </w:tr>
    </w:tbl>
    <w:p w14:paraId="50FA2F0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购销商品、提供和接受劳务的关联交易说明</w:t>
      </w:r>
    </w:p>
    <w:p w14:paraId="2F8D6ADC">
      <w:pPr>
        <w:keepNext/>
        <w:keepLines/>
        <w:spacing w:before="300" w:after="300" w:line="280" w:lineRule="exact"/>
        <w:outlineLvl w:val="3"/>
        <w:rPr>
          <w:rFonts w:ascii="Times New Roman" w:hAnsi="Times New Roman" w:cs="Times New Roman" w:eastAsiaTheme="majorEastAsia"/>
          <w:b/>
          <w:bCs/>
          <w:szCs w:val="21"/>
        </w:rPr>
      </w:pPr>
      <w:bookmarkStart w:id="444" w:name="_Toc989336"/>
      <w:r>
        <w:rPr>
          <w:rFonts w:ascii="Times New Roman" w:hAnsi="Times New Roman" w:cs="Times New Roman" w:eastAsiaTheme="majorEastAsia"/>
          <w:b/>
          <w:bCs/>
          <w:szCs w:val="21"/>
        </w:rPr>
        <w:t>（2） 关联受托管理/承包及委托管理/出包情况</w:t>
      </w:r>
      <w:bookmarkEnd w:id="444"/>
    </w:p>
    <w:p w14:paraId="0D6F956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本公司受托管理/承包情况表：</w:t>
      </w:r>
    </w:p>
    <w:p w14:paraId="39F7D03A">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5DEA3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D47C4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C594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396A7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受托/承包资产类型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AC892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受托/承包起始日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1691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受托/承包终止日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218E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托管收益/承包收益定价依据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925DC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本期确认的托管收益/承包收益</w:t>
            </w:r>
          </w:p>
        </w:tc>
      </w:tr>
    </w:tbl>
    <w:p w14:paraId="2CF0C545">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关联托管/承包情况说明</w:t>
      </w:r>
    </w:p>
    <w:p w14:paraId="7DBDDCD2">
      <w:pPr>
        <w:rPr>
          <w:rFonts w:ascii="Times New Roman" w:hAnsi="Times New Roman" w:cs="Times New Roman" w:eastAsiaTheme="majorEastAsia"/>
          <w:sz w:val="18"/>
          <w:szCs w:val="18"/>
        </w:rPr>
      </w:pPr>
    </w:p>
    <w:p w14:paraId="03585B3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本公司委托管理/出包情况表：</w:t>
      </w:r>
    </w:p>
    <w:p w14:paraId="59D5FBF3">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371271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20914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委托方/出包方名称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CD5D8B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受托方/承包方名称</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493179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委托/出包资产类型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F5D77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委托/出包起始日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82F05D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委托/出包终止日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3EFA1F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托管费/出包费定价依据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66919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本期确认的托管费/出包费</w:t>
            </w:r>
          </w:p>
        </w:tc>
      </w:tr>
    </w:tbl>
    <w:p w14:paraId="541302C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关联管理/出包情况说明</w:t>
      </w:r>
    </w:p>
    <w:p w14:paraId="5490E9A3">
      <w:pPr>
        <w:keepNext/>
        <w:keepLines/>
        <w:spacing w:before="300" w:after="300" w:line="280" w:lineRule="exact"/>
        <w:outlineLvl w:val="3"/>
        <w:rPr>
          <w:rFonts w:ascii="Times New Roman" w:hAnsi="Times New Roman" w:cs="Times New Roman" w:eastAsiaTheme="majorEastAsia"/>
          <w:b/>
          <w:bCs/>
          <w:szCs w:val="21"/>
        </w:rPr>
      </w:pPr>
      <w:bookmarkStart w:id="445" w:name="_Toc989337"/>
      <w:r>
        <w:rPr>
          <w:rFonts w:ascii="Times New Roman" w:hAnsi="Times New Roman" w:cs="Times New Roman" w:eastAsiaTheme="majorEastAsia"/>
          <w:b/>
          <w:bCs/>
          <w:szCs w:val="21"/>
        </w:rPr>
        <w:t>（3） 关联租赁情况</w:t>
      </w:r>
      <w:bookmarkEnd w:id="445"/>
    </w:p>
    <w:p w14:paraId="4644EDC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本公司作为出租方：</w:t>
      </w:r>
    </w:p>
    <w:p w14:paraId="5BED4AAB">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4D0B1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1FBEF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承租方名称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0634E15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租赁资产种类</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2444EB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本期确认的租赁收入</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C0A189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上期确认的租赁收入</w:t>
            </w:r>
          </w:p>
        </w:tc>
      </w:tr>
    </w:tbl>
    <w:p w14:paraId="2CD3776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本公司作为承租方：</w:t>
      </w:r>
    </w:p>
    <w:p w14:paraId="217BA660">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04"/>
        <w:gridCol w:w="804"/>
        <w:gridCol w:w="804"/>
        <w:gridCol w:w="803"/>
        <w:gridCol w:w="803"/>
        <w:gridCol w:w="803"/>
        <w:gridCol w:w="803"/>
        <w:gridCol w:w="803"/>
        <w:gridCol w:w="803"/>
        <w:gridCol w:w="803"/>
        <w:gridCol w:w="803"/>
        <w:gridCol w:w="803"/>
      </w:tblGrid>
      <w:tr w14:paraId="7726EA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2DF31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出租方名称</w:t>
            </w:r>
          </w:p>
        </w:tc>
        <w:tc>
          <w:tcPr>
            <w:tcW w:w="80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3B798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租赁资产种类</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60E3E4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简化处理的短期租赁和低价值资产租赁的租金费用（如适用）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ACE77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未纳入租赁负债计量的可变租赁付款额（如适用）</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4830DA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支付的租金</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DF154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承担的租赁负债利息支出</w:t>
            </w:r>
          </w:p>
        </w:tc>
        <w:tc>
          <w:tcPr>
            <w:tcW w:w="160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A33C9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增加的使用权资产</w:t>
            </w:r>
          </w:p>
        </w:tc>
      </w:tr>
      <w:tr w14:paraId="5504A2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03" w:type="dxa"/>
            <w:vMerge w:val="continue"/>
            <w:tcBorders>
              <w:top w:val="single" w:color="auto" w:sz="2" w:space="0"/>
              <w:left w:val="single" w:color="auto" w:sz="2" w:space="0"/>
              <w:bottom w:val="single" w:color="auto" w:sz="2" w:space="0"/>
              <w:right w:val="single" w:color="auto" w:sz="2" w:space="0"/>
            </w:tcBorders>
            <w:vAlign w:val="center"/>
          </w:tcPr>
          <w:p w14:paraId="783EF944">
            <w:pPr>
              <w:rPr>
                <w:rFonts w:ascii="Times New Roman" w:hAnsi="Times New Roman" w:cs="Times New Roman" w:eastAsiaTheme="majorEastAsia"/>
              </w:rPr>
            </w:pPr>
          </w:p>
        </w:tc>
        <w:tc>
          <w:tcPr>
            <w:tcW w:w="803" w:type="dxa"/>
            <w:vMerge w:val="continue"/>
            <w:tcBorders>
              <w:top w:val="single" w:color="auto" w:sz="2" w:space="0"/>
              <w:left w:val="single" w:color="auto" w:sz="2" w:space="0"/>
              <w:bottom w:val="single" w:color="auto" w:sz="2" w:space="0"/>
              <w:right w:val="single" w:color="auto" w:sz="2" w:space="0"/>
            </w:tcBorders>
            <w:vAlign w:val="center"/>
          </w:tcPr>
          <w:p w14:paraId="5EC7EDB3">
            <w:pPr>
              <w:rPr>
                <w:rFonts w:ascii="Times New Roman" w:hAnsi="Times New Roman" w:cs="Times New Roman" w:eastAsiaTheme="majorEastAsia"/>
              </w:rPr>
            </w:pP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68382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50A1AA9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CE6F4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50E8657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3671F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0E31F64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37C41D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5AB3CF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6A96083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803" w:type="dxa"/>
            <w:tcBorders>
              <w:top w:val="single" w:color="auto" w:sz="2" w:space="0"/>
              <w:left w:val="single" w:color="auto" w:sz="2" w:space="0"/>
              <w:bottom w:val="single" w:color="auto" w:sz="2" w:space="0"/>
              <w:right w:val="single" w:color="auto" w:sz="2" w:space="0"/>
            </w:tcBorders>
            <w:shd w:val="clear" w:color="auto" w:fill="D3D3D3"/>
            <w:vAlign w:val="center"/>
          </w:tcPr>
          <w:p w14:paraId="1C3C73A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bl>
    <w:p w14:paraId="57AA1EAF">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 w:val="18"/>
          <w:szCs w:val="18"/>
        </w:rPr>
        <w:t>关联租赁情况说明</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报告期内无关联方租赁情况</w:t>
      </w:r>
    </w:p>
    <w:p w14:paraId="3353689D">
      <w:pPr>
        <w:keepNext/>
        <w:keepLines/>
        <w:spacing w:before="300" w:after="300" w:line="280" w:lineRule="exact"/>
        <w:outlineLvl w:val="3"/>
        <w:rPr>
          <w:rFonts w:ascii="Times New Roman" w:hAnsi="Times New Roman" w:cs="Times New Roman" w:eastAsiaTheme="majorEastAsia"/>
          <w:b/>
          <w:bCs/>
          <w:szCs w:val="21"/>
        </w:rPr>
      </w:pPr>
      <w:bookmarkStart w:id="446" w:name="_Toc989338"/>
      <w:r>
        <w:rPr>
          <w:rFonts w:ascii="Times New Roman" w:hAnsi="Times New Roman" w:cs="Times New Roman" w:eastAsiaTheme="majorEastAsia"/>
          <w:b/>
          <w:bCs/>
          <w:szCs w:val="21"/>
        </w:rPr>
        <w:t>（4） 关联担保情况</w:t>
      </w:r>
      <w:bookmarkEnd w:id="446"/>
    </w:p>
    <w:p w14:paraId="2C6BEBA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本公司作为担保方</w:t>
      </w:r>
    </w:p>
    <w:p w14:paraId="0B5ED424">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0917F1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1E6490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AD6AE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687E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C2090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8847E9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担保是否已经履行完毕</w:t>
            </w:r>
          </w:p>
        </w:tc>
      </w:tr>
    </w:tbl>
    <w:p w14:paraId="45E3CA8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本公司作为被担保方</w:t>
      </w:r>
    </w:p>
    <w:p w14:paraId="04125A38">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2D9073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927" w:type="dxa"/>
            <w:tcBorders>
              <w:top w:val="single" w:color="auto" w:sz="2" w:space="0"/>
              <w:left w:val="single" w:color="auto" w:sz="2" w:space="0"/>
              <w:bottom w:val="single" w:color="auto" w:sz="2" w:space="0"/>
              <w:right w:val="single" w:color="auto" w:sz="2" w:space="0"/>
            </w:tcBorders>
            <w:shd w:val="clear" w:color="auto" w:fill="D3D3D3"/>
            <w:vAlign w:val="center"/>
          </w:tcPr>
          <w:p w14:paraId="4EB94AB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担保方</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74454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9B129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担保起始日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D29D04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担保到期日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F80B3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担保是否已经履行完毕</w:t>
            </w:r>
          </w:p>
        </w:tc>
      </w:tr>
      <w:tr w14:paraId="71A5DB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B50670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马学沛、林明玲</w:t>
            </w:r>
          </w:p>
        </w:tc>
        <w:tc>
          <w:tcPr>
            <w:tcW w:w="1928" w:type="dxa"/>
            <w:tcBorders>
              <w:top w:val="single" w:color="auto" w:sz="2" w:space="0"/>
              <w:left w:val="single" w:color="auto" w:sz="2" w:space="0"/>
              <w:bottom w:val="single" w:color="auto" w:sz="2" w:space="0"/>
              <w:right w:val="single" w:color="auto" w:sz="2" w:space="0"/>
            </w:tcBorders>
            <w:vAlign w:val="center"/>
          </w:tcPr>
          <w:p w14:paraId="2FA22C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1928" w:type="dxa"/>
            <w:tcBorders>
              <w:top w:val="single" w:color="auto" w:sz="2" w:space="0"/>
              <w:left w:val="single" w:color="auto" w:sz="2" w:space="0"/>
              <w:bottom w:val="single" w:color="auto" w:sz="2" w:space="0"/>
              <w:right w:val="single" w:color="auto" w:sz="2" w:space="0"/>
            </w:tcBorders>
            <w:vAlign w:val="center"/>
          </w:tcPr>
          <w:p w14:paraId="7C78B0C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2021年09月01日</w:t>
            </w:r>
          </w:p>
        </w:tc>
        <w:tc>
          <w:tcPr>
            <w:tcW w:w="1928" w:type="dxa"/>
            <w:tcBorders>
              <w:top w:val="single" w:color="auto" w:sz="2" w:space="0"/>
              <w:left w:val="single" w:color="auto" w:sz="2" w:space="0"/>
              <w:bottom w:val="single" w:color="auto" w:sz="2" w:space="0"/>
              <w:right w:val="single" w:color="auto" w:sz="2" w:space="0"/>
            </w:tcBorders>
            <w:vAlign w:val="center"/>
          </w:tcPr>
          <w:p w14:paraId="4FA0994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2025年12月31日</w:t>
            </w:r>
          </w:p>
        </w:tc>
        <w:tc>
          <w:tcPr>
            <w:tcW w:w="1928" w:type="dxa"/>
            <w:tcBorders>
              <w:top w:val="single" w:color="auto" w:sz="2" w:space="0"/>
              <w:left w:val="single" w:color="auto" w:sz="2" w:space="0"/>
              <w:bottom w:val="single" w:color="auto" w:sz="2" w:space="0"/>
              <w:right w:val="single" w:color="auto" w:sz="2" w:space="0"/>
            </w:tcBorders>
            <w:vAlign w:val="center"/>
          </w:tcPr>
          <w:p w14:paraId="78D99AC5">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1A9077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03BE53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马学沛、林明玲</w:t>
            </w:r>
          </w:p>
        </w:tc>
        <w:tc>
          <w:tcPr>
            <w:tcW w:w="1928" w:type="dxa"/>
            <w:tcBorders>
              <w:top w:val="single" w:color="auto" w:sz="2" w:space="0"/>
              <w:left w:val="single" w:color="auto" w:sz="2" w:space="0"/>
              <w:bottom w:val="single" w:color="auto" w:sz="2" w:space="0"/>
              <w:right w:val="single" w:color="auto" w:sz="2" w:space="0"/>
            </w:tcBorders>
            <w:vAlign w:val="center"/>
          </w:tcPr>
          <w:p w14:paraId="77C42D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1928" w:type="dxa"/>
            <w:tcBorders>
              <w:top w:val="single" w:color="auto" w:sz="2" w:space="0"/>
              <w:left w:val="single" w:color="auto" w:sz="2" w:space="0"/>
              <w:bottom w:val="single" w:color="auto" w:sz="2" w:space="0"/>
              <w:right w:val="single" w:color="auto" w:sz="2" w:space="0"/>
            </w:tcBorders>
            <w:vAlign w:val="center"/>
          </w:tcPr>
          <w:p w14:paraId="4A98D33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2022年07月20日</w:t>
            </w:r>
          </w:p>
        </w:tc>
        <w:tc>
          <w:tcPr>
            <w:tcW w:w="1928" w:type="dxa"/>
            <w:tcBorders>
              <w:top w:val="single" w:color="auto" w:sz="2" w:space="0"/>
              <w:left w:val="single" w:color="auto" w:sz="2" w:space="0"/>
              <w:bottom w:val="single" w:color="auto" w:sz="2" w:space="0"/>
              <w:right w:val="single" w:color="auto" w:sz="2" w:space="0"/>
            </w:tcBorders>
            <w:vAlign w:val="center"/>
          </w:tcPr>
          <w:p w14:paraId="27E195D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2025年07月20日</w:t>
            </w:r>
          </w:p>
        </w:tc>
        <w:tc>
          <w:tcPr>
            <w:tcW w:w="1928" w:type="dxa"/>
            <w:tcBorders>
              <w:top w:val="single" w:color="auto" w:sz="2" w:space="0"/>
              <w:left w:val="single" w:color="auto" w:sz="2" w:space="0"/>
              <w:bottom w:val="single" w:color="auto" w:sz="2" w:space="0"/>
              <w:right w:val="single" w:color="auto" w:sz="2" w:space="0"/>
            </w:tcBorders>
            <w:vAlign w:val="center"/>
          </w:tcPr>
          <w:p w14:paraId="68D8C9F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6E49DB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6F6288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1928" w:type="dxa"/>
            <w:tcBorders>
              <w:top w:val="single" w:color="auto" w:sz="2" w:space="0"/>
              <w:left w:val="single" w:color="auto" w:sz="2" w:space="0"/>
              <w:bottom w:val="single" w:color="auto" w:sz="2" w:space="0"/>
              <w:right w:val="single" w:color="auto" w:sz="2" w:space="0"/>
            </w:tcBorders>
            <w:vAlign w:val="center"/>
          </w:tcPr>
          <w:p w14:paraId="2D823A8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1928" w:type="dxa"/>
            <w:tcBorders>
              <w:top w:val="single" w:color="auto" w:sz="2" w:space="0"/>
              <w:left w:val="single" w:color="auto" w:sz="2" w:space="0"/>
              <w:bottom w:val="single" w:color="auto" w:sz="2" w:space="0"/>
              <w:right w:val="single" w:color="auto" w:sz="2" w:space="0"/>
            </w:tcBorders>
            <w:vAlign w:val="center"/>
          </w:tcPr>
          <w:p w14:paraId="40D1FA3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6A2D7A3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2025年11月22日</w:t>
            </w:r>
          </w:p>
        </w:tc>
        <w:tc>
          <w:tcPr>
            <w:tcW w:w="1928" w:type="dxa"/>
            <w:tcBorders>
              <w:top w:val="single" w:color="auto" w:sz="2" w:space="0"/>
              <w:left w:val="single" w:color="auto" w:sz="2" w:space="0"/>
              <w:bottom w:val="single" w:color="auto" w:sz="2" w:space="0"/>
              <w:right w:val="single" w:color="auto" w:sz="2" w:space="0"/>
            </w:tcBorders>
            <w:vAlign w:val="center"/>
          </w:tcPr>
          <w:p w14:paraId="5E1B635E">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0427A1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54344D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1928" w:type="dxa"/>
            <w:tcBorders>
              <w:top w:val="single" w:color="auto" w:sz="2" w:space="0"/>
              <w:left w:val="single" w:color="auto" w:sz="2" w:space="0"/>
              <w:bottom w:val="single" w:color="auto" w:sz="2" w:space="0"/>
              <w:right w:val="single" w:color="auto" w:sz="2" w:space="0"/>
            </w:tcBorders>
            <w:vAlign w:val="center"/>
          </w:tcPr>
          <w:p w14:paraId="3E7B03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1928" w:type="dxa"/>
            <w:tcBorders>
              <w:top w:val="single" w:color="auto" w:sz="2" w:space="0"/>
              <w:left w:val="single" w:color="auto" w:sz="2" w:space="0"/>
              <w:bottom w:val="single" w:color="auto" w:sz="2" w:space="0"/>
              <w:right w:val="single" w:color="auto" w:sz="2" w:space="0"/>
            </w:tcBorders>
            <w:vAlign w:val="center"/>
          </w:tcPr>
          <w:p w14:paraId="05BFA02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2022年12月16日</w:t>
            </w:r>
          </w:p>
        </w:tc>
        <w:tc>
          <w:tcPr>
            <w:tcW w:w="1928" w:type="dxa"/>
            <w:tcBorders>
              <w:top w:val="single" w:color="auto" w:sz="2" w:space="0"/>
              <w:left w:val="single" w:color="auto" w:sz="2" w:space="0"/>
              <w:bottom w:val="single" w:color="auto" w:sz="2" w:space="0"/>
              <w:right w:val="single" w:color="auto" w:sz="2" w:space="0"/>
            </w:tcBorders>
            <w:vAlign w:val="center"/>
          </w:tcPr>
          <w:p w14:paraId="49CAF68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2025年11月22日</w:t>
            </w:r>
          </w:p>
        </w:tc>
        <w:tc>
          <w:tcPr>
            <w:tcW w:w="1928" w:type="dxa"/>
            <w:tcBorders>
              <w:top w:val="single" w:color="auto" w:sz="2" w:space="0"/>
              <w:left w:val="single" w:color="auto" w:sz="2" w:space="0"/>
              <w:bottom w:val="single" w:color="auto" w:sz="2" w:space="0"/>
              <w:right w:val="single" w:color="auto" w:sz="2" w:space="0"/>
            </w:tcBorders>
            <w:vAlign w:val="center"/>
          </w:tcPr>
          <w:p w14:paraId="2C1C33ED">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r w14:paraId="2421B0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7" w:type="dxa"/>
            <w:tcBorders>
              <w:top w:val="single" w:color="auto" w:sz="2" w:space="0"/>
              <w:left w:val="single" w:color="auto" w:sz="2" w:space="0"/>
              <w:bottom w:val="single" w:color="auto" w:sz="2" w:space="0"/>
              <w:right w:val="single" w:color="auto" w:sz="2" w:space="0"/>
            </w:tcBorders>
            <w:vAlign w:val="center"/>
          </w:tcPr>
          <w:p w14:paraId="25B32C9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马学沛、林明玲</w:t>
            </w:r>
          </w:p>
        </w:tc>
        <w:tc>
          <w:tcPr>
            <w:tcW w:w="1928" w:type="dxa"/>
            <w:tcBorders>
              <w:top w:val="single" w:color="auto" w:sz="2" w:space="0"/>
              <w:left w:val="single" w:color="auto" w:sz="2" w:space="0"/>
              <w:bottom w:val="single" w:color="auto" w:sz="2" w:space="0"/>
              <w:right w:val="single" w:color="auto" w:sz="2" w:space="0"/>
            </w:tcBorders>
            <w:vAlign w:val="center"/>
          </w:tcPr>
          <w:p w14:paraId="6A43AE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35,000,000.00</w:t>
            </w:r>
          </w:p>
        </w:tc>
        <w:tc>
          <w:tcPr>
            <w:tcW w:w="1928" w:type="dxa"/>
            <w:tcBorders>
              <w:top w:val="single" w:color="auto" w:sz="2" w:space="0"/>
              <w:left w:val="single" w:color="auto" w:sz="2" w:space="0"/>
              <w:bottom w:val="single" w:color="auto" w:sz="2" w:space="0"/>
              <w:right w:val="single" w:color="auto" w:sz="2" w:space="0"/>
            </w:tcBorders>
            <w:vAlign w:val="center"/>
          </w:tcPr>
          <w:p w14:paraId="02117E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2024年08月07日</w:t>
            </w:r>
          </w:p>
        </w:tc>
        <w:tc>
          <w:tcPr>
            <w:tcW w:w="1928" w:type="dxa"/>
            <w:tcBorders>
              <w:top w:val="single" w:color="auto" w:sz="2" w:space="0"/>
              <w:left w:val="single" w:color="auto" w:sz="2" w:space="0"/>
              <w:bottom w:val="single" w:color="auto" w:sz="2" w:space="0"/>
              <w:right w:val="single" w:color="auto" w:sz="2" w:space="0"/>
            </w:tcBorders>
            <w:vAlign w:val="center"/>
          </w:tcPr>
          <w:p w14:paraId="62E122E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2025年07月09日</w:t>
            </w:r>
          </w:p>
        </w:tc>
        <w:tc>
          <w:tcPr>
            <w:tcW w:w="1928" w:type="dxa"/>
            <w:tcBorders>
              <w:top w:val="single" w:color="auto" w:sz="2" w:space="0"/>
              <w:left w:val="single" w:color="auto" w:sz="2" w:space="0"/>
              <w:bottom w:val="single" w:color="auto" w:sz="2" w:space="0"/>
              <w:right w:val="single" w:color="auto" w:sz="2" w:space="0"/>
            </w:tcBorders>
            <w:vAlign w:val="center"/>
          </w:tcPr>
          <w:p w14:paraId="45D98973">
            <w:pPr>
              <w:spacing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否</w:t>
            </w:r>
          </w:p>
        </w:tc>
      </w:tr>
    </w:tbl>
    <w:p w14:paraId="4F9FC34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关联担保情况说明</w:t>
      </w:r>
      <w:r>
        <w:rPr>
          <w:rFonts w:hint="eastAsia" w:ascii="Times New Roman" w:hAnsi="Times New Roman" w:cs="Times New Roman" w:eastAsiaTheme="majorEastAsia"/>
          <w:sz w:val="18"/>
          <w:szCs w:val="18"/>
        </w:rPr>
        <w:t>：无。</w:t>
      </w:r>
    </w:p>
    <w:p w14:paraId="7B742580">
      <w:pPr>
        <w:keepNext/>
        <w:keepLines/>
        <w:spacing w:before="300" w:after="300" w:line="280" w:lineRule="exact"/>
        <w:outlineLvl w:val="3"/>
        <w:rPr>
          <w:rFonts w:ascii="Times New Roman" w:hAnsi="Times New Roman" w:cs="Times New Roman" w:eastAsiaTheme="majorEastAsia"/>
          <w:b/>
          <w:bCs/>
          <w:szCs w:val="21"/>
        </w:rPr>
      </w:pPr>
      <w:bookmarkStart w:id="447" w:name="_Toc989339"/>
      <w:r>
        <w:rPr>
          <w:rFonts w:ascii="Times New Roman" w:hAnsi="Times New Roman" w:cs="Times New Roman" w:eastAsiaTheme="majorEastAsia"/>
          <w:b/>
          <w:bCs/>
          <w:szCs w:val="21"/>
        </w:rPr>
        <w:t>（5） 关联方资金拆借</w:t>
      </w:r>
      <w:bookmarkEnd w:id="447"/>
    </w:p>
    <w:p w14:paraId="22EDBBAA">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 w:val="18"/>
          <w:szCs w:val="18"/>
        </w:rPr>
        <w:t>报告期内无</w:t>
      </w:r>
      <w:r>
        <w:rPr>
          <w:rFonts w:hint="eastAsia" w:ascii="Times New Roman" w:hAnsi="Times New Roman" w:cs="Times New Roman" w:eastAsiaTheme="majorEastAsia"/>
          <w:sz w:val="18"/>
          <w:szCs w:val="18"/>
        </w:rPr>
        <w:t>相关情况。</w:t>
      </w:r>
    </w:p>
    <w:p w14:paraId="4CF2AB8A">
      <w:pPr>
        <w:spacing w:before="40" w:after="40" w:line="240" w:lineRule="exact"/>
        <w:jc w:val="right"/>
        <w:rPr>
          <w:rFonts w:ascii="Times New Roman" w:hAnsi="Times New Roman" w:cs="Times New Roman" w:eastAsiaTheme="majorEastAsia"/>
          <w:sz w:val="18"/>
          <w:szCs w:val="18"/>
        </w:rPr>
      </w:pPr>
    </w:p>
    <w:p w14:paraId="65F37F0A">
      <w:pPr>
        <w:keepNext/>
        <w:keepLines/>
        <w:spacing w:before="300" w:after="300" w:line="280" w:lineRule="exact"/>
        <w:outlineLvl w:val="3"/>
        <w:rPr>
          <w:rFonts w:ascii="Times New Roman" w:hAnsi="Times New Roman" w:cs="Times New Roman" w:eastAsiaTheme="majorEastAsia"/>
          <w:b/>
          <w:bCs/>
          <w:szCs w:val="21"/>
        </w:rPr>
      </w:pPr>
      <w:bookmarkStart w:id="448" w:name="_Toc989340"/>
      <w:r>
        <w:rPr>
          <w:rFonts w:ascii="Times New Roman" w:hAnsi="Times New Roman" w:cs="Times New Roman" w:eastAsiaTheme="majorEastAsia"/>
          <w:b/>
          <w:bCs/>
          <w:szCs w:val="21"/>
        </w:rPr>
        <w:t>（6） 关联方资产转让、债务重组情况</w:t>
      </w:r>
      <w:bookmarkEnd w:id="448"/>
    </w:p>
    <w:p w14:paraId="78147AFC">
      <w:pPr>
        <w:spacing w:before="100" w:after="100" w:line="240" w:lineRule="exact"/>
        <w:rPr>
          <w:rFonts w:ascii="Times New Roman" w:hAnsi="Times New Roman" w:cs="Times New Roman" w:eastAsiaTheme="majorEastAsia"/>
          <w:szCs w:val="21"/>
        </w:rPr>
      </w:pPr>
      <w:r>
        <w:rPr>
          <w:rFonts w:ascii="Times New Roman" w:hAnsi="Times New Roman" w:cs="Times New Roman" w:eastAsiaTheme="majorEastAsia"/>
          <w:sz w:val="18"/>
          <w:szCs w:val="18"/>
        </w:rPr>
        <w:t>报告期内无</w:t>
      </w:r>
      <w:r>
        <w:rPr>
          <w:rFonts w:hint="eastAsia" w:ascii="Times New Roman" w:hAnsi="Times New Roman" w:cs="Times New Roman" w:eastAsiaTheme="majorEastAsia"/>
          <w:sz w:val="18"/>
          <w:szCs w:val="18"/>
        </w:rPr>
        <w:t>相关情况。</w:t>
      </w:r>
    </w:p>
    <w:p w14:paraId="231B93D6">
      <w:pPr>
        <w:keepNext/>
        <w:keepLines/>
        <w:spacing w:before="300" w:after="300" w:line="280" w:lineRule="exact"/>
        <w:outlineLvl w:val="3"/>
        <w:rPr>
          <w:rFonts w:ascii="Times New Roman" w:hAnsi="Times New Roman" w:cs="Times New Roman" w:eastAsiaTheme="majorEastAsia"/>
          <w:b/>
          <w:bCs/>
          <w:szCs w:val="21"/>
        </w:rPr>
      </w:pPr>
      <w:bookmarkStart w:id="449" w:name="_Toc989341"/>
      <w:r>
        <w:rPr>
          <w:rFonts w:ascii="Times New Roman" w:hAnsi="Times New Roman" w:cs="Times New Roman" w:eastAsiaTheme="majorEastAsia"/>
          <w:b/>
          <w:bCs/>
          <w:szCs w:val="21"/>
        </w:rPr>
        <w:t>（7） 关键管理人员报酬</w:t>
      </w:r>
      <w:bookmarkEnd w:id="449"/>
    </w:p>
    <w:p w14:paraId="565386F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D400C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1DD8ED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1B36D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BCC503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53F417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vAlign w:val="center"/>
          </w:tcPr>
          <w:p w14:paraId="3D32764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关键管理人员报酬</w:t>
            </w:r>
          </w:p>
        </w:tc>
        <w:tc>
          <w:tcPr>
            <w:tcW w:w="3213" w:type="dxa"/>
            <w:tcBorders>
              <w:top w:val="single" w:color="auto" w:sz="2" w:space="0"/>
              <w:left w:val="single" w:color="auto" w:sz="2" w:space="0"/>
              <w:bottom w:val="single" w:color="auto" w:sz="2" w:space="0"/>
              <w:right w:val="single" w:color="auto" w:sz="2" w:space="0"/>
            </w:tcBorders>
            <w:vAlign w:val="center"/>
          </w:tcPr>
          <w:p w14:paraId="4C3B96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3,643,618.89</w:t>
            </w:r>
          </w:p>
        </w:tc>
        <w:tc>
          <w:tcPr>
            <w:tcW w:w="3213" w:type="dxa"/>
            <w:tcBorders>
              <w:top w:val="single" w:color="auto" w:sz="2" w:space="0"/>
              <w:left w:val="single" w:color="auto" w:sz="2" w:space="0"/>
              <w:bottom w:val="single" w:color="auto" w:sz="2" w:space="0"/>
              <w:right w:val="single" w:color="auto" w:sz="2" w:space="0"/>
            </w:tcBorders>
            <w:vAlign w:val="center"/>
          </w:tcPr>
          <w:p w14:paraId="7EAC351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3,255,269.74</w:t>
            </w:r>
          </w:p>
        </w:tc>
      </w:tr>
    </w:tbl>
    <w:p w14:paraId="40938312">
      <w:pPr>
        <w:keepNext/>
        <w:keepLines/>
        <w:spacing w:before="300" w:after="300" w:line="280" w:lineRule="exact"/>
        <w:outlineLvl w:val="3"/>
        <w:rPr>
          <w:rFonts w:ascii="Times New Roman" w:hAnsi="Times New Roman" w:cs="Times New Roman" w:eastAsiaTheme="majorEastAsia"/>
          <w:b/>
          <w:bCs/>
          <w:szCs w:val="21"/>
        </w:rPr>
      </w:pPr>
      <w:bookmarkStart w:id="450" w:name="_Toc989342"/>
      <w:r>
        <w:rPr>
          <w:rFonts w:ascii="Times New Roman" w:hAnsi="Times New Roman" w:cs="Times New Roman" w:eastAsiaTheme="majorEastAsia"/>
          <w:b/>
          <w:bCs/>
          <w:szCs w:val="21"/>
        </w:rPr>
        <w:t>（8） 其他关联交易</w:t>
      </w:r>
      <w:bookmarkEnd w:id="450"/>
    </w:p>
    <w:p w14:paraId="3BCDB797">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汕头潮阳融和村镇银行股份有限公司（以下简称“融和银行”）系经中国银行业监督管理委员会批准成立的金融机构。报告期内，融和银行为本公司提供存款服务，按市场费率标准计算存款利息，属于正常的商业行为。</w:t>
      </w:r>
    </w:p>
    <w:p w14:paraId="694CEF23">
      <w:pPr>
        <w:pStyle w:val="10"/>
        <w:spacing w:before="0" w:beforeAutospacing="0" w:after="0" w:afterAutospacing="0" w:line="460" w:lineRule="atLeast"/>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公司在融和银行的利息收入情况如下：</w:t>
      </w:r>
    </w:p>
    <w:tbl>
      <w:tblPr>
        <w:tblStyle w:val="12"/>
        <w:tblW w:w="4872" w:type="pct"/>
        <w:tblInd w:w="0" w:type="dxa"/>
        <w:tblLayout w:type="autofit"/>
        <w:tblCellMar>
          <w:top w:w="15" w:type="dxa"/>
          <w:left w:w="15" w:type="dxa"/>
          <w:bottom w:w="15" w:type="dxa"/>
          <w:right w:w="15" w:type="dxa"/>
        </w:tblCellMar>
      </w:tblPr>
      <w:tblGrid>
        <w:gridCol w:w="3231"/>
        <w:gridCol w:w="3260"/>
        <w:gridCol w:w="3120"/>
      </w:tblGrid>
      <w:tr w14:paraId="6F0BAD00">
        <w:tblPrEx>
          <w:tblCellMar>
            <w:top w:w="15" w:type="dxa"/>
            <w:left w:w="15" w:type="dxa"/>
            <w:bottom w:w="15" w:type="dxa"/>
            <w:right w:w="15" w:type="dxa"/>
          </w:tblCellMar>
        </w:tblPrEx>
        <w:trPr>
          <w:trHeight w:val="283" w:hRule="atLeast"/>
        </w:trPr>
        <w:tc>
          <w:tcPr>
            <w:tcW w:w="1681" w:type="pct"/>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3010E77B">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项目</w:t>
            </w:r>
          </w:p>
        </w:tc>
        <w:tc>
          <w:tcPr>
            <w:tcW w:w="1696"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637632FF">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本期发生额（元）</w:t>
            </w:r>
          </w:p>
        </w:tc>
        <w:tc>
          <w:tcPr>
            <w:tcW w:w="1623" w:type="pct"/>
            <w:tcBorders>
              <w:top w:val="single" w:color="auto" w:sz="8" w:space="0"/>
              <w:left w:val="nil"/>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104ABAF8">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上期发生额（元）</w:t>
            </w:r>
          </w:p>
        </w:tc>
      </w:tr>
      <w:tr w14:paraId="20559748">
        <w:tblPrEx>
          <w:tblCellMar>
            <w:top w:w="15" w:type="dxa"/>
            <w:left w:w="15" w:type="dxa"/>
            <w:bottom w:w="15" w:type="dxa"/>
            <w:right w:w="15" w:type="dxa"/>
          </w:tblCellMar>
        </w:tblPrEx>
        <w:trPr>
          <w:trHeight w:val="283" w:hRule="atLeast"/>
        </w:trPr>
        <w:tc>
          <w:tcPr>
            <w:tcW w:w="1681" w:type="pct"/>
            <w:tcBorders>
              <w:top w:val="nil"/>
              <w:left w:val="single" w:color="auto" w:sz="8" w:space="0"/>
              <w:bottom w:val="single" w:color="auto" w:sz="8" w:space="0"/>
              <w:right w:val="single" w:color="auto" w:sz="8" w:space="0"/>
            </w:tcBorders>
            <w:tcMar>
              <w:top w:w="0" w:type="dxa"/>
              <w:left w:w="113" w:type="dxa"/>
              <w:bottom w:w="0" w:type="dxa"/>
              <w:right w:w="113" w:type="dxa"/>
            </w:tcMar>
            <w:vAlign w:val="center"/>
          </w:tcPr>
          <w:p w14:paraId="27AA75C4">
            <w:pPr>
              <w:pStyle w:val="10"/>
              <w:spacing w:before="0" w:beforeAutospacing="0" w:after="0" w:afterAutospacing="0"/>
              <w:jc w:val="center"/>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利息收入</w:t>
            </w:r>
          </w:p>
        </w:tc>
        <w:tc>
          <w:tcPr>
            <w:tcW w:w="1696" w:type="pct"/>
            <w:tcBorders>
              <w:top w:val="nil"/>
              <w:left w:val="nil"/>
              <w:bottom w:val="single" w:color="auto" w:sz="8" w:space="0"/>
              <w:right w:val="single" w:color="auto" w:sz="8" w:space="0"/>
            </w:tcBorders>
            <w:tcMar>
              <w:top w:w="0" w:type="dxa"/>
              <w:left w:w="113" w:type="dxa"/>
              <w:bottom w:w="0" w:type="dxa"/>
              <w:right w:w="113" w:type="dxa"/>
            </w:tcMar>
            <w:vAlign w:val="center"/>
          </w:tcPr>
          <w:p w14:paraId="622A3DDD">
            <w:pPr>
              <w:pStyle w:val="10"/>
              <w:spacing w:before="0" w:beforeAutospacing="0" w:after="0" w:afterAutospacing="0"/>
              <w:ind w:firstLine="36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229,114.39</w:t>
            </w:r>
          </w:p>
        </w:tc>
        <w:tc>
          <w:tcPr>
            <w:tcW w:w="1623" w:type="pct"/>
            <w:tcBorders>
              <w:top w:val="nil"/>
              <w:left w:val="nil"/>
              <w:bottom w:val="single" w:color="auto" w:sz="8" w:space="0"/>
              <w:right w:val="single" w:color="auto" w:sz="8" w:space="0"/>
            </w:tcBorders>
            <w:tcMar>
              <w:top w:w="0" w:type="dxa"/>
              <w:left w:w="113" w:type="dxa"/>
              <w:bottom w:w="0" w:type="dxa"/>
              <w:right w:w="113" w:type="dxa"/>
            </w:tcMar>
            <w:vAlign w:val="center"/>
          </w:tcPr>
          <w:p w14:paraId="7C62D556">
            <w:pPr>
              <w:pStyle w:val="10"/>
              <w:spacing w:before="0" w:beforeAutospacing="0" w:after="0" w:afterAutospacing="0"/>
              <w:ind w:firstLine="36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237,691.07</w:t>
            </w:r>
          </w:p>
        </w:tc>
      </w:tr>
    </w:tbl>
    <w:p w14:paraId="6CCD01FD">
      <w:pPr>
        <w:pStyle w:val="10"/>
        <w:spacing w:before="0" w:beforeAutospacing="0" w:after="0" w:afterAutospacing="0" w:line="460" w:lineRule="atLeast"/>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公司在融和银行的存款余额情况如下：</w:t>
      </w:r>
    </w:p>
    <w:tbl>
      <w:tblPr>
        <w:tblStyle w:val="12"/>
        <w:tblW w:w="9611" w:type="dxa"/>
        <w:tblInd w:w="0" w:type="dxa"/>
        <w:tblLayout w:type="autofit"/>
        <w:tblCellMar>
          <w:top w:w="15" w:type="dxa"/>
          <w:left w:w="15" w:type="dxa"/>
          <w:bottom w:w="15" w:type="dxa"/>
          <w:right w:w="15" w:type="dxa"/>
        </w:tblCellMar>
      </w:tblPr>
      <w:tblGrid>
        <w:gridCol w:w="3276"/>
        <w:gridCol w:w="3216"/>
        <w:gridCol w:w="3119"/>
      </w:tblGrid>
      <w:tr w14:paraId="5D43FF5D">
        <w:tblPrEx>
          <w:tblCellMar>
            <w:top w:w="15" w:type="dxa"/>
            <w:left w:w="15" w:type="dxa"/>
            <w:bottom w:w="15" w:type="dxa"/>
            <w:right w:w="15" w:type="dxa"/>
          </w:tblCellMar>
        </w:tblPrEx>
        <w:trPr>
          <w:trHeight w:val="283" w:hRule="atLeast"/>
        </w:trPr>
        <w:tc>
          <w:tcPr>
            <w:tcW w:w="3276" w:type="dxa"/>
            <w:tcBorders>
              <w:top w:val="single" w:color="auto" w:sz="8" w:space="0"/>
              <w:left w:val="single" w:color="auto" w:sz="8" w:space="0"/>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174164C0">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项目</w:t>
            </w:r>
          </w:p>
        </w:tc>
        <w:tc>
          <w:tcPr>
            <w:tcW w:w="3216" w:type="dxa"/>
            <w:tcBorders>
              <w:top w:val="single" w:color="auto" w:sz="8" w:space="0"/>
              <w:left w:val="nil"/>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746C77C9">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本期发生额（元）</w:t>
            </w:r>
          </w:p>
        </w:tc>
        <w:tc>
          <w:tcPr>
            <w:tcW w:w="3119" w:type="dxa"/>
            <w:tcBorders>
              <w:top w:val="single" w:color="auto" w:sz="8" w:space="0"/>
              <w:left w:val="nil"/>
              <w:bottom w:val="single" w:color="auto" w:sz="8" w:space="0"/>
              <w:right w:val="single" w:color="auto" w:sz="8" w:space="0"/>
            </w:tcBorders>
            <w:shd w:val="clear" w:color="auto" w:fill="D8D8D8" w:themeFill="background1" w:themeFillShade="D9"/>
            <w:tcMar>
              <w:top w:w="0" w:type="dxa"/>
              <w:left w:w="113" w:type="dxa"/>
              <w:bottom w:w="0" w:type="dxa"/>
              <w:right w:w="113" w:type="dxa"/>
            </w:tcMar>
            <w:vAlign w:val="center"/>
          </w:tcPr>
          <w:p w14:paraId="05188A56">
            <w:pPr>
              <w:pStyle w:val="10"/>
              <w:spacing w:before="0" w:beforeAutospacing="0" w:after="0" w:afterAutospacing="0"/>
              <w:ind w:firstLine="361"/>
              <w:jc w:val="center"/>
              <w:rPr>
                <w:rFonts w:ascii="Times New Roman" w:hAnsi="Times New Roman" w:cs="Times New Roman" w:eastAsiaTheme="majorEastAsia"/>
                <w:sz w:val="18"/>
                <w:szCs w:val="21"/>
              </w:rPr>
            </w:pPr>
            <w:r>
              <w:rPr>
                <w:rStyle w:val="14"/>
                <w:rFonts w:ascii="Times New Roman" w:hAnsi="Times New Roman" w:cs="Times New Roman" w:eastAsiaTheme="majorEastAsia"/>
                <w:b w:val="0"/>
                <w:sz w:val="18"/>
                <w:szCs w:val="21"/>
              </w:rPr>
              <w:t>上期发生额（元）</w:t>
            </w:r>
          </w:p>
        </w:tc>
      </w:tr>
      <w:tr w14:paraId="71938B87">
        <w:tblPrEx>
          <w:tblCellMar>
            <w:top w:w="15" w:type="dxa"/>
            <w:left w:w="15" w:type="dxa"/>
            <w:bottom w:w="15" w:type="dxa"/>
            <w:right w:w="15" w:type="dxa"/>
          </w:tblCellMar>
        </w:tblPrEx>
        <w:trPr>
          <w:trHeight w:val="283" w:hRule="atLeast"/>
        </w:trPr>
        <w:tc>
          <w:tcPr>
            <w:tcW w:w="3276" w:type="dxa"/>
            <w:tcBorders>
              <w:top w:val="nil"/>
              <w:left w:val="single" w:color="auto" w:sz="8" w:space="0"/>
              <w:bottom w:val="single" w:color="auto" w:sz="8" w:space="0"/>
              <w:right w:val="single" w:color="auto" w:sz="8" w:space="0"/>
            </w:tcBorders>
            <w:tcMar>
              <w:top w:w="0" w:type="dxa"/>
              <w:left w:w="113" w:type="dxa"/>
              <w:bottom w:w="0" w:type="dxa"/>
              <w:right w:w="113" w:type="dxa"/>
            </w:tcMar>
            <w:vAlign w:val="center"/>
          </w:tcPr>
          <w:p w14:paraId="60E70DDE">
            <w:pPr>
              <w:pStyle w:val="10"/>
              <w:spacing w:before="0" w:beforeAutospacing="0" w:after="0" w:afterAutospacing="0"/>
              <w:jc w:val="center"/>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银行存款</w:t>
            </w:r>
          </w:p>
        </w:tc>
        <w:tc>
          <w:tcPr>
            <w:tcW w:w="3216" w:type="dxa"/>
            <w:tcBorders>
              <w:top w:val="nil"/>
              <w:left w:val="nil"/>
              <w:bottom w:val="single" w:color="auto" w:sz="8" w:space="0"/>
              <w:right w:val="single" w:color="auto" w:sz="8" w:space="0"/>
            </w:tcBorders>
            <w:tcMar>
              <w:top w:w="0" w:type="dxa"/>
              <w:left w:w="113" w:type="dxa"/>
              <w:bottom w:w="0" w:type="dxa"/>
              <w:right w:w="113" w:type="dxa"/>
            </w:tcMar>
            <w:vAlign w:val="center"/>
          </w:tcPr>
          <w:p w14:paraId="6321A042">
            <w:pPr>
              <w:pStyle w:val="10"/>
              <w:spacing w:before="0" w:beforeAutospacing="0" w:after="0" w:afterAutospacing="0"/>
              <w:ind w:firstLine="36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25,330,205.45</w:t>
            </w:r>
          </w:p>
        </w:tc>
        <w:tc>
          <w:tcPr>
            <w:tcW w:w="3119" w:type="dxa"/>
            <w:tcBorders>
              <w:top w:val="nil"/>
              <w:left w:val="nil"/>
              <w:bottom w:val="single" w:color="auto" w:sz="8" w:space="0"/>
              <w:right w:val="single" w:color="auto" w:sz="8" w:space="0"/>
            </w:tcBorders>
            <w:tcMar>
              <w:top w:w="0" w:type="dxa"/>
              <w:left w:w="113" w:type="dxa"/>
              <w:bottom w:w="0" w:type="dxa"/>
              <w:right w:w="113" w:type="dxa"/>
            </w:tcMar>
            <w:vAlign w:val="center"/>
          </w:tcPr>
          <w:p w14:paraId="56E7D1D4">
            <w:pPr>
              <w:pStyle w:val="10"/>
              <w:spacing w:before="0" w:beforeAutospacing="0" w:after="0" w:afterAutospacing="0"/>
              <w:ind w:firstLine="360"/>
              <w:jc w:val="right"/>
              <w:textAlignment w:val="center"/>
              <w:rPr>
                <w:rFonts w:ascii="Times New Roman" w:hAnsi="Times New Roman" w:cs="Times New Roman" w:eastAsiaTheme="majorEastAsia"/>
                <w:sz w:val="18"/>
                <w:szCs w:val="21"/>
              </w:rPr>
            </w:pPr>
            <w:r>
              <w:rPr>
                <w:rFonts w:ascii="Times New Roman" w:hAnsi="Times New Roman" w:cs="Times New Roman" w:eastAsiaTheme="majorEastAsia"/>
                <w:color w:val="000000"/>
                <w:sz w:val="18"/>
                <w:szCs w:val="21"/>
              </w:rPr>
              <w:t>23,100,991.06</w:t>
            </w:r>
          </w:p>
        </w:tc>
      </w:tr>
    </w:tbl>
    <w:p w14:paraId="4ED91823">
      <w:pPr>
        <w:pStyle w:val="3"/>
        <w:spacing w:line="280" w:lineRule="exact"/>
        <w:jc w:val="left"/>
        <w:rPr>
          <w:rFonts w:ascii="Times New Roman" w:hAnsi="Times New Roman" w:cs="Times New Roman" w:eastAsiaTheme="majorEastAsia"/>
          <w:b/>
          <w:bCs/>
        </w:rPr>
      </w:pPr>
      <w:bookmarkStart w:id="451" w:name="_Toc989343"/>
      <w:r>
        <w:rPr>
          <w:rFonts w:ascii="Times New Roman" w:hAnsi="Times New Roman" w:cs="Times New Roman" w:eastAsiaTheme="majorEastAsia"/>
          <w:b/>
          <w:bCs/>
        </w:rPr>
        <w:t>6、关联方应收应付款项</w:t>
      </w:r>
      <w:bookmarkEnd w:id="451"/>
    </w:p>
    <w:p w14:paraId="6F66B723">
      <w:pPr>
        <w:keepNext/>
        <w:keepLines/>
        <w:spacing w:before="300" w:after="300" w:line="280" w:lineRule="exact"/>
        <w:outlineLvl w:val="3"/>
        <w:rPr>
          <w:rFonts w:ascii="Times New Roman" w:hAnsi="Times New Roman" w:cs="Times New Roman" w:eastAsiaTheme="majorEastAsia"/>
          <w:b/>
          <w:bCs/>
          <w:szCs w:val="21"/>
        </w:rPr>
      </w:pPr>
      <w:bookmarkStart w:id="452" w:name="_Toc989344"/>
      <w:r>
        <w:rPr>
          <w:rFonts w:ascii="Times New Roman" w:hAnsi="Times New Roman" w:cs="Times New Roman" w:eastAsiaTheme="majorEastAsia"/>
          <w:b/>
          <w:bCs/>
          <w:szCs w:val="21"/>
        </w:rPr>
        <w:t>（1） 应收项目</w:t>
      </w:r>
      <w:bookmarkEnd w:id="452"/>
    </w:p>
    <w:p w14:paraId="5B57D39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7"/>
        <w:gridCol w:w="1606"/>
        <w:gridCol w:w="1606"/>
        <w:gridCol w:w="1607"/>
        <w:gridCol w:w="1606"/>
        <w:gridCol w:w="1607"/>
      </w:tblGrid>
      <w:tr w14:paraId="55143B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51AD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160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1AD58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关联方</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CE243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D349F6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603EFF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78E5BF6">
            <w:pPr>
              <w:rPr>
                <w:rFonts w:ascii="Times New Roman" w:hAnsi="Times New Roman" w:cs="Times New Roman" w:eastAsiaTheme="majorEastAsia"/>
              </w:rPr>
            </w:pPr>
          </w:p>
        </w:tc>
        <w:tc>
          <w:tcPr>
            <w:tcW w:w="160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F60176">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68D7B3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EA24E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23E4C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1C7A3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r>
    </w:tbl>
    <w:p w14:paraId="1FB400BA">
      <w:pPr>
        <w:keepNext/>
        <w:keepLines/>
        <w:spacing w:before="300" w:after="300" w:line="280" w:lineRule="exact"/>
        <w:outlineLvl w:val="3"/>
        <w:rPr>
          <w:rFonts w:ascii="Times New Roman" w:hAnsi="Times New Roman" w:cs="Times New Roman" w:eastAsiaTheme="majorEastAsia"/>
          <w:b/>
          <w:bCs/>
          <w:szCs w:val="21"/>
        </w:rPr>
      </w:pPr>
      <w:bookmarkStart w:id="453" w:name="_Toc989345"/>
      <w:r>
        <w:rPr>
          <w:rFonts w:ascii="Times New Roman" w:hAnsi="Times New Roman" w:cs="Times New Roman" w:eastAsiaTheme="majorEastAsia"/>
          <w:b/>
          <w:bCs/>
          <w:szCs w:val="21"/>
        </w:rPr>
        <w:t>（2） 应付项目</w:t>
      </w:r>
      <w:bookmarkEnd w:id="453"/>
    </w:p>
    <w:p w14:paraId="64FF0A8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BA35E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F24C22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项目名称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343BC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关联方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DF150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E5A25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2C44D1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6F8035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其他应付款：</w:t>
            </w:r>
          </w:p>
        </w:tc>
        <w:tc>
          <w:tcPr>
            <w:tcW w:w="2410" w:type="dxa"/>
            <w:tcBorders>
              <w:top w:val="single" w:color="auto" w:sz="2" w:space="0"/>
              <w:left w:val="single" w:color="auto" w:sz="2" w:space="0"/>
              <w:bottom w:val="single" w:color="auto" w:sz="2" w:space="0"/>
              <w:right w:val="single" w:color="auto" w:sz="2" w:space="0"/>
            </w:tcBorders>
            <w:vAlign w:val="center"/>
          </w:tcPr>
          <w:p w14:paraId="50EF8C8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林明玲</w:t>
            </w:r>
          </w:p>
        </w:tc>
        <w:tc>
          <w:tcPr>
            <w:tcW w:w="2410" w:type="dxa"/>
            <w:tcBorders>
              <w:top w:val="single" w:color="auto" w:sz="2" w:space="0"/>
              <w:left w:val="single" w:color="auto" w:sz="2" w:space="0"/>
              <w:bottom w:val="single" w:color="auto" w:sz="2" w:space="0"/>
              <w:right w:val="single" w:color="auto" w:sz="2" w:space="0"/>
            </w:tcBorders>
            <w:vAlign w:val="center"/>
          </w:tcPr>
          <w:p w14:paraId="5F83E2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9,106,560.00</w:t>
            </w:r>
          </w:p>
        </w:tc>
        <w:tc>
          <w:tcPr>
            <w:tcW w:w="2410" w:type="dxa"/>
            <w:tcBorders>
              <w:top w:val="single" w:color="auto" w:sz="2" w:space="0"/>
              <w:left w:val="single" w:color="auto" w:sz="2" w:space="0"/>
              <w:bottom w:val="single" w:color="auto" w:sz="2" w:space="0"/>
              <w:right w:val="single" w:color="auto" w:sz="2" w:space="0"/>
            </w:tcBorders>
            <w:vAlign w:val="center"/>
          </w:tcPr>
          <w:p w14:paraId="6B47E0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10,198,722.02</w:t>
            </w:r>
          </w:p>
        </w:tc>
      </w:tr>
      <w:tr w14:paraId="5069C8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1FC3B61">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0F83A1A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马学沛</w:t>
            </w:r>
          </w:p>
        </w:tc>
        <w:tc>
          <w:tcPr>
            <w:tcW w:w="2410" w:type="dxa"/>
            <w:tcBorders>
              <w:top w:val="single" w:color="auto" w:sz="2" w:space="0"/>
              <w:left w:val="single" w:color="auto" w:sz="2" w:space="0"/>
              <w:bottom w:val="single" w:color="auto" w:sz="2" w:space="0"/>
              <w:right w:val="single" w:color="auto" w:sz="2" w:space="0"/>
            </w:tcBorders>
            <w:vAlign w:val="center"/>
          </w:tcPr>
          <w:p w14:paraId="7A22C6E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9,106,560.00</w:t>
            </w:r>
          </w:p>
        </w:tc>
        <w:tc>
          <w:tcPr>
            <w:tcW w:w="2410" w:type="dxa"/>
            <w:tcBorders>
              <w:top w:val="single" w:color="auto" w:sz="2" w:space="0"/>
              <w:left w:val="single" w:color="auto" w:sz="2" w:space="0"/>
              <w:bottom w:val="single" w:color="auto" w:sz="2" w:space="0"/>
              <w:right w:val="single" w:color="auto" w:sz="2" w:space="0"/>
            </w:tcBorders>
            <w:vAlign w:val="center"/>
          </w:tcPr>
          <w:p w14:paraId="2D9AAB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10,182,400.00</w:t>
            </w:r>
          </w:p>
        </w:tc>
      </w:tr>
      <w:tr w14:paraId="7A234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6EE5214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2D24078C">
            <w:pPr>
              <w:spacing w:line="240" w:lineRule="exact"/>
              <w:rPr>
                <w:rFonts w:ascii="Times New Roman" w:hAnsi="Times New Roman" w:cs="Times New Roman" w:eastAsiaTheme="majorEastAsia"/>
                <w:sz w:val="18"/>
                <w:szCs w:val="18"/>
              </w:rPr>
            </w:pPr>
          </w:p>
        </w:tc>
        <w:tc>
          <w:tcPr>
            <w:tcW w:w="2410" w:type="dxa"/>
            <w:tcBorders>
              <w:top w:val="single" w:color="auto" w:sz="2" w:space="0"/>
              <w:left w:val="single" w:color="auto" w:sz="2" w:space="0"/>
              <w:bottom w:val="single" w:color="auto" w:sz="2" w:space="0"/>
              <w:right w:val="single" w:color="auto" w:sz="2" w:space="0"/>
            </w:tcBorders>
            <w:vAlign w:val="center"/>
          </w:tcPr>
          <w:p w14:paraId="3D2E74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18,213,120.00</w:t>
            </w:r>
          </w:p>
        </w:tc>
        <w:tc>
          <w:tcPr>
            <w:tcW w:w="2410" w:type="dxa"/>
            <w:tcBorders>
              <w:top w:val="single" w:color="auto" w:sz="2" w:space="0"/>
              <w:left w:val="single" w:color="auto" w:sz="2" w:space="0"/>
              <w:bottom w:val="single" w:color="auto" w:sz="2" w:space="0"/>
              <w:right w:val="single" w:color="auto" w:sz="2" w:space="0"/>
            </w:tcBorders>
            <w:vAlign w:val="center"/>
          </w:tcPr>
          <w:p w14:paraId="3701ED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20,381,122.02</w:t>
            </w:r>
          </w:p>
        </w:tc>
      </w:tr>
    </w:tbl>
    <w:p w14:paraId="5F4E9A7A">
      <w:pPr>
        <w:pStyle w:val="3"/>
        <w:spacing w:line="280" w:lineRule="exact"/>
        <w:jc w:val="left"/>
        <w:rPr>
          <w:rFonts w:ascii="Times New Roman" w:hAnsi="Times New Roman" w:cs="Times New Roman" w:eastAsiaTheme="majorEastAsia"/>
          <w:b/>
          <w:bCs/>
        </w:rPr>
      </w:pPr>
      <w:bookmarkStart w:id="454" w:name="_Toc989346"/>
      <w:r>
        <w:rPr>
          <w:rFonts w:ascii="Times New Roman" w:hAnsi="Times New Roman" w:cs="Times New Roman" w:eastAsiaTheme="majorEastAsia"/>
          <w:b/>
          <w:bCs/>
        </w:rPr>
        <w:t>7、关联方承诺</w:t>
      </w:r>
      <w:bookmarkEnd w:id="454"/>
    </w:p>
    <w:p w14:paraId="6D840531">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详见本报告 第六节  重要事项  一、承诺事项履行情况。</w:t>
      </w:r>
    </w:p>
    <w:p w14:paraId="39E82A72">
      <w:pPr>
        <w:pStyle w:val="3"/>
        <w:spacing w:line="280" w:lineRule="exact"/>
        <w:jc w:val="left"/>
        <w:rPr>
          <w:rFonts w:ascii="Times New Roman" w:hAnsi="Times New Roman" w:cs="Times New Roman" w:eastAsiaTheme="majorEastAsia"/>
          <w:b/>
          <w:bCs/>
        </w:rPr>
      </w:pPr>
      <w:bookmarkStart w:id="455" w:name="_Toc989347"/>
      <w:r>
        <w:rPr>
          <w:rFonts w:ascii="Times New Roman" w:hAnsi="Times New Roman" w:cs="Times New Roman" w:eastAsiaTheme="majorEastAsia"/>
          <w:b/>
          <w:bCs/>
        </w:rPr>
        <w:t>8、其他</w:t>
      </w:r>
      <w:bookmarkEnd w:id="455"/>
    </w:p>
    <w:p w14:paraId="56C8CBBC">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0C3B4186">
      <w:pPr>
        <w:pStyle w:val="2"/>
        <w:spacing w:before="300" w:after="300" w:line="320" w:lineRule="exact"/>
        <w:rPr>
          <w:rFonts w:ascii="Times New Roman" w:hAnsi="Times New Roman" w:cs="Times New Roman" w:eastAsiaTheme="majorEastAsia"/>
          <w:b/>
          <w:bCs/>
          <w:sz w:val="24"/>
          <w:szCs w:val="24"/>
        </w:rPr>
      </w:pPr>
      <w:bookmarkStart w:id="456" w:name="_Toc989348"/>
      <w:r>
        <w:rPr>
          <w:rFonts w:ascii="Times New Roman" w:hAnsi="Times New Roman" w:cs="Times New Roman" w:eastAsiaTheme="majorEastAsia"/>
          <w:b/>
          <w:bCs/>
          <w:sz w:val="24"/>
          <w:szCs w:val="24"/>
        </w:rPr>
        <w:t>十五、股份支付</w:t>
      </w:r>
      <w:bookmarkEnd w:id="456"/>
    </w:p>
    <w:p w14:paraId="16FBF2EF">
      <w:pPr>
        <w:pStyle w:val="3"/>
        <w:spacing w:line="280" w:lineRule="exact"/>
        <w:jc w:val="left"/>
        <w:rPr>
          <w:rFonts w:ascii="Times New Roman" w:hAnsi="Times New Roman" w:cs="Times New Roman" w:eastAsiaTheme="majorEastAsia"/>
          <w:b/>
          <w:bCs/>
        </w:rPr>
      </w:pPr>
      <w:bookmarkStart w:id="457" w:name="_Toc989349"/>
      <w:r>
        <w:rPr>
          <w:rFonts w:ascii="Times New Roman" w:hAnsi="Times New Roman" w:cs="Times New Roman" w:eastAsiaTheme="majorEastAsia"/>
          <w:b/>
          <w:bCs/>
        </w:rPr>
        <w:t>1、股份支付总体情况</w:t>
      </w:r>
      <w:bookmarkEnd w:id="457"/>
    </w:p>
    <w:p w14:paraId="4FDD3D7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 □不适用</w:t>
      </w:r>
    </w:p>
    <w:p w14:paraId="69E87A80">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93"/>
        <w:gridCol w:w="741"/>
        <w:gridCol w:w="741"/>
        <w:gridCol w:w="741"/>
        <w:gridCol w:w="741"/>
        <w:gridCol w:w="741"/>
        <w:gridCol w:w="741"/>
        <w:gridCol w:w="1320"/>
        <w:gridCol w:w="1494"/>
      </w:tblGrid>
      <w:tr w14:paraId="292C1A9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6"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883A0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授予对象类别</w:t>
            </w:r>
          </w:p>
        </w:tc>
        <w:tc>
          <w:tcPr>
            <w:tcW w:w="752"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E64E2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本期授予</w:t>
            </w:r>
          </w:p>
        </w:tc>
        <w:tc>
          <w:tcPr>
            <w:tcW w:w="752"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E54F5A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本期行权</w:t>
            </w:r>
          </w:p>
        </w:tc>
        <w:tc>
          <w:tcPr>
            <w:tcW w:w="752"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CC76B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本期解锁</w:t>
            </w:r>
          </w:p>
        </w:tc>
        <w:tc>
          <w:tcPr>
            <w:tcW w:w="1428"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02468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本期失效</w:t>
            </w:r>
          </w:p>
        </w:tc>
      </w:tr>
      <w:tr w14:paraId="52B9DE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6"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B09CAFE">
            <w:pPr>
              <w:rPr>
                <w:rFonts w:ascii="Times New Roman" w:hAnsi="Times New Roman" w:cs="Times New Roman" w:eastAsiaTheme="majorEastAsia"/>
              </w:rPr>
            </w:pP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579935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08CD8E8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70F1796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26F69F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6CD224C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376" w:type="pct"/>
            <w:tcBorders>
              <w:top w:val="single" w:color="auto" w:sz="2" w:space="0"/>
              <w:left w:val="single" w:color="auto" w:sz="2" w:space="0"/>
              <w:bottom w:val="single" w:color="auto" w:sz="2" w:space="0"/>
              <w:right w:val="single" w:color="auto" w:sz="2" w:space="0"/>
            </w:tcBorders>
            <w:shd w:val="clear" w:color="auto" w:fill="D3D3D3"/>
            <w:vAlign w:val="center"/>
          </w:tcPr>
          <w:p w14:paraId="5DEE77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670" w:type="pct"/>
            <w:tcBorders>
              <w:top w:val="single" w:color="auto" w:sz="2" w:space="0"/>
              <w:left w:val="single" w:color="auto" w:sz="2" w:space="0"/>
              <w:bottom w:val="single" w:color="auto" w:sz="2" w:space="0"/>
              <w:right w:val="single" w:color="auto" w:sz="2" w:space="0"/>
            </w:tcBorders>
            <w:shd w:val="clear" w:color="auto" w:fill="D3D3D3"/>
            <w:vAlign w:val="center"/>
          </w:tcPr>
          <w:p w14:paraId="5B3A06D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数量</w:t>
            </w:r>
          </w:p>
        </w:tc>
        <w:tc>
          <w:tcPr>
            <w:tcW w:w="758" w:type="pct"/>
            <w:tcBorders>
              <w:top w:val="single" w:color="auto" w:sz="2" w:space="0"/>
              <w:left w:val="single" w:color="auto" w:sz="2" w:space="0"/>
              <w:bottom w:val="single" w:color="auto" w:sz="2" w:space="0"/>
              <w:right w:val="single" w:color="auto" w:sz="2" w:space="0"/>
            </w:tcBorders>
            <w:shd w:val="clear" w:color="auto" w:fill="D3D3D3"/>
            <w:vAlign w:val="center"/>
          </w:tcPr>
          <w:p w14:paraId="2434DB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r>
      <w:tr w14:paraId="284DEF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6" w:type="pct"/>
            <w:tcBorders>
              <w:top w:val="single" w:color="auto" w:sz="2" w:space="0"/>
              <w:left w:val="single" w:color="auto" w:sz="2" w:space="0"/>
              <w:bottom w:val="single" w:color="auto" w:sz="2" w:space="0"/>
              <w:right w:val="single" w:color="auto" w:sz="2" w:space="0"/>
            </w:tcBorders>
            <w:vAlign w:val="center"/>
          </w:tcPr>
          <w:p w14:paraId="2A78D1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董事长、副董事长</w:t>
            </w:r>
          </w:p>
        </w:tc>
        <w:tc>
          <w:tcPr>
            <w:tcW w:w="376" w:type="pct"/>
            <w:tcBorders>
              <w:top w:val="single" w:color="auto" w:sz="2" w:space="0"/>
              <w:left w:val="single" w:color="auto" w:sz="2" w:space="0"/>
              <w:bottom w:val="single" w:color="auto" w:sz="2" w:space="0"/>
              <w:right w:val="single" w:color="auto" w:sz="2" w:space="0"/>
            </w:tcBorders>
            <w:vAlign w:val="center"/>
          </w:tcPr>
          <w:p w14:paraId="55ABEC2F">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B2C1510">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33266DB4">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6FBCCE5E">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174C29BD">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0D1B09B7">
            <w:pPr>
              <w:spacing w:line="240" w:lineRule="exact"/>
              <w:jc w:val="right"/>
              <w:rPr>
                <w:rFonts w:ascii="Times New Roman" w:hAnsi="Times New Roman" w:cs="Times New Roman" w:eastAsiaTheme="majorEastAsia"/>
                <w:sz w:val="18"/>
                <w:szCs w:val="18"/>
              </w:rPr>
            </w:pPr>
          </w:p>
        </w:tc>
        <w:tc>
          <w:tcPr>
            <w:tcW w:w="670" w:type="pct"/>
            <w:tcBorders>
              <w:top w:val="single" w:color="auto" w:sz="2" w:space="0"/>
              <w:left w:val="single" w:color="auto" w:sz="2" w:space="0"/>
              <w:bottom w:val="single" w:color="auto" w:sz="2" w:space="0"/>
              <w:right w:val="single" w:color="auto" w:sz="2" w:space="0"/>
            </w:tcBorders>
            <w:vAlign w:val="center"/>
          </w:tcPr>
          <w:p w14:paraId="723FF4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128,000.00</w:t>
            </w:r>
          </w:p>
        </w:tc>
        <w:tc>
          <w:tcPr>
            <w:tcW w:w="758" w:type="pct"/>
            <w:tcBorders>
              <w:top w:val="single" w:color="auto" w:sz="2" w:space="0"/>
              <w:left w:val="single" w:color="auto" w:sz="2" w:space="0"/>
              <w:bottom w:val="single" w:color="auto" w:sz="2" w:space="0"/>
              <w:right w:val="single" w:color="auto" w:sz="2" w:space="0"/>
            </w:tcBorders>
            <w:vAlign w:val="center"/>
          </w:tcPr>
          <w:p w14:paraId="45A3E4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2,036,480.00</w:t>
            </w:r>
          </w:p>
        </w:tc>
      </w:tr>
      <w:tr w14:paraId="28FC57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6" w:type="pct"/>
            <w:tcBorders>
              <w:top w:val="single" w:color="auto" w:sz="2" w:space="0"/>
              <w:left w:val="single" w:color="auto" w:sz="2" w:space="0"/>
              <w:bottom w:val="single" w:color="auto" w:sz="2" w:space="0"/>
              <w:right w:val="single" w:color="auto" w:sz="2" w:space="0"/>
            </w:tcBorders>
            <w:vAlign w:val="center"/>
          </w:tcPr>
          <w:p w14:paraId="74A9008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董事、高管及核心员工</w:t>
            </w:r>
          </w:p>
        </w:tc>
        <w:tc>
          <w:tcPr>
            <w:tcW w:w="376" w:type="pct"/>
            <w:tcBorders>
              <w:top w:val="single" w:color="auto" w:sz="2" w:space="0"/>
              <w:left w:val="single" w:color="auto" w:sz="2" w:space="0"/>
              <w:bottom w:val="single" w:color="auto" w:sz="2" w:space="0"/>
              <w:right w:val="single" w:color="auto" w:sz="2" w:space="0"/>
            </w:tcBorders>
            <w:vAlign w:val="center"/>
          </w:tcPr>
          <w:p w14:paraId="459D9595">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4B7FFE2">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5A4830F">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26D8DC1">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70676F8B">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7A6FC8A">
            <w:pPr>
              <w:spacing w:line="240" w:lineRule="exact"/>
              <w:jc w:val="right"/>
              <w:rPr>
                <w:rFonts w:ascii="Times New Roman" w:hAnsi="Times New Roman" w:cs="Times New Roman" w:eastAsiaTheme="majorEastAsia"/>
                <w:sz w:val="18"/>
                <w:szCs w:val="18"/>
              </w:rPr>
            </w:pPr>
          </w:p>
        </w:tc>
        <w:tc>
          <w:tcPr>
            <w:tcW w:w="670" w:type="pct"/>
            <w:tcBorders>
              <w:top w:val="single" w:color="auto" w:sz="2" w:space="0"/>
              <w:left w:val="single" w:color="auto" w:sz="2" w:space="0"/>
              <w:bottom w:val="single" w:color="auto" w:sz="2" w:space="0"/>
              <w:right w:val="single" w:color="auto" w:sz="2" w:space="0"/>
            </w:tcBorders>
            <w:vAlign w:val="center"/>
          </w:tcPr>
          <w:p w14:paraId="77D2ED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253,360.00</w:t>
            </w:r>
          </w:p>
        </w:tc>
        <w:tc>
          <w:tcPr>
            <w:tcW w:w="758" w:type="pct"/>
            <w:tcBorders>
              <w:top w:val="single" w:color="auto" w:sz="2" w:space="0"/>
              <w:left w:val="single" w:color="auto" w:sz="2" w:space="0"/>
              <w:bottom w:val="single" w:color="auto" w:sz="2" w:space="0"/>
              <w:right w:val="single" w:color="auto" w:sz="2" w:space="0"/>
            </w:tcBorders>
            <w:vAlign w:val="center"/>
          </w:tcPr>
          <w:p w14:paraId="6A447E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4,030,957.60</w:t>
            </w:r>
          </w:p>
        </w:tc>
      </w:tr>
      <w:tr w14:paraId="1941BF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16" w:type="pct"/>
            <w:tcBorders>
              <w:top w:val="single" w:color="auto" w:sz="2" w:space="0"/>
              <w:left w:val="single" w:color="auto" w:sz="2" w:space="0"/>
              <w:bottom w:val="single" w:color="auto" w:sz="2" w:space="0"/>
              <w:right w:val="single" w:color="auto" w:sz="2" w:space="0"/>
            </w:tcBorders>
            <w:shd w:val="clear" w:color="auto" w:fill="D3D3D3"/>
            <w:vAlign w:val="center"/>
          </w:tcPr>
          <w:p w14:paraId="5392BD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76" w:type="pct"/>
            <w:tcBorders>
              <w:top w:val="single" w:color="auto" w:sz="2" w:space="0"/>
              <w:left w:val="single" w:color="auto" w:sz="2" w:space="0"/>
              <w:bottom w:val="single" w:color="auto" w:sz="2" w:space="0"/>
              <w:right w:val="single" w:color="auto" w:sz="2" w:space="0"/>
            </w:tcBorders>
            <w:vAlign w:val="center"/>
          </w:tcPr>
          <w:p w14:paraId="070B5B35">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7311C024">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279598A9">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18364E6B">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0CD024FD">
            <w:pPr>
              <w:spacing w:line="240" w:lineRule="exact"/>
              <w:jc w:val="right"/>
              <w:rPr>
                <w:rFonts w:ascii="Times New Roman" w:hAnsi="Times New Roman" w:cs="Times New Roman" w:eastAsiaTheme="majorEastAsia"/>
                <w:sz w:val="18"/>
                <w:szCs w:val="18"/>
              </w:rPr>
            </w:pPr>
          </w:p>
        </w:tc>
        <w:tc>
          <w:tcPr>
            <w:tcW w:w="376" w:type="pct"/>
            <w:tcBorders>
              <w:top w:val="single" w:color="auto" w:sz="2" w:space="0"/>
              <w:left w:val="single" w:color="auto" w:sz="2" w:space="0"/>
              <w:bottom w:val="single" w:color="auto" w:sz="2" w:space="0"/>
              <w:right w:val="single" w:color="auto" w:sz="2" w:space="0"/>
            </w:tcBorders>
            <w:vAlign w:val="center"/>
          </w:tcPr>
          <w:p w14:paraId="407DD37E">
            <w:pPr>
              <w:spacing w:line="240" w:lineRule="exact"/>
              <w:jc w:val="right"/>
              <w:rPr>
                <w:rFonts w:ascii="Times New Roman" w:hAnsi="Times New Roman" w:cs="Times New Roman" w:eastAsiaTheme="majorEastAsia"/>
                <w:sz w:val="18"/>
                <w:szCs w:val="18"/>
              </w:rPr>
            </w:pPr>
          </w:p>
        </w:tc>
        <w:tc>
          <w:tcPr>
            <w:tcW w:w="670" w:type="pct"/>
            <w:tcBorders>
              <w:top w:val="single" w:color="auto" w:sz="2" w:space="0"/>
              <w:left w:val="single" w:color="auto" w:sz="2" w:space="0"/>
              <w:bottom w:val="single" w:color="auto" w:sz="2" w:space="0"/>
              <w:right w:val="single" w:color="auto" w:sz="2" w:space="0"/>
            </w:tcBorders>
            <w:vAlign w:val="center"/>
          </w:tcPr>
          <w:p w14:paraId="199FFB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381,360.00</w:t>
            </w:r>
          </w:p>
        </w:tc>
        <w:tc>
          <w:tcPr>
            <w:tcW w:w="758" w:type="pct"/>
            <w:tcBorders>
              <w:top w:val="single" w:color="auto" w:sz="2" w:space="0"/>
              <w:left w:val="single" w:color="auto" w:sz="2" w:space="0"/>
              <w:bottom w:val="single" w:color="auto" w:sz="2" w:space="0"/>
              <w:right w:val="single" w:color="auto" w:sz="2" w:space="0"/>
            </w:tcBorders>
            <w:vAlign w:val="center"/>
          </w:tcPr>
          <w:p w14:paraId="6E9325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6,067,437.60</w:t>
            </w:r>
          </w:p>
        </w:tc>
      </w:tr>
    </w:tbl>
    <w:p w14:paraId="7F92BA3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期末发行在外的股票期权或其他权益工具</w:t>
      </w:r>
    </w:p>
    <w:p w14:paraId="3A71999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2CEBC632">
      <w:pPr>
        <w:spacing w:line="0" w:lineRule="atLeast"/>
        <w:rPr>
          <w:rFonts w:ascii="Times New Roman" w:hAnsi="Times New Roman" w:cs="Times New Roman" w:eastAsiaTheme="majorEastAsia"/>
        </w:rPr>
      </w:pP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BF120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B22EC7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授予对象类别</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3EAEA4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期末发行在外的股票期权</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47DBEC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期末发行在外的其他权益工具</w:t>
            </w:r>
          </w:p>
        </w:tc>
      </w:tr>
      <w:tr w14:paraId="04E2BF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EDAB0AF">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4FAA4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行权价格的范围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E048E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合同剩余期限</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E16B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行权价格的范围</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03AB0A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合同剩余期限</w:t>
            </w:r>
          </w:p>
        </w:tc>
      </w:tr>
      <w:tr w14:paraId="162F99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vAlign w:val="center"/>
          </w:tcPr>
          <w:p w14:paraId="0EB32F2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股票期权</w:t>
            </w:r>
          </w:p>
        </w:tc>
        <w:tc>
          <w:tcPr>
            <w:tcW w:w="1928" w:type="dxa"/>
            <w:tcBorders>
              <w:top w:val="single" w:color="auto" w:sz="2" w:space="0"/>
              <w:left w:val="single" w:color="auto" w:sz="2" w:space="0"/>
              <w:bottom w:val="single" w:color="auto" w:sz="2" w:space="0"/>
              <w:right w:val="single" w:color="auto" w:sz="2" w:space="0"/>
            </w:tcBorders>
            <w:vAlign w:val="center"/>
          </w:tcPr>
          <w:p w14:paraId="1EEFFD5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15.81</w:t>
            </w:r>
          </w:p>
        </w:tc>
        <w:tc>
          <w:tcPr>
            <w:tcW w:w="1928" w:type="dxa"/>
            <w:tcBorders>
              <w:top w:val="single" w:color="auto" w:sz="2" w:space="0"/>
              <w:left w:val="single" w:color="auto" w:sz="2" w:space="0"/>
              <w:bottom w:val="single" w:color="auto" w:sz="2" w:space="0"/>
              <w:right w:val="single" w:color="auto" w:sz="2" w:space="0"/>
            </w:tcBorders>
            <w:vAlign w:val="center"/>
          </w:tcPr>
          <w:p w14:paraId="1309E0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12个月、24个月、33个月</w:t>
            </w:r>
          </w:p>
        </w:tc>
        <w:tc>
          <w:tcPr>
            <w:tcW w:w="1928" w:type="dxa"/>
            <w:tcBorders>
              <w:top w:val="single" w:color="auto" w:sz="2" w:space="0"/>
              <w:left w:val="single" w:color="auto" w:sz="2" w:space="0"/>
              <w:bottom w:val="single" w:color="auto" w:sz="2" w:space="0"/>
              <w:right w:val="single" w:color="auto" w:sz="2" w:space="0"/>
            </w:tcBorders>
            <w:vAlign w:val="center"/>
          </w:tcPr>
          <w:p w14:paraId="05388DF9">
            <w:pPr>
              <w:spacing w:line="240" w:lineRule="exac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097F386F">
            <w:pPr>
              <w:spacing w:line="240" w:lineRule="exact"/>
              <w:rPr>
                <w:rFonts w:ascii="Times New Roman" w:hAnsi="Times New Roman" w:cs="Times New Roman" w:eastAsiaTheme="majorEastAsia"/>
                <w:sz w:val="18"/>
                <w:szCs w:val="18"/>
              </w:rPr>
            </w:pPr>
          </w:p>
        </w:tc>
      </w:tr>
    </w:tbl>
    <w:p w14:paraId="5E3209B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7A0DED30">
      <w:pPr>
        <w:pStyle w:val="3"/>
        <w:spacing w:line="280" w:lineRule="exact"/>
        <w:jc w:val="left"/>
        <w:rPr>
          <w:rFonts w:ascii="Times New Roman" w:hAnsi="Times New Roman" w:cs="Times New Roman" w:eastAsiaTheme="majorEastAsia"/>
          <w:b/>
          <w:bCs/>
        </w:rPr>
      </w:pPr>
      <w:bookmarkStart w:id="458" w:name="_Toc989350"/>
      <w:r>
        <w:rPr>
          <w:rFonts w:ascii="Times New Roman" w:hAnsi="Times New Roman" w:cs="Times New Roman" w:eastAsiaTheme="majorEastAsia"/>
          <w:b/>
          <w:bCs/>
        </w:rPr>
        <w:t>2、以权益结算的股份支付情况</w:t>
      </w:r>
      <w:bookmarkEnd w:id="458"/>
    </w:p>
    <w:p w14:paraId="1882749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7FB1105B">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94"/>
        <w:gridCol w:w="5845"/>
      </w:tblGrid>
      <w:tr w14:paraId="0F2AC0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562AB7A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授予日权益工具公允价值的确定方法</w:t>
            </w:r>
          </w:p>
        </w:tc>
        <w:tc>
          <w:tcPr>
            <w:tcW w:w="5845" w:type="dxa"/>
            <w:tcBorders>
              <w:top w:val="single" w:color="auto" w:sz="2" w:space="0"/>
              <w:left w:val="single" w:color="auto" w:sz="2" w:space="0"/>
              <w:bottom w:val="single" w:color="auto" w:sz="2" w:space="0"/>
              <w:right w:val="single" w:color="auto" w:sz="2" w:space="0"/>
            </w:tcBorders>
            <w:vAlign w:val="center"/>
          </w:tcPr>
          <w:p w14:paraId="1C2ECC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股票期权为BS 模型、授予日收盘价与授予价格之间的差额作为限制性股票的公允价值</w:t>
            </w:r>
          </w:p>
        </w:tc>
      </w:tr>
      <w:tr w14:paraId="33C24C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7C5AAE0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授予日权益工具公允价值的重要参数</w:t>
            </w:r>
          </w:p>
        </w:tc>
        <w:tc>
          <w:tcPr>
            <w:tcW w:w="5845" w:type="dxa"/>
            <w:tcBorders>
              <w:top w:val="single" w:color="auto" w:sz="2" w:space="0"/>
              <w:left w:val="single" w:color="auto" w:sz="2" w:space="0"/>
              <w:bottom w:val="single" w:color="auto" w:sz="2" w:space="0"/>
              <w:right w:val="single" w:color="auto" w:sz="2" w:space="0"/>
            </w:tcBorders>
            <w:vAlign w:val="center"/>
          </w:tcPr>
          <w:p w14:paraId="5EEC96D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历史波动率、无风险收益率、股息率</w:t>
            </w:r>
          </w:p>
        </w:tc>
      </w:tr>
      <w:tr w14:paraId="78325F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71EF2E3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可行权权益工具数量的确定依据</w:t>
            </w:r>
          </w:p>
        </w:tc>
        <w:tc>
          <w:tcPr>
            <w:tcW w:w="5845" w:type="dxa"/>
            <w:tcBorders>
              <w:top w:val="single" w:color="auto" w:sz="2" w:space="0"/>
              <w:left w:val="single" w:color="auto" w:sz="2" w:space="0"/>
              <w:bottom w:val="single" w:color="auto" w:sz="2" w:space="0"/>
              <w:right w:val="single" w:color="auto" w:sz="2" w:space="0"/>
            </w:tcBorders>
            <w:vAlign w:val="center"/>
          </w:tcPr>
          <w:p w14:paraId="12DC2CE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管理层预计未来可行权人员及数量</w:t>
            </w:r>
          </w:p>
        </w:tc>
      </w:tr>
      <w:tr w14:paraId="327771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D4EDCC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本期估计与上期估计有重大差异的原因</w:t>
            </w:r>
          </w:p>
        </w:tc>
        <w:tc>
          <w:tcPr>
            <w:tcW w:w="5845" w:type="dxa"/>
            <w:tcBorders>
              <w:top w:val="single" w:color="auto" w:sz="2" w:space="0"/>
              <w:left w:val="single" w:color="auto" w:sz="2" w:space="0"/>
              <w:bottom w:val="single" w:color="auto" w:sz="2" w:space="0"/>
              <w:right w:val="single" w:color="auto" w:sz="2" w:space="0"/>
            </w:tcBorders>
            <w:vAlign w:val="center"/>
          </w:tcPr>
          <w:p w14:paraId="344BB5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r>
      <w:tr w14:paraId="183233A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00C8AD9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以权益结算的股份支付计入资本公积的累计金额</w:t>
            </w:r>
          </w:p>
        </w:tc>
        <w:tc>
          <w:tcPr>
            <w:tcW w:w="5845" w:type="dxa"/>
            <w:tcBorders>
              <w:top w:val="single" w:color="auto" w:sz="2" w:space="0"/>
              <w:left w:val="single" w:color="auto" w:sz="2" w:space="0"/>
              <w:bottom w:val="single" w:color="auto" w:sz="2" w:space="0"/>
              <w:right w:val="single" w:color="auto" w:sz="2" w:space="0"/>
            </w:tcBorders>
            <w:vAlign w:val="center"/>
          </w:tcPr>
          <w:p w14:paraId="510BFA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14,677,471.75</w:t>
            </w:r>
          </w:p>
        </w:tc>
      </w:tr>
      <w:tr w14:paraId="27E70E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94" w:type="dxa"/>
            <w:tcBorders>
              <w:top w:val="single" w:color="auto" w:sz="2" w:space="0"/>
              <w:left w:val="single" w:color="auto" w:sz="2" w:space="0"/>
              <w:bottom w:val="single" w:color="auto" w:sz="2" w:space="0"/>
              <w:right w:val="single" w:color="auto" w:sz="2" w:space="0"/>
            </w:tcBorders>
            <w:shd w:val="clear" w:color="auto" w:fill="D3D3D3"/>
            <w:vAlign w:val="center"/>
          </w:tcPr>
          <w:p w14:paraId="443A921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本期以权益结算的股份支付确认的费用总额</w:t>
            </w:r>
          </w:p>
        </w:tc>
        <w:tc>
          <w:tcPr>
            <w:tcW w:w="5845" w:type="dxa"/>
            <w:tcBorders>
              <w:top w:val="single" w:color="auto" w:sz="2" w:space="0"/>
              <w:left w:val="single" w:color="auto" w:sz="2" w:space="0"/>
              <w:bottom w:val="single" w:color="auto" w:sz="2" w:space="0"/>
              <w:right w:val="single" w:color="auto" w:sz="2" w:space="0"/>
            </w:tcBorders>
            <w:vAlign w:val="center"/>
          </w:tcPr>
          <w:p w14:paraId="73C709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r>
    </w:tbl>
    <w:p w14:paraId="69AB97B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182286C4">
      <w:pPr>
        <w:pStyle w:val="3"/>
        <w:spacing w:line="280" w:lineRule="exact"/>
        <w:jc w:val="left"/>
        <w:rPr>
          <w:rFonts w:ascii="Times New Roman" w:hAnsi="Times New Roman" w:cs="Times New Roman" w:eastAsiaTheme="majorEastAsia"/>
          <w:b/>
          <w:bCs/>
        </w:rPr>
      </w:pPr>
      <w:bookmarkStart w:id="459" w:name="_Toc989351"/>
      <w:r>
        <w:rPr>
          <w:rFonts w:ascii="Times New Roman" w:hAnsi="Times New Roman" w:cs="Times New Roman" w:eastAsiaTheme="majorEastAsia"/>
          <w:b/>
          <w:bCs/>
        </w:rPr>
        <w:t>3、以现金结算的股份支付情况</w:t>
      </w:r>
      <w:bookmarkEnd w:id="459"/>
    </w:p>
    <w:p w14:paraId="7837BDF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5E19972">
      <w:pPr>
        <w:pStyle w:val="3"/>
        <w:spacing w:line="280" w:lineRule="exact"/>
        <w:jc w:val="left"/>
        <w:rPr>
          <w:rFonts w:ascii="Times New Roman" w:hAnsi="Times New Roman" w:cs="Times New Roman" w:eastAsiaTheme="majorEastAsia"/>
          <w:b/>
          <w:bCs/>
        </w:rPr>
      </w:pPr>
      <w:bookmarkStart w:id="460" w:name="_Toc989352"/>
      <w:r>
        <w:rPr>
          <w:rFonts w:ascii="Times New Roman" w:hAnsi="Times New Roman" w:cs="Times New Roman" w:eastAsiaTheme="majorEastAsia"/>
          <w:b/>
          <w:bCs/>
        </w:rPr>
        <w:t>4、本期股份支付费用</w:t>
      </w:r>
      <w:bookmarkEnd w:id="460"/>
    </w:p>
    <w:p w14:paraId="43E7058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61796CEF">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16B53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EB6B2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授予对象类别</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6D03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以权益结算的股份支付费用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1AFE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以现金结算的股份支付费用</w:t>
            </w:r>
          </w:p>
        </w:tc>
      </w:tr>
      <w:tr w14:paraId="41DB1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0831C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高管及核心员工</w:t>
            </w:r>
          </w:p>
        </w:tc>
        <w:tc>
          <w:tcPr>
            <w:tcW w:w="3213" w:type="dxa"/>
            <w:tcBorders>
              <w:top w:val="single" w:color="auto" w:sz="2" w:space="0"/>
              <w:left w:val="single" w:color="auto" w:sz="2" w:space="0"/>
              <w:bottom w:val="single" w:color="auto" w:sz="2" w:space="0"/>
              <w:right w:val="single" w:color="auto" w:sz="2" w:space="0"/>
            </w:tcBorders>
            <w:vAlign w:val="center"/>
          </w:tcPr>
          <w:p w14:paraId="426A90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c>
          <w:tcPr>
            <w:tcW w:w="3213" w:type="dxa"/>
            <w:tcBorders>
              <w:top w:val="single" w:color="auto" w:sz="2" w:space="0"/>
              <w:left w:val="single" w:color="auto" w:sz="2" w:space="0"/>
              <w:bottom w:val="single" w:color="auto" w:sz="2" w:space="0"/>
              <w:right w:val="single" w:color="auto" w:sz="2" w:space="0"/>
            </w:tcBorders>
            <w:vAlign w:val="center"/>
          </w:tcPr>
          <w:p w14:paraId="0005977E">
            <w:pPr>
              <w:spacing w:line="240" w:lineRule="exact"/>
              <w:jc w:val="right"/>
              <w:rPr>
                <w:rFonts w:ascii="Times New Roman" w:hAnsi="Times New Roman" w:cs="Times New Roman" w:eastAsiaTheme="majorEastAsia"/>
                <w:sz w:val="18"/>
                <w:szCs w:val="18"/>
              </w:rPr>
            </w:pPr>
          </w:p>
        </w:tc>
      </w:tr>
      <w:tr w14:paraId="55A049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3956D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4DD3EA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9,511,837.79</w:t>
            </w:r>
          </w:p>
        </w:tc>
        <w:tc>
          <w:tcPr>
            <w:tcW w:w="3213" w:type="dxa"/>
            <w:tcBorders>
              <w:top w:val="single" w:color="auto" w:sz="2" w:space="0"/>
              <w:left w:val="single" w:color="auto" w:sz="2" w:space="0"/>
              <w:bottom w:val="single" w:color="auto" w:sz="2" w:space="0"/>
              <w:right w:val="single" w:color="auto" w:sz="2" w:space="0"/>
            </w:tcBorders>
            <w:vAlign w:val="center"/>
          </w:tcPr>
          <w:p w14:paraId="554B1DEB">
            <w:pPr>
              <w:spacing w:line="240" w:lineRule="exact"/>
              <w:jc w:val="right"/>
              <w:rPr>
                <w:rFonts w:ascii="Times New Roman" w:hAnsi="Times New Roman" w:cs="Times New Roman" w:eastAsiaTheme="majorEastAsia"/>
                <w:sz w:val="18"/>
                <w:szCs w:val="18"/>
              </w:rPr>
            </w:pPr>
          </w:p>
        </w:tc>
      </w:tr>
    </w:tbl>
    <w:p w14:paraId="2C1BE6B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p>
    <w:p w14:paraId="2597B62C">
      <w:pPr>
        <w:pStyle w:val="3"/>
        <w:spacing w:line="280" w:lineRule="exact"/>
        <w:jc w:val="left"/>
        <w:rPr>
          <w:rFonts w:ascii="Times New Roman" w:hAnsi="Times New Roman" w:cs="Times New Roman" w:eastAsiaTheme="majorEastAsia"/>
          <w:b/>
          <w:bCs/>
        </w:rPr>
      </w:pPr>
      <w:bookmarkStart w:id="461" w:name="_Toc989353"/>
      <w:r>
        <w:rPr>
          <w:rFonts w:ascii="Times New Roman" w:hAnsi="Times New Roman" w:cs="Times New Roman" w:eastAsiaTheme="majorEastAsia"/>
          <w:b/>
          <w:bCs/>
        </w:rPr>
        <w:t>5、股份支付的修改、终止情况</w:t>
      </w:r>
      <w:bookmarkEnd w:id="461"/>
    </w:p>
    <w:p w14:paraId="252EEC30">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15AB5FB5">
      <w:pPr>
        <w:pStyle w:val="3"/>
        <w:spacing w:line="280" w:lineRule="exact"/>
        <w:jc w:val="left"/>
        <w:rPr>
          <w:rFonts w:ascii="Times New Roman" w:hAnsi="Times New Roman" w:cs="Times New Roman" w:eastAsiaTheme="majorEastAsia"/>
          <w:b/>
          <w:bCs/>
        </w:rPr>
      </w:pPr>
      <w:bookmarkStart w:id="462" w:name="_Toc989354"/>
      <w:r>
        <w:rPr>
          <w:rFonts w:ascii="Times New Roman" w:hAnsi="Times New Roman" w:cs="Times New Roman" w:eastAsiaTheme="majorEastAsia"/>
          <w:b/>
          <w:bCs/>
        </w:rPr>
        <w:t xml:space="preserve">6、其他 </w:t>
      </w:r>
      <w:bookmarkEnd w:id="462"/>
    </w:p>
    <w:p w14:paraId="18AF7671">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46065E19">
      <w:pPr>
        <w:pStyle w:val="2"/>
        <w:spacing w:before="300" w:after="300" w:line="320" w:lineRule="exact"/>
        <w:rPr>
          <w:rFonts w:ascii="Times New Roman" w:hAnsi="Times New Roman" w:cs="Times New Roman" w:eastAsiaTheme="majorEastAsia"/>
          <w:b/>
          <w:bCs/>
          <w:sz w:val="24"/>
          <w:szCs w:val="24"/>
        </w:rPr>
      </w:pPr>
      <w:bookmarkStart w:id="463" w:name="_Toc989355"/>
      <w:r>
        <w:rPr>
          <w:rFonts w:ascii="Times New Roman" w:hAnsi="Times New Roman" w:cs="Times New Roman" w:eastAsiaTheme="majorEastAsia"/>
          <w:b/>
          <w:bCs/>
          <w:sz w:val="24"/>
          <w:szCs w:val="24"/>
        </w:rPr>
        <w:t>十六、承诺及或有事项</w:t>
      </w:r>
      <w:bookmarkEnd w:id="463"/>
    </w:p>
    <w:p w14:paraId="256B7DCA">
      <w:pPr>
        <w:pStyle w:val="3"/>
        <w:spacing w:line="280" w:lineRule="exact"/>
        <w:jc w:val="left"/>
        <w:rPr>
          <w:rFonts w:ascii="Times New Roman" w:hAnsi="Times New Roman" w:cs="Times New Roman" w:eastAsiaTheme="majorEastAsia"/>
          <w:b/>
          <w:bCs/>
        </w:rPr>
      </w:pPr>
      <w:bookmarkStart w:id="464" w:name="_Toc989356"/>
      <w:r>
        <w:rPr>
          <w:rFonts w:ascii="Times New Roman" w:hAnsi="Times New Roman" w:cs="Times New Roman" w:eastAsiaTheme="majorEastAsia"/>
          <w:b/>
          <w:bCs/>
        </w:rPr>
        <w:t>1、重要承诺事项</w:t>
      </w:r>
      <w:bookmarkEnd w:id="464"/>
    </w:p>
    <w:p w14:paraId="0368E2A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资产负债表日存在的重要承诺</w:t>
      </w:r>
    </w:p>
    <w:p w14:paraId="4B703427">
      <w:pPr>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截至2024年12月31日，本集团不存在需要披露的重要承诺事项。</w:t>
      </w:r>
    </w:p>
    <w:p w14:paraId="48071326">
      <w:pPr>
        <w:pStyle w:val="3"/>
        <w:spacing w:line="280" w:lineRule="exact"/>
        <w:jc w:val="left"/>
        <w:rPr>
          <w:rFonts w:ascii="Times New Roman" w:hAnsi="Times New Roman" w:cs="Times New Roman" w:eastAsiaTheme="majorEastAsia"/>
          <w:b/>
          <w:bCs/>
        </w:rPr>
      </w:pPr>
      <w:bookmarkStart w:id="465" w:name="_Toc989357"/>
      <w:r>
        <w:rPr>
          <w:rFonts w:ascii="Times New Roman" w:hAnsi="Times New Roman" w:cs="Times New Roman" w:eastAsiaTheme="majorEastAsia"/>
          <w:b/>
          <w:bCs/>
        </w:rPr>
        <w:t>2、或有事项</w:t>
      </w:r>
      <w:bookmarkEnd w:id="465"/>
    </w:p>
    <w:p w14:paraId="372F56B0">
      <w:pPr>
        <w:keepNext/>
        <w:keepLines/>
        <w:spacing w:before="300" w:after="300" w:line="280" w:lineRule="exact"/>
        <w:outlineLvl w:val="3"/>
        <w:rPr>
          <w:rFonts w:ascii="Times New Roman" w:hAnsi="Times New Roman" w:cs="Times New Roman" w:eastAsiaTheme="majorEastAsia"/>
          <w:b/>
          <w:bCs/>
          <w:szCs w:val="21"/>
        </w:rPr>
      </w:pPr>
      <w:bookmarkStart w:id="466" w:name="_Toc989358"/>
      <w:r>
        <w:rPr>
          <w:rFonts w:ascii="Times New Roman" w:hAnsi="Times New Roman" w:cs="Times New Roman" w:eastAsiaTheme="majorEastAsia"/>
          <w:b/>
          <w:bCs/>
          <w:szCs w:val="21"/>
        </w:rPr>
        <w:t>（1） 资产负债表日存在的重要或有事项</w:t>
      </w:r>
      <w:bookmarkEnd w:id="466"/>
    </w:p>
    <w:p w14:paraId="647FC611">
      <w:pPr>
        <w:pStyle w:val="10"/>
        <w:spacing w:before="0" w:beforeAutospacing="0" w:after="0" w:afterAutospacing="0"/>
        <w:jc w:val="both"/>
        <w:rPr>
          <w:rFonts w:ascii="Times New Roman" w:hAnsi="Times New Roman" w:cs="Times New Roman" w:eastAsiaTheme="majorEastAsia"/>
          <w:sz w:val="21"/>
          <w:szCs w:val="21"/>
        </w:rPr>
      </w:pPr>
      <w:r>
        <w:rPr>
          <w:rFonts w:ascii="Times New Roman" w:hAnsi="Times New Roman" w:cs="Times New Roman" w:eastAsiaTheme="majorEastAsia"/>
          <w:color w:val="000000"/>
          <w:sz w:val="21"/>
          <w:szCs w:val="21"/>
        </w:rPr>
        <w:t>截至20</w:t>
      </w:r>
      <w:r>
        <w:rPr>
          <w:rFonts w:ascii="Times New Roman" w:hAnsi="Times New Roman" w:cs="Times New Roman" w:eastAsiaTheme="majorEastAsia"/>
          <w:sz w:val="21"/>
          <w:szCs w:val="21"/>
        </w:rPr>
        <w:t>24</w:t>
      </w:r>
      <w:r>
        <w:rPr>
          <w:rFonts w:ascii="Times New Roman" w:hAnsi="Times New Roman" w:cs="Times New Roman" w:eastAsiaTheme="majorEastAsia"/>
          <w:color w:val="000000"/>
          <w:sz w:val="21"/>
          <w:szCs w:val="21"/>
        </w:rPr>
        <w:t>年12月31日，本公司无需要披露的重大或有事项。</w:t>
      </w:r>
    </w:p>
    <w:p w14:paraId="4FC11C5C">
      <w:pPr>
        <w:keepNext/>
        <w:keepLines/>
        <w:spacing w:before="300" w:after="300" w:line="280" w:lineRule="exact"/>
        <w:outlineLvl w:val="3"/>
        <w:rPr>
          <w:rFonts w:ascii="Times New Roman" w:hAnsi="Times New Roman" w:cs="Times New Roman" w:eastAsiaTheme="majorEastAsia"/>
          <w:b/>
          <w:bCs/>
          <w:szCs w:val="21"/>
        </w:rPr>
      </w:pPr>
      <w:bookmarkStart w:id="467" w:name="_Toc989359"/>
      <w:r>
        <w:rPr>
          <w:rFonts w:ascii="Times New Roman" w:hAnsi="Times New Roman" w:cs="Times New Roman" w:eastAsiaTheme="majorEastAsia"/>
          <w:b/>
          <w:bCs/>
          <w:szCs w:val="21"/>
        </w:rPr>
        <w:t>（2） 公司没有需要披露的重要或有事项，也应予以说明</w:t>
      </w:r>
      <w:bookmarkEnd w:id="467"/>
    </w:p>
    <w:p w14:paraId="260185A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公司不存在需要披露的重要或有事项。</w:t>
      </w:r>
    </w:p>
    <w:p w14:paraId="3D4794CC">
      <w:pPr>
        <w:pStyle w:val="3"/>
        <w:spacing w:line="280" w:lineRule="exact"/>
        <w:jc w:val="left"/>
        <w:rPr>
          <w:rFonts w:ascii="Times New Roman" w:hAnsi="Times New Roman" w:cs="Times New Roman" w:eastAsiaTheme="majorEastAsia"/>
          <w:b/>
          <w:bCs/>
        </w:rPr>
      </w:pPr>
      <w:bookmarkStart w:id="468" w:name="_Toc989360"/>
      <w:r>
        <w:rPr>
          <w:rFonts w:ascii="Times New Roman" w:hAnsi="Times New Roman" w:cs="Times New Roman" w:eastAsiaTheme="majorEastAsia"/>
          <w:b/>
          <w:bCs/>
        </w:rPr>
        <w:t>3、其他</w:t>
      </w:r>
      <w:bookmarkEnd w:id="468"/>
    </w:p>
    <w:p w14:paraId="089F31E1">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1BE76B61">
      <w:pPr>
        <w:pStyle w:val="2"/>
        <w:spacing w:before="300" w:after="300" w:line="320" w:lineRule="exact"/>
        <w:rPr>
          <w:rFonts w:ascii="Times New Roman" w:hAnsi="Times New Roman" w:cs="Times New Roman" w:eastAsiaTheme="majorEastAsia"/>
          <w:b/>
          <w:bCs/>
          <w:sz w:val="24"/>
          <w:szCs w:val="24"/>
        </w:rPr>
      </w:pPr>
      <w:bookmarkStart w:id="469" w:name="_Toc989361"/>
      <w:r>
        <w:rPr>
          <w:rFonts w:ascii="Times New Roman" w:hAnsi="Times New Roman" w:cs="Times New Roman" w:eastAsiaTheme="majorEastAsia"/>
          <w:b/>
          <w:bCs/>
          <w:sz w:val="24"/>
          <w:szCs w:val="24"/>
        </w:rPr>
        <w:t>十七、资产负债表日后事项</w:t>
      </w:r>
      <w:bookmarkEnd w:id="469"/>
    </w:p>
    <w:p w14:paraId="2DC9D7DE">
      <w:pPr>
        <w:pStyle w:val="3"/>
        <w:spacing w:line="280" w:lineRule="exact"/>
        <w:jc w:val="left"/>
        <w:rPr>
          <w:rFonts w:ascii="Times New Roman" w:hAnsi="Times New Roman" w:cs="Times New Roman" w:eastAsiaTheme="majorEastAsia"/>
          <w:b/>
          <w:bCs/>
        </w:rPr>
      </w:pPr>
      <w:bookmarkStart w:id="470" w:name="_Toc989362"/>
      <w:r>
        <w:rPr>
          <w:rFonts w:ascii="Times New Roman" w:hAnsi="Times New Roman" w:cs="Times New Roman" w:eastAsiaTheme="majorEastAsia"/>
          <w:b/>
          <w:bCs/>
        </w:rPr>
        <w:t>1、重要的非调整事项</w:t>
      </w:r>
      <w:bookmarkEnd w:id="470"/>
    </w:p>
    <w:p w14:paraId="0D50A3B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6F833E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C72DA7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6954E2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内容</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85D18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对财务状况和经营成果的影响数</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B13EF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无法估计影响数的原因</w:t>
            </w:r>
          </w:p>
        </w:tc>
      </w:tr>
    </w:tbl>
    <w:p w14:paraId="62FC55B1">
      <w:pPr>
        <w:pStyle w:val="3"/>
        <w:spacing w:line="280" w:lineRule="exact"/>
        <w:jc w:val="left"/>
        <w:rPr>
          <w:rFonts w:ascii="Times New Roman" w:hAnsi="Times New Roman" w:cs="Times New Roman" w:eastAsiaTheme="majorEastAsia"/>
          <w:b/>
          <w:bCs/>
        </w:rPr>
      </w:pPr>
      <w:bookmarkStart w:id="471" w:name="_Toc989363"/>
      <w:r>
        <w:rPr>
          <w:rFonts w:ascii="Times New Roman" w:hAnsi="Times New Roman" w:cs="Times New Roman" w:eastAsiaTheme="majorEastAsia"/>
          <w:b/>
          <w:bCs/>
        </w:rPr>
        <w:t>2、利润分配情况</w:t>
      </w:r>
      <w:bookmarkEnd w:id="471"/>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24AEAD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D2F720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拟分配每10股派息数（元）</w:t>
            </w:r>
          </w:p>
        </w:tc>
        <w:tc>
          <w:tcPr>
            <w:tcW w:w="4820" w:type="dxa"/>
            <w:tcBorders>
              <w:top w:val="single" w:color="auto" w:sz="2" w:space="0"/>
              <w:left w:val="single" w:color="auto" w:sz="2" w:space="0"/>
              <w:bottom w:val="single" w:color="auto" w:sz="2" w:space="0"/>
              <w:right w:val="single" w:color="auto" w:sz="2" w:space="0"/>
            </w:tcBorders>
            <w:vAlign w:val="center"/>
          </w:tcPr>
          <w:p w14:paraId="0AB324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6F91FD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18F07D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拟分配每10股分红股（股）</w:t>
            </w:r>
          </w:p>
        </w:tc>
        <w:tc>
          <w:tcPr>
            <w:tcW w:w="4820" w:type="dxa"/>
            <w:tcBorders>
              <w:top w:val="single" w:color="auto" w:sz="2" w:space="0"/>
              <w:left w:val="single" w:color="auto" w:sz="2" w:space="0"/>
              <w:bottom w:val="single" w:color="auto" w:sz="2" w:space="0"/>
              <w:right w:val="single" w:color="auto" w:sz="2" w:space="0"/>
            </w:tcBorders>
            <w:vAlign w:val="center"/>
          </w:tcPr>
          <w:p w14:paraId="729378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7F9EDE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4EA8173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拟分配每10股转增数（股）</w:t>
            </w:r>
          </w:p>
        </w:tc>
        <w:tc>
          <w:tcPr>
            <w:tcW w:w="4820" w:type="dxa"/>
            <w:tcBorders>
              <w:top w:val="single" w:color="auto" w:sz="2" w:space="0"/>
              <w:left w:val="single" w:color="auto" w:sz="2" w:space="0"/>
              <w:bottom w:val="single" w:color="auto" w:sz="2" w:space="0"/>
              <w:right w:val="single" w:color="auto" w:sz="2" w:space="0"/>
            </w:tcBorders>
            <w:vAlign w:val="center"/>
          </w:tcPr>
          <w:p w14:paraId="36DD7D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71A764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1BAAE7D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经审议批准宣告发放的每10股派息数（元）</w:t>
            </w:r>
          </w:p>
        </w:tc>
        <w:tc>
          <w:tcPr>
            <w:tcW w:w="4820" w:type="dxa"/>
            <w:tcBorders>
              <w:top w:val="single" w:color="auto" w:sz="2" w:space="0"/>
              <w:left w:val="single" w:color="auto" w:sz="2" w:space="0"/>
              <w:bottom w:val="single" w:color="auto" w:sz="2" w:space="0"/>
              <w:right w:val="single" w:color="auto" w:sz="2" w:space="0"/>
            </w:tcBorders>
            <w:vAlign w:val="center"/>
          </w:tcPr>
          <w:p w14:paraId="7C4A57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733E65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374D97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经审议批准宣告发放的每10股分红股（股）</w:t>
            </w:r>
          </w:p>
        </w:tc>
        <w:tc>
          <w:tcPr>
            <w:tcW w:w="4820" w:type="dxa"/>
            <w:tcBorders>
              <w:top w:val="single" w:color="auto" w:sz="2" w:space="0"/>
              <w:left w:val="single" w:color="auto" w:sz="2" w:space="0"/>
              <w:bottom w:val="single" w:color="auto" w:sz="2" w:space="0"/>
              <w:right w:val="single" w:color="auto" w:sz="2" w:space="0"/>
            </w:tcBorders>
            <w:vAlign w:val="center"/>
          </w:tcPr>
          <w:p w14:paraId="5F296A9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005E15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60324A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经审议批准宣告发放的每10股转增数（股）</w:t>
            </w:r>
          </w:p>
        </w:tc>
        <w:tc>
          <w:tcPr>
            <w:tcW w:w="4820" w:type="dxa"/>
            <w:tcBorders>
              <w:top w:val="single" w:color="auto" w:sz="2" w:space="0"/>
              <w:left w:val="single" w:color="auto" w:sz="2" w:space="0"/>
              <w:bottom w:val="single" w:color="auto" w:sz="2" w:space="0"/>
              <w:right w:val="single" w:color="auto" w:sz="2" w:space="0"/>
            </w:tcBorders>
            <w:vAlign w:val="center"/>
          </w:tcPr>
          <w:p w14:paraId="42DE90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w:t>
            </w:r>
          </w:p>
        </w:tc>
      </w:tr>
      <w:tr w14:paraId="2E948F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6CF3781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利润分配方案</w:t>
            </w:r>
          </w:p>
        </w:tc>
        <w:tc>
          <w:tcPr>
            <w:tcW w:w="4820" w:type="dxa"/>
            <w:tcBorders>
              <w:top w:val="single" w:color="auto" w:sz="2" w:space="0"/>
              <w:left w:val="single" w:color="auto" w:sz="2" w:space="0"/>
              <w:bottom w:val="single" w:color="auto" w:sz="2" w:space="0"/>
              <w:right w:val="single" w:color="auto" w:sz="2" w:space="0"/>
            </w:tcBorders>
            <w:vAlign w:val="center"/>
          </w:tcPr>
          <w:p w14:paraId="707103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于2025年4月18日召开第三届董事会第三十次会议，会议审议通过《关于2024年度拟不进行利润分配的议案》。公司2024年度拟不进行现金分红，也不进行资本公积金转增股本或其他任何形式的分配议案。本议案尚需提交股东会批准后方可实施。</w:t>
            </w:r>
          </w:p>
        </w:tc>
      </w:tr>
    </w:tbl>
    <w:p w14:paraId="3F88FE93">
      <w:pPr>
        <w:pStyle w:val="3"/>
        <w:spacing w:line="280" w:lineRule="exact"/>
        <w:jc w:val="left"/>
        <w:rPr>
          <w:rFonts w:ascii="Times New Roman" w:hAnsi="Times New Roman" w:cs="Times New Roman" w:eastAsiaTheme="majorEastAsia"/>
          <w:b/>
          <w:bCs/>
        </w:rPr>
      </w:pPr>
      <w:bookmarkStart w:id="472" w:name="_Toc989364"/>
      <w:r>
        <w:rPr>
          <w:rFonts w:ascii="Times New Roman" w:hAnsi="Times New Roman" w:cs="Times New Roman" w:eastAsiaTheme="majorEastAsia"/>
          <w:b/>
          <w:bCs/>
        </w:rPr>
        <w:t>3、销售退回</w:t>
      </w:r>
      <w:bookmarkEnd w:id="472"/>
    </w:p>
    <w:p w14:paraId="62AEE2BC">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093501FC">
      <w:pPr>
        <w:pStyle w:val="3"/>
        <w:spacing w:line="280" w:lineRule="exact"/>
        <w:jc w:val="left"/>
        <w:rPr>
          <w:rFonts w:ascii="Times New Roman" w:hAnsi="Times New Roman" w:cs="Times New Roman" w:eastAsiaTheme="majorEastAsia"/>
          <w:b/>
          <w:bCs/>
        </w:rPr>
      </w:pPr>
      <w:bookmarkStart w:id="473" w:name="_Toc989365"/>
      <w:r>
        <w:rPr>
          <w:rFonts w:ascii="Times New Roman" w:hAnsi="Times New Roman" w:cs="Times New Roman" w:eastAsiaTheme="majorEastAsia"/>
          <w:b/>
          <w:bCs/>
        </w:rPr>
        <w:t>4、其他资产负债表日后事项说明</w:t>
      </w:r>
      <w:bookmarkEnd w:id="473"/>
    </w:p>
    <w:p w14:paraId="451F607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（1）子公司申请金融机构综合授信额度并由公司为其提供担保</w:t>
      </w:r>
    </w:p>
    <w:p w14:paraId="2AF7527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公司于2025年4月18日召开第三届董事会第三十次会议，会议通过了《关于公司及子公司拟申请金融机构综合授信额度暨关联方提供担保的议案》。</w:t>
      </w:r>
    </w:p>
    <w:p w14:paraId="21E569A6">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为满足日常生产经营的资金需求，公司及全资子公司深圳市互联精英信息技术有限公司、广东天亿马信息科技有限公司、天亿马信息技术有限公司、广东天亿马数字产业有限公司、天亿马（香港）信息产业有限公司拟向包括但不限于中国建设银行、中国银行、中国工商银行、中国交通银行、南洋商业银行、中国光大银行等金融机构申请总额度不超过人民币50,000万元的综合授信额度，并接受实际控制人马学沛、林明玲夫妇为实际贷款提供担保。马学沛、林明玲夫妇为相关授信提供担保不收取公司及子公司任何费用，不需要公司及子公司提供反担保。以上授信额度为公司及子公司可使用的综合授信最高限额，最终额度以各家机构实际审批的授信额度为准，具体融资金额及担保金额将视生产经营对资金的需求来确定。本议案将经股东大会批准后实施。</w:t>
      </w:r>
    </w:p>
    <w:p w14:paraId="3189B1E9">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Style w:val="14"/>
          <w:rFonts w:ascii="Times New Roman" w:hAnsi="Times New Roman" w:cs="Times New Roman" w:eastAsiaTheme="majorEastAsia"/>
          <w:sz w:val="21"/>
          <w:szCs w:val="21"/>
        </w:rPr>
        <w:t>（2）作废限制性股票</w:t>
      </w:r>
    </w:p>
    <w:p w14:paraId="75C6519C">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公司于2025年4月18日召开第三届董事会第三十次会议，会议通过了《关于作废部分已授予但尚未归属的限制性股票的议案》。</w:t>
      </w:r>
    </w:p>
    <w:p w14:paraId="2969C250">
      <w:pPr>
        <w:pStyle w:val="10"/>
        <w:spacing w:before="156" w:beforeLines="50" w:beforeAutospacing="0" w:after="156" w:afterLines="50" w:afterAutospacing="0"/>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根据公司《2023年限制性股票激励计划》及《2023年限制性股票激励计划实施考核管理办法（修订稿）》的相关规定，对于2024年业绩考核，若上市公司层面未满足对应业绩考核目标的（即未达以2023年净利润为基数，2024年净利润增长率不低于10%；且以2023年营业收入为基数，2024年营业收入增长率不低于7%），所有激励对象对应考核当年拟归属限制性股票均不得归属，作废失效。由于2024年业绩考核未达标，对应的归属比例不得归属，其首次第二个归属期不能归属的68.6805万股第二类限制性股票由公司作废。</w:t>
      </w:r>
    </w:p>
    <w:p w14:paraId="722D874A">
      <w:pPr>
        <w:pStyle w:val="2"/>
        <w:spacing w:before="300" w:after="300" w:line="320" w:lineRule="exact"/>
        <w:rPr>
          <w:rFonts w:ascii="Times New Roman" w:hAnsi="Times New Roman" w:cs="Times New Roman" w:eastAsiaTheme="majorEastAsia"/>
          <w:b/>
          <w:bCs/>
          <w:sz w:val="24"/>
          <w:szCs w:val="24"/>
        </w:rPr>
      </w:pPr>
      <w:bookmarkStart w:id="474" w:name="_Toc989366"/>
      <w:r>
        <w:rPr>
          <w:rFonts w:ascii="Times New Roman" w:hAnsi="Times New Roman" w:cs="Times New Roman" w:eastAsiaTheme="majorEastAsia"/>
          <w:b/>
          <w:bCs/>
          <w:sz w:val="24"/>
          <w:szCs w:val="24"/>
        </w:rPr>
        <w:t>十八、其他重要事项</w:t>
      </w:r>
      <w:bookmarkEnd w:id="474"/>
    </w:p>
    <w:p w14:paraId="022EB564">
      <w:pPr>
        <w:pStyle w:val="3"/>
        <w:spacing w:line="280" w:lineRule="exact"/>
        <w:jc w:val="left"/>
        <w:rPr>
          <w:rFonts w:ascii="Times New Roman" w:hAnsi="Times New Roman" w:cs="Times New Roman" w:eastAsiaTheme="majorEastAsia"/>
          <w:b/>
          <w:bCs/>
        </w:rPr>
      </w:pPr>
      <w:bookmarkStart w:id="475" w:name="_Toc989367"/>
      <w:r>
        <w:rPr>
          <w:rFonts w:ascii="Times New Roman" w:hAnsi="Times New Roman" w:cs="Times New Roman" w:eastAsiaTheme="majorEastAsia"/>
          <w:b/>
          <w:bCs/>
        </w:rPr>
        <w:t>1、前期会计差错更正</w:t>
      </w:r>
      <w:bookmarkEnd w:id="475"/>
    </w:p>
    <w:p w14:paraId="625C7850">
      <w:pPr>
        <w:pStyle w:val="3"/>
        <w:spacing w:line="280" w:lineRule="exact"/>
        <w:jc w:val="left"/>
        <w:rPr>
          <w:rFonts w:ascii="Times New Roman" w:hAnsi="Times New Roman" w:cs="Times New Roman" w:eastAsiaTheme="majorEastAsia"/>
          <w:b/>
          <w:bCs/>
        </w:rPr>
      </w:pPr>
      <w:bookmarkStart w:id="476" w:name="_Toc989368"/>
      <w:r>
        <w:rPr>
          <w:rFonts w:ascii="Times New Roman" w:hAnsi="Times New Roman" w:cs="Times New Roman" w:eastAsiaTheme="majorEastAsia"/>
          <w:b/>
          <w:bCs/>
        </w:rPr>
        <w:t>2、债务重组</w:t>
      </w:r>
      <w:bookmarkEnd w:id="476"/>
    </w:p>
    <w:p w14:paraId="6287623F">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13476DAB">
      <w:pPr>
        <w:pStyle w:val="3"/>
        <w:spacing w:line="280" w:lineRule="exact"/>
        <w:jc w:val="left"/>
        <w:rPr>
          <w:rFonts w:ascii="Times New Roman" w:hAnsi="Times New Roman" w:cs="Times New Roman" w:eastAsiaTheme="majorEastAsia"/>
          <w:b/>
          <w:bCs/>
        </w:rPr>
      </w:pPr>
      <w:bookmarkStart w:id="477" w:name="_Toc989369"/>
      <w:r>
        <w:rPr>
          <w:rFonts w:ascii="Times New Roman" w:hAnsi="Times New Roman" w:cs="Times New Roman" w:eastAsiaTheme="majorEastAsia"/>
          <w:b/>
          <w:bCs/>
        </w:rPr>
        <w:t>3、资产置换</w:t>
      </w:r>
      <w:bookmarkEnd w:id="477"/>
    </w:p>
    <w:p w14:paraId="57BF0F39">
      <w:pPr>
        <w:pStyle w:val="3"/>
        <w:spacing w:line="280" w:lineRule="exact"/>
        <w:jc w:val="left"/>
        <w:rPr>
          <w:rFonts w:ascii="Times New Roman" w:hAnsi="Times New Roman" w:cs="Times New Roman" w:eastAsiaTheme="majorEastAsia"/>
          <w:b/>
          <w:bCs/>
        </w:rPr>
      </w:pPr>
      <w:bookmarkStart w:id="478" w:name="_Toc989370"/>
      <w:r>
        <w:rPr>
          <w:rFonts w:ascii="Times New Roman" w:hAnsi="Times New Roman" w:cs="Times New Roman" w:eastAsiaTheme="majorEastAsia"/>
          <w:b/>
          <w:bCs/>
        </w:rPr>
        <w:t>4、年金计划</w:t>
      </w:r>
      <w:bookmarkEnd w:id="478"/>
    </w:p>
    <w:p w14:paraId="4DAFD658">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595E9318">
      <w:pPr>
        <w:pStyle w:val="3"/>
        <w:spacing w:line="280" w:lineRule="exact"/>
        <w:jc w:val="left"/>
        <w:rPr>
          <w:rFonts w:ascii="Times New Roman" w:hAnsi="Times New Roman" w:cs="Times New Roman" w:eastAsiaTheme="majorEastAsia"/>
          <w:b/>
          <w:bCs/>
        </w:rPr>
      </w:pPr>
      <w:bookmarkStart w:id="479" w:name="_Toc989371"/>
      <w:r>
        <w:rPr>
          <w:rFonts w:ascii="Times New Roman" w:hAnsi="Times New Roman" w:cs="Times New Roman" w:eastAsiaTheme="majorEastAsia"/>
          <w:b/>
          <w:bCs/>
        </w:rPr>
        <w:t>5、终止经营</w:t>
      </w:r>
      <w:bookmarkEnd w:id="479"/>
    </w:p>
    <w:p w14:paraId="3D03677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4977C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5C3F27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6F9DF2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收入</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D0EF0D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79E2B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利润总额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0C8B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所得税费用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9AD08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净利润</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F6153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归属于母公司所有者的终止经营利润</w:t>
            </w:r>
          </w:p>
        </w:tc>
      </w:tr>
      <w:tr w14:paraId="122B8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08A16D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无</w:t>
            </w:r>
          </w:p>
        </w:tc>
        <w:tc>
          <w:tcPr>
            <w:tcW w:w="1377" w:type="dxa"/>
            <w:tcBorders>
              <w:top w:val="single" w:color="auto" w:sz="2" w:space="0"/>
              <w:left w:val="single" w:color="auto" w:sz="2" w:space="0"/>
              <w:bottom w:val="single" w:color="auto" w:sz="2" w:space="0"/>
              <w:right w:val="single" w:color="auto" w:sz="2" w:space="0"/>
            </w:tcBorders>
            <w:vAlign w:val="center"/>
          </w:tcPr>
          <w:p w14:paraId="2F7D694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E39A49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0D3D92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FB6B8A7">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A28E56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2ACEC0E">
            <w:pPr>
              <w:spacing w:line="240" w:lineRule="exact"/>
              <w:jc w:val="right"/>
              <w:rPr>
                <w:rFonts w:ascii="Times New Roman" w:hAnsi="Times New Roman" w:cs="Times New Roman" w:eastAsiaTheme="majorEastAsia"/>
                <w:sz w:val="18"/>
                <w:szCs w:val="18"/>
              </w:rPr>
            </w:pPr>
          </w:p>
        </w:tc>
      </w:tr>
    </w:tbl>
    <w:p w14:paraId="6DD2A6D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其他说明：不适用。</w:t>
      </w:r>
    </w:p>
    <w:p w14:paraId="4B0771E1">
      <w:pPr>
        <w:pStyle w:val="3"/>
        <w:spacing w:line="280" w:lineRule="exact"/>
        <w:jc w:val="left"/>
        <w:rPr>
          <w:rFonts w:ascii="Times New Roman" w:hAnsi="Times New Roman" w:cs="Times New Roman" w:eastAsiaTheme="majorEastAsia"/>
          <w:b/>
          <w:bCs/>
        </w:rPr>
      </w:pPr>
      <w:bookmarkStart w:id="480" w:name="_Toc989372"/>
      <w:r>
        <w:rPr>
          <w:rFonts w:ascii="Times New Roman" w:hAnsi="Times New Roman" w:cs="Times New Roman" w:eastAsiaTheme="majorEastAsia"/>
          <w:b/>
          <w:bCs/>
        </w:rPr>
        <w:t>6、分部信息</w:t>
      </w:r>
      <w:bookmarkEnd w:id="480"/>
    </w:p>
    <w:p w14:paraId="60602C12">
      <w:pPr>
        <w:keepNext/>
        <w:keepLines/>
        <w:spacing w:before="300" w:after="300" w:line="280" w:lineRule="exact"/>
        <w:outlineLvl w:val="3"/>
        <w:rPr>
          <w:rFonts w:ascii="Times New Roman" w:hAnsi="Times New Roman" w:cs="Times New Roman" w:eastAsiaTheme="majorEastAsia"/>
          <w:b/>
          <w:bCs/>
          <w:szCs w:val="21"/>
        </w:rPr>
      </w:pPr>
      <w:bookmarkStart w:id="481" w:name="_Toc989373"/>
      <w:r>
        <w:rPr>
          <w:rFonts w:ascii="Times New Roman" w:hAnsi="Times New Roman" w:cs="Times New Roman" w:eastAsiaTheme="majorEastAsia"/>
          <w:b/>
          <w:bCs/>
          <w:szCs w:val="21"/>
        </w:rPr>
        <w:t>（1） 其他说明</w:t>
      </w:r>
      <w:bookmarkEnd w:id="481"/>
    </w:p>
    <w:p w14:paraId="0F0DACE3">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不适用。</w:t>
      </w:r>
    </w:p>
    <w:p w14:paraId="23447436">
      <w:pPr>
        <w:pStyle w:val="3"/>
        <w:spacing w:line="280" w:lineRule="exact"/>
        <w:jc w:val="left"/>
        <w:rPr>
          <w:rFonts w:ascii="Times New Roman" w:hAnsi="Times New Roman" w:cs="Times New Roman" w:eastAsiaTheme="majorEastAsia"/>
          <w:b/>
          <w:bCs/>
        </w:rPr>
      </w:pPr>
      <w:bookmarkStart w:id="482" w:name="_Toc989374"/>
      <w:r>
        <w:rPr>
          <w:rFonts w:ascii="Times New Roman" w:hAnsi="Times New Roman" w:cs="Times New Roman" w:eastAsiaTheme="majorEastAsia"/>
          <w:b/>
          <w:bCs/>
        </w:rPr>
        <w:t>7、其他对投资者决策有影响的重要交易和事项</w:t>
      </w:r>
      <w:bookmarkEnd w:id="482"/>
    </w:p>
    <w:p w14:paraId="0C76DB92">
      <w:pPr>
        <w:pStyle w:val="10"/>
        <w:rPr>
          <w:rFonts w:ascii="Times New Roman" w:hAnsi="Times New Roman" w:cs="Times New Roman" w:eastAsiaTheme="majorEastAsia"/>
          <w:sz w:val="18"/>
          <w:szCs w:val="18"/>
        </w:rPr>
      </w:pPr>
      <w:r>
        <w:rPr>
          <w:rFonts w:ascii="Times New Roman" w:hAnsi="Times New Roman" w:cs="Times New Roman" w:eastAsiaTheme="majorEastAsia"/>
          <w:sz w:val="21"/>
          <w:szCs w:val="21"/>
        </w:rPr>
        <w:t>无。</w:t>
      </w:r>
    </w:p>
    <w:p w14:paraId="2054F9C0">
      <w:pPr>
        <w:pStyle w:val="3"/>
        <w:spacing w:line="280" w:lineRule="exact"/>
        <w:jc w:val="left"/>
        <w:rPr>
          <w:rFonts w:ascii="Times New Roman" w:hAnsi="Times New Roman" w:cs="Times New Roman" w:eastAsiaTheme="majorEastAsia"/>
          <w:b/>
          <w:bCs/>
        </w:rPr>
      </w:pPr>
      <w:bookmarkStart w:id="483" w:name="_Toc989375"/>
      <w:r>
        <w:rPr>
          <w:rFonts w:ascii="Times New Roman" w:hAnsi="Times New Roman" w:cs="Times New Roman" w:eastAsiaTheme="majorEastAsia"/>
          <w:b/>
          <w:bCs/>
        </w:rPr>
        <w:t>8、其他</w:t>
      </w:r>
      <w:bookmarkEnd w:id="483"/>
    </w:p>
    <w:p w14:paraId="127EF6FD">
      <w:pPr>
        <w:pStyle w:val="10"/>
        <w:spacing w:before="145" w:beforeAutospacing="0" w:after="0" w:afterAutospacing="0" w:line="360" w:lineRule="auto"/>
        <w:ind w:firstLine="420"/>
        <w:jc w:val="both"/>
        <w:rPr>
          <w:rFonts w:ascii="Times New Roman" w:hAnsi="Times New Roman" w:cs="Times New Roman" w:eastAsiaTheme="majorEastAsia"/>
          <w:sz w:val="21"/>
          <w:szCs w:val="21"/>
        </w:rPr>
      </w:pPr>
      <w:r>
        <w:rPr>
          <w:rFonts w:ascii="Times New Roman" w:hAnsi="Times New Roman" w:cs="Times New Roman" w:eastAsiaTheme="majorEastAsia"/>
          <w:sz w:val="21"/>
          <w:szCs w:val="21"/>
        </w:rPr>
        <w:t>截至2024年12月31日，本公司无需要披露的其他重要事项。</w:t>
      </w:r>
    </w:p>
    <w:p w14:paraId="43CC1878">
      <w:pPr>
        <w:pStyle w:val="2"/>
        <w:spacing w:before="300" w:after="300" w:line="320" w:lineRule="exact"/>
        <w:rPr>
          <w:rFonts w:ascii="Times New Roman" w:hAnsi="Times New Roman" w:cs="Times New Roman" w:eastAsiaTheme="majorEastAsia"/>
          <w:b/>
          <w:bCs/>
          <w:sz w:val="24"/>
          <w:szCs w:val="24"/>
        </w:rPr>
      </w:pPr>
      <w:bookmarkStart w:id="484" w:name="_Toc989376"/>
      <w:r>
        <w:rPr>
          <w:rFonts w:ascii="Times New Roman" w:hAnsi="Times New Roman" w:cs="Times New Roman" w:eastAsiaTheme="majorEastAsia"/>
          <w:b/>
          <w:bCs/>
          <w:sz w:val="24"/>
          <w:szCs w:val="24"/>
        </w:rPr>
        <w:t>十九、母公司财务报表主要项目注释</w:t>
      </w:r>
      <w:bookmarkEnd w:id="484"/>
    </w:p>
    <w:p w14:paraId="635FE8AF">
      <w:pPr>
        <w:pStyle w:val="3"/>
        <w:spacing w:line="280" w:lineRule="exact"/>
        <w:jc w:val="left"/>
        <w:rPr>
          <w:rFonts w:ascii="Times New Roman" w:hAnsi="Times New Roman" w:cs="Times New Roman" w:eastAsiaTheme="majorEastAsia"/>
          <w:b/>
          <w:bCs/>
        </w:rPr>
      </w:pPr>
      <w:bookmarkStart w:id="485" w:name="_Toc989377"/>
      <w:r>
        <w:rPr>
          <w:rFonts w:ascii="Times New Roman" w:hAnsi="Times New Roman" w:cs="Times New Roman" w:eastAsiaTheme="majorEastAsia"/>
          <w:b/>
          <w:bCs/>
        </w:rPr>
        <w:t>1、应收账款</w:t>
      </w:r>
      <w:bookmarkEnd w:id="485"/>
    </w:p>
    <w:p w14:paraId="437FCDFF">
      <w:pPr>
        <w:keepNext/>
        <w:keepLines/>
        <w:spacing w:before="300" w:after="300" w:line="280" w:lineRule="exact"/>
        <w:outlineLvl w:val="3"/>
        <w:rPr>
          <w:rFonts w:ascii="Times New Roman" w:hAnsi="Times New Roman" w:cs="Times New Roman" w:eastAsiaTheme="majorEastAsia"/>
          <w:b/>
          <w:bCs/>
          <w:szCs w:val="21"/>
        </w:rPr>
      </w:pPr>
      <w:bookmarkStart w:id="486" w:name="_Toc989378"/>
      <w:r>
        <w:rPr>
          <w:rFonts w:ascii="Times New Roman" w:hAnsi="Times New Roman" w:cs="Times New Roman" w:eastAsiaTheme="majorEastAsia"/>
          <w:b/>
          <w:bCs/>
          <w:szCs w:val="21"/>
        </w:rPr>
        <w:t>（1） 按账龄披露</w:t>
      </w:r>
      <w:bookmarkEnd w:id="486"/>
    </w:p>
    <w:p w14:paraId="05F667B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CF5B4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37C65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EE6DF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834F8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4066F5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8AF8F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22E576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59,253,785.19</w:t>
            </w:r>
          </w:p>
        </w:tc>
        <w:tc>
          <w:tcPr>
            <w:tcW w:w="3213" w:type="dxa"/>
            <w:tcBorders>
              <w:top w:val="single" w:color="auto" w:sz="2" w:space="0"/>
              <w:left w:val="single" w:color="auto" w:sz="2" w:space="0"/>
              <w:bottom w:val="single" w:color="auto" w:sz="2" w:space="0"/>
              <w:right w:val="single" w:color="auto" w:sz="2" w:space="0"/>
            </w:tcBorders>
            <w:vAlign w:val="center"/>
          </w:tcPr>
          <w:p w14:paraId="0E60CF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105,343,176.86</w:t>
            </w:r>
          </w:p>
        </w:tc>
      </w:tr>
      <w:tr w14:paraId="1DA12E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C5E01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061F42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69,777,749.52</w:t>
            </w:r>
          </w:p>
        </w:tc>
        <w:tc>
          <w:tcPr>
            <w:tcW w:w="3213" w:type="dxa"/>
            <w:tcBorders>
              <w:top w:val="single" w:color="auto" w:sz="2" w:space="0"/>
              <w:left w:val="single" w:color="auto" w:sz="2" w:space="0"/>
              <w:bottom w:val="single" w:color="auto" w:sz="2" w:space="0"/>
              <w:right w:val="single" w:color="auto" w:sz="2" w:space="0"/>
            </w:tcBorders>
            <w:vAlign w:val="center"/>
          </w:tcPr>
          <w:p w14:paraId="7388E32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84,122,012.73</w:t>
            </w:r>
          </w:p>
        </w:tc>
      </w:tr>
      <w:tr w14:paraId="0644F7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931C8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6E3FD18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69,001,133.84</w:t>
            </w:r>
          </w:p>
        </w:tc>
        <w:tc>
          <w:tcPr>
            <w:tcW w:w="3213" w:type="dxa"/>
            <w:tcBorders>
              <w:top w:val="single" w:color="auto" w:sz="2" w:space="0"/>
              <w:left w:val="single" w:color="auto" w:sz="2" w:space="0"/>
              <w:bottom w:val="single" w:color="auto" w:sz="2" w:space="0"/>
              <w:right w:val="single" w:color="auto" w:sz="2" w:space="0"/>
            </w:tcBorders>
            <w:vAlign w:val="center"/>
          </w:tcPr>
          <w:p w14:paraId="5B0EF6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71,620,449.09</w:t>
            </w:r>
          </w:p>
        </w:tc>
      </w:tr>
      <w:tr w14:paraId="31151E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79DD17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2E729C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78,236,137.58</w:t>
            </w:r>
          </w:p>
        </w:tc>
        <w:tc>
          <w:tcPr>
            <w:tcW w:w="3213" w:type="dxa"/>
            <w:tcBorders>
              <w:top w:val="single" w:color="auto" w:sz="2" w:space="0"/>
              <w:left w:val="single" w:color="auto" w:sz="2" w:space="0"/>
              <w:bottom w:val="single" w:color="auto" w:sz="2" w:space="0"/>
              <w:right w:val="single" w:color="auto" w:sz="2" w:space="0"/>
            </w:tcBorders>
            <w:vAlign w:val="center"/>
          </w:tcPr>
          <w:p w14:paraId="42C1E12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35,887,712.71</w:t>
            </w:r>
          </w:p>
        </w:tc>
      </w:tr>
      <w:tr w14:paraId="15755D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3CE019C">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5E3CF4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49,092,078.09</w:t>
            </w:r>
          </w:p>
        </w:tc>
        <w:tc>
          <w:tcPr>
            <w:tcW w:w="3213" w:type="dxa"/>
            <w:tcBorders>
              <w:top w:val="single" w:color="auto" w:sz="2" w:space="0"/>
              <w:left w:val="single" w:color="auto" w:sz="2" w:space="0"/>
              <w:bottom w:val="single" w:color="auto" w:sz="2" w:space="0"/>
              <w:right w:val="single" w:color="auto" w:sz="2" w:space="0"/>
            </w:tcBorders>
            <w:vAlign w:val="center"/>
          </w:tcPr>
          <w:p w14:paraId="4F68B1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16,170,416.28</w:t>
            </w:r>
          </w:p>
        </w:tc>
      </w:tr>
      <w:tr w14:paraId="2565CF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C22EFB4">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719180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14,059,954.48</w:t>
            </w:r>
          </w:p>
        </w:tc>
        <w:tc>
          <w:tcPr>
            <w:tcW w:w="3213" w:type="dxa"/>
            <w:tcBorders>
              <w:top w:val="single" w:color="auto" w:sz="2" w:space="0"/>
              <w:left w:val="single" w:color="auto" w:sz="2" w:space="0"/>
              <w:bottom w:val="single" w:color="auto" w:sz="2" w:space="0"/>
              <w:right w:val="single" w:color="auto" w:sz="2" w:space="0"/>
            </w:tcBorders>
            <w:vAlign w:val="center"/>
          </w:tcPr>
          <w:p w14:paraId="169E48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15,281,903.42</w:t>
            </w:r>
          </w:p>
        </w:tc>
      </w:tr>
      <w:tr w14:paraId="0A3D68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BA077F7">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1A32213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15,084,105.01</w:t>
            </w:r>
          </w:p>
        </w:tc>
        <w:tc>
          <w:tcPr>
            <w:tcW w:w="3213" w:type="dxa"/>
            <w:tcBorders>
              <w:top w:val="single" w:color="auto" w:sz="2" w:space="0"/>
              <w:left w:val="single" w:color="auto" w:sz="2" w:space="0"/>
              <w:bottom w:val="single" w:color="auto" w:sz="2" w:space="0"/>
              <w:right w:val="single" w:color="auto" w:sz="2" w:space="0"/>
            </w:tcBorders>
            <w:vAlign w:val="center"/>
          </w:tcPr>
          <w:p w14:paraId="27C6B6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4,435,393.01</w:t>
            </w:r>
          </w:p>
        </w:tc>
      </w:tr>
      <w:tr w14:paraId="0BECC6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F94885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750C14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276,268,806.13</w:t>
            </w:r>
          </w:p>
        </w:tc>
        <w:tc>
          <w:tcPr>
            <w:tcW w:w="3213" w:type="dxa"/>
            <w:tcBorders>
              <w:top w:val="single" w:color="auto" w:sz="2" w:space="0"/>
              <w:left w:val="single" w:color="auto" w:sz="2" w:space="0"/>
              <w:bottom w:val="single" w:color="auto" w:sz="2" w:space="0"/>
              <w:right w:val="single" w:color="auto" w:sz="2" w:space="0"/>
            </w:tcBorders>
            <w:vAlign w:val="center"/>
          </w:tcPr>
          <w:p w14:paraId="7745EA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296,973,351.39</w:t>
            </w:r>
          </w:p>
        </w:tc>
      </w:tr>
    </w:tbl>
    <w:p w14:paraId="34839C91">
      <w:pPr>
        <w:keepNext/>
        <w:keepLines/>
        <w:spacing w:before="300" w:after="300" w:line="280" w:lineRule="exact"/>
        <w:outlineLvl w:val="3"/>
        <w:rPr>
          <w:rFonts w:ascii="Times New Roman" w:hAnsi="Times New Roman" w:cs="Times New Roman" w:eastAsiaTheme="majorEastAsia"/>
          <w:b/>
          <w:bCs/>
          <w:szCs w:val="21"/>
        </w:rPr>
      </w:pPr>
      <w:bookmarkStart w:id="487" w:name="_Toc989379"/>
      <w:r>
        <w:rPr>
          <w:rFonts w:ascii="Times New Roman" w:hAnsi="Times New Roman" w:cs="Times New Roman" w:eastAsiaTheme="majorEastAsia"/>
          <w:b/>
          <w:bCs/>
          <w:szCs w:val="21"/>
        </w:rPr>
        <w:t>（2） 按坏账计提方法分类披露</w:t>
      </w:r>
      <w:bookmarkEnd w:id="487"/>
    </w:p>
    <w:p w14:paraId="6329901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774409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879B1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E6154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53392FF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2F665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67D5068D">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3AD0EA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285D5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0730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62EDF0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716B3E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BA1CCF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2DBB25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B16CA6A">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51791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CE3AE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4CACE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AA00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A67A54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B1A6E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58811A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67EFDF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9B4C55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80F2221">
            <w:pPr>
              <w:rPr>
                <w:rFonts w:ascii="Times New Roman" w:hAnsi="Times New Roman" w:cs="Times New Roman" w:eastAsiaTheme="majorEastAsia"/>
              </w:rPr>
            </w:pPr>
          </w:p>
        </w:tc>
      </w:tr>
      <w:tr w14:paraId="6EDCBCB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8FE7C3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按单项计提坏账准备的应收账款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6D0075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26,110,571.26</w:t>
            </w:r>
          </w:p>
        </w:tc>
        <w:tc>
          <w:tcPr>
            <w:tcW w:w="876" w:type="dxa"/>
            <w:tcBorders>
              <w:top w:val="single" w:color="auto" w:sz="2" w:space="0"/>
              <w:left w:val="single" w:color="auto" w:sz="2" w:space="0"/>
              <w:bottom w:val="single" w:color="auto" w:sz="2" w:space="0"/>
              <w:right w:val="single" w:color="auto" w:sz="2" w:space="0"/>
            </w:tcBorders>
            <w:vAlign w:val="center"/>
          </w:tcPr>
          <w:p w14:paraId="6AA5DE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9.45%</w:t>
            </w:r>
          </w:p>
        </w:tc>
        <w:tc>
          <w:tcPr>
            <w:tcW w:w="876" w:type="dxa"/>
            <w:tcBorders>
              <w:top w:val="single" w:color="auto" w:sz="2" w:space="0"/>
              <w:left w:val="single" w:color="auto" w:sz="2" w:space="0"/>
              <w:bottom w:val="single" w:color="auto" w:sz="2" w:space="0"/>
              <w:right w:val="single" w:color="auto" w:sz="2" w:space="0"/>
            </w:tcBorders>
            <w:vAlign w:val="center"/>
          </w:tcPr>
          <w:p w14:paraId="6C30AE9E">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DBBB734">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4D347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26,110,571.26</w:t>
            </w:r>
          </w:p>
        </w:tc>
        <w:tc>
          <w:tcPr>
            <w:tcW w:w="876" w:type="dxa"/>
            <w:tcBorders>
              <w:top w:val="single" w:color="auto" w:sz="2" w:space="0"/>
              <w:left w:val="single" w:color="auto" w:sz="2" w:space="0"/>
              <w:bottom w:val="single" w:color="auto" w:sz="2" w:space="0"/>
              <w:right w:val="single" w:color="auto" w:sz="2" w:space="0"/>
            </w:tcBorders>
            <w:vAlign w:val="center"/>
          </w:tcPr>
          <w:p w14:paraId="1A43E0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26,001,143.54</w:t>
            </w:r>
          </w:p>
        </w:tc>
        <w:tc>
          <w:tcPr>
            <w:tcW w:w="876" w:type="dxa"/>
            <w:tcBorders>
              <w:top w:val="single" w:color="auto" w:sz="2" w:space="0"/>
              <w:left w:val="single" w:color="auto" w:sz="2" w:space="0"/>
              <w:bottom w:val="single" w:color="auto" w:sz="2" w:space="0"/>
              <w:right w:val="single" w:color="auto" w:sz="2" w:space="0"/>
            </w:tcBorders>
            <w:vAlign w:val="center"/>
          </w:tcPr>
          <w:p w14:paraId="0D9162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8.76%</w:t>
            </w:r>
          </w:p>
        </w:tc>
        <w:tc>
          <w:tcPr>
            <w:tcW w:w="876" w:type="dxa"/>
            <w:tcBorders>
              <w:top w:val="single" w:color="auto" w:sz="2" w:space="0"/>
              <w:left w:val="single" w:color="auto" w:sz="2" w:space="0"/>
              <w:bottom w:val="single" w:color="auto" w:sz="2" w:space="0"/>
              <w:right w:val="single" w:color="auto" w:sz="2" w:space="0"/>
            </w:tcBorders>
            <w:vAlign w:val="center"/>
          </w:tcPr>
          <w:p w14:paraId="04A7B25B">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34E8465">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70F96C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26,001,143.54</w:t>
            </w:r>
          </w:p>
        </w:tc>
      </w:tr>
      <w:tr w14:paraId="73699E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171F92A">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F06D2D5">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203D419">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287E08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B6CFB8A">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E96C33C">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BBAF767">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56C2F12">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D1F7BC4">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D75F245">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0A5B6FB">
            <w:pPr>
              <w:rPr>
                <w:rFonts w:ascii="Times New Roman" w:hAnsi="Times New Roman" w:cs="Times New Roman" w:eastAsiaTheme="majorEastAsia"/>
              </w:rPr>
            </w:pPr>
          </w:p>
        </w:tc>
      </w:tr>
      <w:tr w14:paraId="29EC776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292D5B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按组合计提坏账准备的应收账款</w:t>
            </w:r>
          </w:p>
        </w:tc>
        <w:tc>
          <w:tcPr>
            <w:tcW w:w="876" w:type="dxa"/>
            <w:tcBorders>
              <w:top w:val="single" w:color="auto" w:sz="2" w:space="0"/>
              <w:left w:val="single" w:color="auto" w:sz="2" w:space="0"/>
              <w:bottom w:val="single" w:color="auto" w:sz="2" w:space="0"/>
              <w:right w:val="single" w:color="auto" w:sz="2" w:space="0"/>
            </w:tcBorders>
            <w:vAlign w:val="center"/>
          </w:tcPr>
          <w:p w14:paraId="419071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250,158,234.87</w:t>
            </w:r>
          </w:p>
        </w:tc>
        <w:tc>
          <w:tcPr>
            <w:tcW w:w="876" w:type="dxa"/>
            <w:tcBorders>
              <w:top w:val="single" w:color="auto" w:sz="2" w:space="0"/>
              <w:left w:val="single" w:color="auto" w:sz="2" w:space="0"/>
              <w:bottom w:val="single" w:color="auto" w:sz="2" w:space="0"/>
              <w:right w:val="single" w:color="auto" w:sz="2" w:space="0"/>
            </w:tcBorders>
            <w:vAlign w:val="center"/>
          </w:tcPr>
          <w:p w14:paraId="3C9730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90.55%</w:t>
            </w:r>
          </w:p>
        </w:tc>
        <w:tc>
          <w:tcPr>
            <w:tcW w:w="876" w:type="dxa"/>
            <w:tcBorders>
              <w:top w:val="single" w:color="auto" w:sz="2" w:space="0"/>
              <w:left w:val="single" w:color="auto" w:sz="2" w:space="0"/>
              <w:bottom w:val="single" w:color="auto" w:sz="2" w:space="0"/>
              <w:right w:val="single" w:color="auto" w:sz="2" w:space="0"/>
            </w:tcBorders>
            <w:vAlign w:val="center"/>
          </w:tcPr>
          <w:p w14:paraId="310867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71,089,166.30</w:t>
            </w:r>
          </w:p>
        </w:tc>
        <w:tc>
          <w:tcPr>
            <w:tcW w:w="876" w:type="dxa"/>
            <w:tcBorders>
              <w:top w:val="single" w:color="auto" w:sz="2" w:space="0"/>
              <w:left w:val="single" w:color="auto" w:sz="2" w:space="0"/>
              <w:bottom w:val="single" w:color="auto" w:sz="2" w:space="0"/>
              <w:right w:val="single" w:color="auto" w:sz="2" w:space="0"/>
            </w:tcBorders>
            <w:vAlign w:val="center"/>
          </w:tcPr>
          <w:p w14:paraId="6C4E5CD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28.42%</w:t>
            </w:r>
          </w:p>
        </w:tc>
        <w:tc>
          <w:tcPr>
            <w:tcW w:w="876" w:type="dxa"/>
            <w:tcBorders>
              <w:top w:val="single" w:color="auto" w:sz="2" w:space="0"/>
              <w:left w:val="single" w:color="auto" w:sz="2" w:space="0"/>
              <w:bottom w:val="single" w:color="auto" w:sz="2" w:space="0"/>
              <w:right w:val="single" w:color="auto" w:sz="2" w:space="0"/>
            </w:tcBorders>
            <w:vAlign w:val="center"/>
          </w:tcPr>
          <w:p w14:paraId="3CABE6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179,069,068.57</w:t>
            </w:r>
          </w:p>
        </w:tc>
        <w:tc>
          <w:tcPr>
            <w:tcW w:w="876" w:type="dxa"/>
            <w:tcBorders>
              <w:top w:val="single" w:color="auto" w:sz="2" w:space="0"/>
              <w:left w:val="single" w:color="auto" w:sz="2" w:space="0"/>
              <w:bottom w:val="single" w:color="auto" w:sz="2" w:space="0"/>
              <w:right w:val="single" w:color="auto" w:sz="2" w:space="0"/>
            </w:tcBorders>
            <w:vAlign w:val="center"/>
          </w:tcPr>
          <w:p w14:paraId="213EBE2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270,972,207.85</w:t>
            </w:r>
          </w:p>
        </w:tc>
        <w:tc>
          <w:tcPr>
            <w:tcW w:w="876" w:type="dxa"/>
            <w:tcBorders>
              <w:top w:val="single" w:color="auto" w:sz="2" w:space="0"/>
              <w:left w:val="single" w:color="auto" w:sz="2" w:space="0"/>
              <w:bottom w:val="single" w:color="auto" w:sz="2" w:space="0"/>
              <w:right w:val="single" w:color="auto" w:sz="2" w:space="0"/>
            </w:tcBorders>
            <w:vAlign w:val="center"/>
          </w:tcPr>
          <w:p w14:paraId="3625D2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91.24%</w:t>
            </w:r>
          </w:p>
        </w:tc>
        <w:tc>
          <w:tcPr>
            <w:tcW w:w="876" w:type="dxa"/>
            <w:tcBorders>
              <w:top w:val="single" w:color="auto" w:sz="2" w:space="0"/>
              <w:left w:val="single" w:color="auto" w:sz="2" w:space="0"/>
              <w:bottom w:val="single" w:color="auto" w:sz="2" w:space="0"/>
              <w:right w:val="single" w:color="auto" w:sz="2" w:space="0"/>
            </w:tcBorders>
            <w:vAlign w:val="center"/>
          </w:tcPr>
          <w:p w14:paraId="1BA9E3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57,165,760.48</w:t>
            </w:r>
          </w:p>
        </w:tc>
        <w:tc>
          <w:tcPr>
            <w:tcW w:w="876" w:type="dxa"/>
            <w:tcBorders>
              <w:top w:val="single" w:color="auto" w:sz="2" w:space="0"/>
              <w:left w:val="single" w:color="auto" w:sz="2" w:space="0"/>
              <w:bottom w:val="single" w:color="auto" w:sz="2" w:space="0"/>
              <w:right w:val="single" w:color="auto" w:sz="2" w:space="0"/>
            </w:tcBorders>
            <w:vAlign w:val="center"/>
          </w:tcPr>
          <w:p w14:paraId="54E1E06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21.10%</w:t>
            </w:r>
          </w:p>
        </w:tc>
        <w:tc>
          <w:tcPr>
            <w:tcW w:w="876" w:type="dxa"/>
            <w:tcBorders>
              <w:top w:val="single" w:color="auto" w:sz="2" w:space="0"/>
              <w:left w:val="single" w:color="auto" w:sz="2" w:space="0"/>
              <w:bottom w:val="single" w:color="auto" w:sz="2" w:space="0"/>
              <w:right w:val="single" w:color="auto" w:sz="2" w:space="0"/>
            </w:tcBorders>
            <w:vAlign w:val="center"/>
          </w:tcPr>
          <w:p w14:paraId="3ED4324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213,806,447.37</w:t>
            </w:r>
          </w:p>
        </w:tc>
      </w:tr>
      <w:tr w14:paraId="00FDF1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0CFF5BB">
            <w:pPr>
              <w:spacing w:before="40" w:after="40" w:line="240" w:lineRule="exact"/>
              <w:ind w:firstLine="180" w:firstLineChars="1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6B8CF50">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8F5DA88">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193822E">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45EE448">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F9DE3F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CB20A32">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21BFBA53">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6FE8AFD6">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E891B73">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9CCC419">
            <w:pPr>
              <w:rPr>
                <w:rFonts w:ascii="Times New Roman" w:hAnsi="Times New Roman" w:cs="Times New Roman" w:eastAsiaTheme="majorEastAsia"/>
              </w:rPr>
            </w:pPr>
          </w:p>
        </w:tc>
      </w:tr>
      <w:tr w14:paraId="7535F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3164E0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61CA9B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57,673,208.52</w:t>
            </w:r>
          </w:p>
        </w:tc>
        <w:tc>
          <w:tcPr>
            <w:tcW w:w="876" w:type="dxa"/>
            <w:tcBorders>
              <w:top w:val="single" w:color="auto" w:sz="2" w:space="0"/>
              <w:left w:val="single" w:color="auto" w:sz="2" w:space="0"/>
              <w:bottom w:val="single" w:color="auto" w:sz="2" w:space="0"/>
              <w:right w:val="single" w:color="auto" w:sz="2" w:space="0"/>
            </w:tcBorders>
            <w:vAlign w:val="center"/>
          </w:tcPr>
          <w:p w14:paraId="168637D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20.88%</w:t>
            </w:r>
          </w:p>
        </w:tc>
        <w:tc>
          <w:tcPr>
            <w:tcW w:w="876" w:type="dxa"/>
            <w:tcBorders>
              <w:top w:val="single" w:color="auto" w:sz="2" w:space="0"/>
              <w:left w:val="single" w:color="auto" w:sz="2" w:space="0"/>
              <w:bottom w:val="single" w:color="auto" w:sz="2" w:space="0"/>
              <w:right w:val="single" w:color="auto" w:sz="2" w:space="0"/>
            </w:tcBorders>
            <w:vAlign w:val="center"/>
          </w:tcPr>
          <w:p w14:paraId="044535D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20,633,442.36</w:t>
            </w:r>
          </w:p>
        </w:tc>
        <w:tc>
          <w:tcPr>
            <w:tcW w:w="876" w:type="dxa"/>
            <w:tcBorders>
              <w:top w:val="single" w:color="auto" w:sz="2" w:space="0"/>
              <w:left w:val="single" w:color="auto" w:sz="2" w:space="0"/>
              <w:bottom w:val="single" w:color="auto" w:sz="2" w:space="0"/>
              <w:right w:val="single" w:color="auto" w:sz="2" w:space="0"/>
            </w:tcBorders>
            <w:vAlign w:val="center"/>
          </w:tcPr>
          <w:p w14:paraId="58133A6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35.78%</w:t>
            </w:r>
          </w:p>
        </w:tc>
        <w:tc>
          <w:tcPr>
            <w:tcW w:w="876" w:type="dxa"/>
            <w:tcBorders>
              <w:top w:val="single" w:color="auto" w:sz="2" w:space="0"/>
              <w:left w:val="single" w:color="auto" w:sz="2" w:space="0"/>
              <w:bottom w:val="single" w:color="auto" w:sz="2" w:space="0"/>
              <w:right w:val="single" w:color="auto" w:sz="2" w:space="0"/>
            </w:tcBorders>
            <w:vAlign w:val="center"/>
          </w:tcPr>
          <w:p w14:paraId="40684C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37,039,766.16</w:t>
            </w:r>
          </w:p>
        </w:tc>
        <w:tc>
          <w:tcPr>
            <w:tcW w:w="876" w:type="dxa"/>
            <w:tcBorders>
              <w:top w:val="single" w:color="auto" w:sz="2" w:space="0"/>
              <w:left w:val="single" w:color="auto" w:sz="2" w:space="0"/>
              <w:bottom w:val="single" w:color="auto" w:sz="2" w:space="0"/>
              <w:right w:val="single" w:color="auto" w:sz="2" w:space="0"/>
            </w:tcBorders>
            <w:vAlign w:val="center"/>
          </w:tcPr>
          <w:p w14:paraId="51AD24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92,177,420.48</w:t>
            </w:r>
          </w:p>
        </w:tc>
        <w:tc>
          <w:tcPr>
            <w:tcW w:w="876" w:type="dxa"/>
            <w:tcBorders>
              <w:top w:val="single" w:color="auto" w:sz="2" w:space="0"/>
              <w:left w:val="single" w:color="auto" w:sz="2" w:space="0"/>
              <w:bottom w:val="single" w:color="auto" w:sz="2" w:space="0"/>
              <w:right w:val="single" w:color="auto" w:sz="2" w:space="0"/>
            </w:tcBorders>
            <w:vAlign w:val="center"/>
          </w:tcPr>
          <w:p w14:paraId="57C009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31.04%</w:t>
            </w:r>
          </w:p>
        </w:tc>
        <w:tc>
          <w:tcPr>
            <w:tcW w:w="876" w:type="dxa"/>
            <w:tcBorders>
              <w:top w:val="single" w:color="auto" w:sz="2" w:space="0"/>
              <w:left w:val="single" w:color="auto" w:sz="2" w:space="0"/>
              <w:bottom w:val="single" w:color="auto" w:sz="2" w:space="0"/>
              <w:right w:val="single" w:color="auto" w:sz="2" w:space="0"/>
            </w:tcBorders>
            <w:vAlign w:val="center"/>
          </w:tcPr>
          <w:p w14:paraId="0200A60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19,788,499.15</w:t>
            </w:r>
          </w:p>
        </w:tc>
        <w:tc>
          <w:tcPr>
            <w:tcW w:w="876" w:type="dxa"/>
            <w:tcBorders>
              <w:top w:val="single" w:color="auto" w:sz="2" w:space="0"/>
              <w:left w:val="single" w:color="auto" w:sz="2" w:space="0"/>
              <w:bottom w:val="single" w:color="auto" w:sz="2" w:space="0"/>
              <w:right w:val="single" w:color="auto" w:sz="2" w:space="0"/>
            </w:tcBorders>
            <w:vAlign w:val="center"/>
          </w:tcPr>
          <w:p w14:paraId="2EBCF50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21.47%</w:t>
            </w:r>
          </w:p>
        </w:tc>
        <w:tc>
          <w:tcPr>
            <w:tcW w:w="876" w:type="dxa"/>
            <w:tcBorders>
              <w:top w:val="single" w:color="auto" w:sz="2" w:space="0"/>
              <w:left w:val="single" w:color="auto" w:sz="2" w:space="0"/>
              <w:bottom w:val="single" w:color="auto" w:sz="2" w:space="0"/>
              <w:right w:val="single" w:color="auto" w:sz="2" w:space="0"/>
            </w:tcBorders>
            <w:vAlign w:val="center"/>
          </w:tcPr>
          <w:p w14:paraId="78B35F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72,388,921.33</w:t>
            </w:r>
          </w:p>
        </w:tc>
      </w:tr>
      <w:tr w14:paraId="0FC4A8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4D72E5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27211F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192,485,026.35</w:t>
            </w:r>
          </w:p>
        </w:tc>
        <w:tc>
          <w:tcPr>
            <w:tcW w:w="876" w:type="dxa"/>
            <w:tcBorders>
              <w:top w:val="single" w:color="auto" w:sz="2" w:space="0"/>
              <w:left w:val="single" w:color="auto" w:sz="2" w:space="0"/>
              <w:bottom w:val="single" w:color="auto" w:sz="2" w:space="0"/>
              <w:right w:val="single" w:color="auto" w:sz="2" w:space="0"/>
            </w:tcBorders>
            <w:vAlign w:val="center"/>
          </w:tcPr>
          <w:p w14:paraId="0C4F44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69.67%</w:t>
            </w:r>
          </w:p>
        </w:tc>
        <w:tc>
          <w:tcPr>
            <w:tcW w:w="876" w:type="dxa"/>
            <w:tcBorders>
              <w:top w:val="single" w:color="auto" w:sz="2" w:space="0"/>
              <w:left w:val="single" w:color="auto" w:sz="2" w:space="0"/>
              <w:bottom w:val="single" w:color="auto" w:sz="2" w:space="0"/>
              <w:right w:val="single" w:color="auto" w:sz="2" w:space="0"/>
            </w:tcBorders>
            <w:vAlign w:val="center"/>
          </w:tcPr>
          <w:p w14:paraId="2105514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50,455,723.94</w:t>
            </w:r>
          </w:p>
        </w:tc>
        <w:tc>
          <w:tcPr>
            <w:tcW w:w="876" w:type="dxa"/>
            <w:tcBorders>
              <w:top w:val="single" w:color="auto" w:sz="2" w:space="0"/>
              <w:left w:val="single" w:color="auto" w:sz="2" w:space="0"/>
              <w:bottom w:val="single" w:color="auto" w:sz="2" w:space="0"/>
              <w:right w:val="single" w:color="auto" w:sz="2" w:space="0"/>
            </w:tcBorders>
            <w:vAlign w:val="center"/>
          </w:tcPr>
          <w:p w14:paraId="44B03AC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26.21%</w:t>
            </w:r>
          </w:p>
        </w:tc>
        <w:tc>
          <w:tcPr>
            <w:tcW w:w="876" w:type="dxa"/>
            <w:tcBorders>
              <w:top w:val="single" w:color="auto" w:sz="2" w:space="0"/>
              <w:left w:val="single" w:color="auto" w:sz="2" w:space="0"/>
              <w:bottom w:val="single" w:color="auto" w:sz="2" w:space="0"/>
              <w:right w:val="single" w:color="auto" w:sz="2" w:space="0"/>
            </w:tcBorders>
            <w:vAlign w:val="center"/>
          </w:tcPr>
          <w:p w14:paraId="445A9B7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142,029,302.41</w:t>
            </w:r>
          </w:p>
        </w:tc>
        <w:tc>
          <w:tcPr>
            <w:tcW w:w="876" w:type="dxa"/>
            <w:tcBorders>
              <w:top w:val="single" w:color="auto" w:sz="2" w:space="0"/>
              <w:left w:val="single" w:color="auto" w:sz="2" w:space="0"/>
              <w:bottom w:val="single" w:color="auto" w:sz="2" w:space="0"/>
              <w:right w:val="single" w:color="auto" w:sz="2" w:space="0"/>
            </w:tcBorders>
            <w:vAlign w:val="center"/>
          </w:tcPr>
          <w:p w14:paraId="3505A09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178,794,787.37</w:t>
            </w:r>
          </w:p>
        </w:tc>
        <w:tc>
          <w:tcPr>
            <w:tcW w:w="876" w:type="dxa"/>
            <w:tcBorders>
              <w:top w:val="single" w:color="auto" w:sz="2" w:space="0"/>
              <w:left w:val="single" w:color="auto" w:sz="2" w:space="0"/>
              <w:bottom w:val="single" w:color="auto" w:sz="2" w:space="0"/>
              <w:right w:val="single" w:color="auto" w:sz="2" w:space="0"/>
            </w:tcBorders>
            <w:vAlign w:val="center"/>
          </w:tcPr>
          <w:p w14:paraId="16757C0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60.20%</w:t>
            </w:r>
          </w:p>
        </w:tc>
        <w:tc>
          <w:tcPr>
            <w:tcW w:w="876" w:type="dxa"/>
            <w:tcBorders>
              <w:top w:val="single" w:color="auto" w:sz="2" w:space="0"/>
              <w:left w:val="single" w:color="auto" w:sz="2" w:space="0"/>
              <w:bottom w:val="single" w:color="auto" w:sz="2" w:space="0"/>
              <w:right w:val="single" w:color="auto" w:sz="2" w:space="0"/>
            </w:tcBorders>
            <w:vAlign w:val="center"/>
          </w:tcPr>
          <w:p w14:paraId="6C15A1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37,377,261.33</w:t>
            </w:r>
          </w:p>
        </w:tc>
        <w:tc>
          <w:tcPr>
            <w:tcW w:w="876" w:type="dxa"/>
            <w:tcBorders>
              <w:top w:val="single" w:color="auto" w:sz="2" w:space="0"/>
              <w:left w:val="single" w:color="auto" w:sz="2" w:space="0"/>
              <w:bottom w:val="single" w:color="auto" w:sz="2" w:space="0"/>
              <w:right w:val="single" w:color="auto" w:sz="2" w:space="0"/>
            </w:tcBorders>
            <w:vAlign w:val="center"/>
          </w:tcPr>
          <w:p w14:paraId="3E1FCEF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20.91%</w:t>
            </w:r>
          </w:p>
        </w:tc>
        <w:tc>
          <w:tcPr>
            <w:tcW w:w="876" w:type="dxa"/>
            <w:tcBorders>
              <w:top w:val="single" w:color="auto" w:sz="2" w:space="0"/>
              <w:left w:val="single" w:color="auto" w:sz="2" w:space="0"/>
              <w:bottom w:val="single" w:color="auto" w:sz="2" w:space="0"/>
              <w:right w:val="single" w:color="auto" w:sz="2" w:space="0"/>
            </w:tcBorders>
            <w:vAlign w:val="center"/>
          </w:tcPr>
          <w:p w14:paraId="74E9D0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141,417,526.04</w:t>
            </w:r>
          </w:p>
        </w:tc>
      </w:tr>
      <w:tr w14:paraId="260A10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99CEE2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3895F2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276,268,806.13</w:t>
            </w:r>
          </w:p>
        </w:tc>
        <w:tc>
          <w:tcPr>
            <w:tcW w:w="876" w:type="dxa"/>
            <w:tcBorders>
              <w:top w:val="single" w:color="auto" w:sz="2" w:space="0"/>
              <w:left w:val="single" w:color="auto" w:sz="2" w:space="0"/>
              <w:bottom w:val="single" w:color="auto" w:sz="2" w:space="0"/>
              <w:right w:val="single" w:color="auto" w:sz="2" w:space="0"/>
            </w:tcBorders>
            <w:vAlign w:val="center"/>
          </w:tcPr>
          <w:p w14:paraId="6E9BED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33B8324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71,089,166.30</w:t>
            </w:r>
          </w:p>
        </w:tc>
        <w:tc>
          <w:tcPr>
            <w:tcW w:w="876" w:type="dxa"/>
            <w:tcBorders>
              <w:top w:val="single" w:color="auto" w:sz="2" w:space="0"/>
              <w:left w:val="single" w:color="auto" w:sz="2" w:space="0"/>
              <w:bottom w:val="single" w:color="auto" w:sz="2" w:space="0"/>
              <w:right w:val="single" w:color="auto" w:sz="2" w:space="0"/>
            </w:tcBorders>
            <w:vAlign w:val="center"/>
          </w:tcPr>
          <w:p w14:paraId="4216C2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28.42%</w:t>
            </w:r>
          </w:p>
        </w:tc>
        <w:tc>
          <w:tcPr>
            <w:tcW w:w="876" w:type="dxa"/>
            <w:tcBorders>
              <w:top w:val="single" w:color="auto" w:sz="2" w:space="0"/>
              <w:left w:val="single" w:color="auto" w:sz="2" w:space="0"/>
              <w:bottom w:val="single" w:color="auto" w:sz="2" w:space="0"/>
              <w:right w:val="single" w:color="auto" w:sz="2" w:space="0"/>
            </w:tcBorders>
            <w:vAlign w:val="center"/>
          </w:tcPr>
          <w:p w14:paraId="35B5BF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205,179,639.83</w:t>
            </w:r>
          </w:p>
        </w:tc>
        <w:tc>
          <w:tcPr>
            <w:tcW w:w="876" w:type="dxa"/>
            <w:tcBorders>
              <w:top w:val="single" w:color="auto" w:sz="2" w:space="0"/>
              <w:left w:val="single" w:color="auto" w:sz="2" w:space="0"/>
              <w:bottom w:val="single" w:color="auto" w:sz="2" w:space="0"/>
              <w:right w:val="single" w:color="auto" w:sz="2" w:space="0"/>
            </w:tcBorders>
            <w:vAlign w:val="center"/>
          </w:tcPr>
          <w:p w14:paraId="03D8CB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296,973,351.39</w:t>
            </w:r>
          </w:p>
        </w:tc>
        <w:tc>
          <w:tcPr>
            <w:tcW w:w="876" w:type="dxa"/>
            <w:tcBorders>
              <w:top w:val="single" w:color="auto" w:sz="2" w:space="0"/>
              <w:left w:val="single" w:color="auto" w:sz="2" w:space="0"/>
              <w:bottom w:val="single" w:color="auto" w:sz="2" w:space="0"/>
              <w:right w:val="single" w:color="auto" w:sz="2" w:space="0"/>
            </w:tcBorders>
            <w:vAlign w:val="center"/>
          </w:tcPr>
          <w:p w14:paraId="713FBF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8E32CA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57,165,760.48</w:t>
            </w:r>
          </w:p>
        </w:tc>
        <w:tc>
          <w:tcPr>
            <w:tcW w:w="876" w:type="dxa"/>
            <w:tcBorders>
              <w:top w:val="single" w:color="auto" w:sz="2" w:space="0"/>
              <w:left w:val="single" w:color="auto" w:sz="2" w:space="0"/>
              <w:bottom w:val="single" w:color="auto" w:sz="2" w:space="0"/>
              <w:right w:val="single" w:color="auto" w:sz="2" w:space="0"/>
            </w:tcBorders>
            <w:vAlign w:val="center"/>
          </w:tcPr>
          <w:p w14:paraId="603532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21.10%</w:t>
            </w:r>
          </w:p>
        </w:tc>
        <w:tc>
          <w:tcPr>
            <w:tcW w:w="876" w:type="dxa"/>
            <w:tcBorders>
              <w:top w:val="single" w:color="auto" w:sz="2" w:space="0"/>
              <w:left w:val="single" w:color="auto" w:sz="2" w:space="0"/>
              <w:bottom w:val="single" w:color="auto" w:sz="2" w:space="0"/>
              <w:right w:val="single" w:color="auto" w:sz="2" w:space="0"/>
            </w:tcBorders>
            <w:vAlign w:val="center"/>
          </w:tcPr>
          <w:p w14:paraId="3A5684D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239,807,590.91</w:t>
            </w:r>
          </w:p>
        </w:tc>
      </w:tr>
    </w:tbl>
    <w:p w14:paraId="010A08F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按单项计提坏账准备：组合1</w:t>
      </w:r>
    </w:p>
    <w:p w14:paraId="6FDE9FA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636A3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CC39B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275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E2E6B1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33BAD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04EA3D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532782A">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D60C1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5C3D8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EB673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133F3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5EA9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00C8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计提理由</w:t>
            </w:r>
          </w:p>
        </w:tc>
      </w:tr>
      <w:tr w14:paraId="2E359C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2B24BD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511A1BF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841,111.60</w:t>
            </w:r>
          </w:p>
        </w:tc>
        <w:tc>
          <w:tcPr>
            <w:tcW w:w="1377" w:type="dxa"/>
            <w:tcBorders>
              <w:top w:val="single" w:color="auto" w:sz="2" w:space="0"/>
              <w:left w:val="single" w:color="auto" w:sz="2" w:space="0"/>
              <w:bottom w:val="single" w:color="auto" w:sz="2" w:space="0"/>
              <w:right w:val="single" w:color="auto" w:sz="2" w:space="0"/>
            </w:tcBorders>
            <w:vAlign w:val="center"/>
          </w:tcPr>
          <w:p w14:paraId="09763AF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265DF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843,309.24</w:t>
            </w:r>
          </w:p>
        </w:tc>
        <w:tc>
          <w:tcPr>
            <w:tcW w:w="1377" w:type="dxa"/>
            <w:tcBorders>
              <w:top w:val="single" w:color="auto" w:sz="2" w:space="0"/>
              <w:left w:val="single" w:color="auto" w:sz="2" w:space="0"/>
              <w:bottom w:val="single" w:color="auto" w:sz="2" w:space="0"/>
              <w:right w:val="single" w:color="auto" w:sz="2" w:space="0"/>
            </w:tcBorders>
            <w:vAlign w:val="center"/>
          </w:tcPr>
          <w:p w14:paraId="20E4BA8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F9FFDDE">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088665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合并范围内子公司</w:t>
            </w:r>
          </w:p>
        </w:tc>
      </w:tr>
      <w:tr w14:paraId="42206C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7E85231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636F487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19,160,031.94</w:t>
            </w:r>
          </w:p>
        </w:tc>
        <w:tc>
          <w:tcPr>
            <w:tcW w:w="1377" w:type="dxa"/>
            <w:tcBorders>
              <w:top w:val="single" w:color="auto" w:sz="2" w:space="0"/>
              <w:left w:val="single" w:color="auto" w:sz="2" w:space="0"/>
              <w:bottom w:val="single" w:color="auto" w:sz="2" w:space="0"/>
              <w:right w:val="single" w:color="auto" w:sz="2" w:space="0"/>
            </w:tcBorders>
            <w:vAlign w:val="center"/>
          </w:tcPr>
          <w:p w14:paraId="62623F6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15652B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19,267,262.02</w:t>
            </w:r>
          </w:p>
        </w:tc>
        <w:tc>
          <w:tcPr>
            <w:tcW w:w="1377" w:type="dxa"/>
            <w:tcBorders>
              <w:top w:val="single" w:color="auto" w:sz="2" w:space="0"/>
              <w:left w:val="single" w:color="auto" w:sz="2" w:space="0"/>
              <w:bottom w:val="single" w:color="auto" w:sz="2" w:space="0"/>
              <w:right w:val="single" w:color="auto" w:sz="2" w:space="0"/>
            </w:tcBorders>
            <w:vAlign w:val="center"/>
          </w:tcPr>
          <w:p w14:paraId="06F4A4A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9461C3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D2EE3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合并范围内子公司</w:t>
            </w:r>
          </w:p>
        </w:tc>
      </w:tr>
      <w:tr w14:paraId="5B7C47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vAlign w:val="center"/>
          </w:tcPr>
          <w:p w14:paraId="39B308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c>
          <w:tcPr>
            <w:tcW w:w="1377" w:type="dxa"/>
            <w:tcBorders>
              <w:top w:val="single" w:color="auto" w:sz="2" w:space="0"/>
              <w:left w:val="single" w:color="auto" w:sz="2" w:space="0"/>
              <w:bottom w:val="single" w:color="auto" w:sz="2" w:space="0"/>
              <w:right w:val="single" w:color="auto" w:sz="2" w:space="0"/>
            </w:tcBorders>
            <w:vAlign w:val="center"/>
          </w:tcPr>
          <w:p w14:paraId="607B09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6,000,000.00</w:t>
            </w:r>
          </w:p>
        </w:tc>
        <w:tc>
          <w:tcPr>
            <w:tcW w:w="1377" w:type="dxa"/>
            <w:tcBorders>
              <w:top w:val="single" w:color="auto" w:sz="2" w:space="0"/>
              <w:left w:val="single" w:color="auto" w:sz="2" w:space="0"/>
              <w:bottom w:val="single" w:color="auto" w:sz="2" w:space="0"/>
              <w:right w:val="single" w:color="auto" w:sz="2" w:space="0"/>
            </w:tcBorders>
            <w:vAlign w:val="center"/>
          </w:tcPr>
          <w:p w14:paraId="5CE651E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EA86E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6,000,000.00</w:t>
            </w:r>
          </w:p>
        </w:tc>
        <w:tc>
          <w:tcPr>
            <w:tcW w:w="1377" w:type="dxa"/>
            <w:tcBorders>
              <w:top w:val="single" w:color="auto" w:sz="2" w:space="0"/>
              <w:left w:val="single" w:color="auto" w:sz="2" w:space="0"/>
              <w:bottom w:val="single" w:color="auto" w:sz="2" w:space="0"/>
              <w:right w:val="single" w:color="auto" w:sz="2" w:space="0"/>
            </w:tcBorders>
            <w:vAlign w:val="center"/>
          </w:tcPr>
          <w:p w14:paraId="28086AE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BEE1CA4">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66DFFF0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合并范围内子公司</w:t>
            </w:r>
          </w:p>
        </w:tc>
      </w:tr>
      <w:tr w14:paraId="3EF20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BB5D31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3EF2CCC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26,001,143.54</w:t>
            </w:r>
          </w:p>
        </w:tc>
        <w:tc>
          <w:tcPr>
            <w:tcW w:w="1377" w:type="dxa"/>
            <w:tcBorders>
              <w:top w:val="single" w:color="auto" w:sz="2" w:space="0"/>
              <w:left w:val="single" w:color="auto" w:sz="2" w:space="0"/>
              <w:bottom w:val="single" w:color="auto" w:sz="2" w:space="0"/>
              <w:right w:val="single" w:color="auto" w:sz="2" w:space="0"/>
            </w:tcBorders>
            <w:vAlign w:val="center"/>
          </w:tcPr>
          <w:p w14:paraId="04FEFFF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2DC4C1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26,110,571.26</w:t>
            </w:r>
          </w:p>
        </w:tc>
        <w:tc>
          <w:tcPr>
            <w:tcW w:w="1377" w:type="dxa"/>
            <w:tcBorders>
              <w:top w:val="single" w:color="auto" w:sz="2" w:space="0"/>
              <w:left w:val="single" w:color="auto" w:sz="2" w:space="0"/>
              <w:bottom w:val="single" w:color="auto" w:sz="2" w:space="0"/>
              <w:right w:val="single" w:color="auto" w:sz="2" w:space="0"/>
            </w:tcBorders>
            <w:vAlign w:val="center"/>
          </w:tcPr>
          <w:p w14:paraId="6F23A94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6620E53">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6F7F0E">
            <w:pPr>
              <w:rPr>
                <w:rFonts w:ascii="Times New Roman" w:hAnsi="Times New Roman" w:cs="Times New Roman" w:eastAsiaTheme="majorEastAsia"/>
              </w:rPr>
            </w:pPr>
          </w:p>
        </w:tc>
      </w:tr>
    </w:tbl>
    <w:p w14:paraId="2167298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按组合计提坏账准备：组合1</w:t>
      </w:r>
    </w:p>
    <w:p w14:paraId="192A0CF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0E2D05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1A5C7CC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88FEB2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1C8F4A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8AE0646">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195205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90DA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336470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34CBEF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81E591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4C2E5D8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11,492,325.88</w:t>
            </w:r>
          </w:p>
        </w:tc>
        <w:tc>
          <w:tcPr>
            <w:tcW w:w="2410" w:type="dxa"/>
            <w:tcBorders>
              <w:top w:val="single" w:color="auto" w:sz="2" w:space="0"/>
              <w:left w:val="single" w:color="auto" w:sz="2" w:space="0"/>
              <w:bottom w:val="single" w:color="auto" w:sz="2" w:space="0"/>
              <w:right w:val="single" w:color="auto" w:sz="2" w:space="0"/>
            </w:tcBorders>
            <w:vAlign w:val="center"/>
          </w:tcPr>
          <w:p w14:paraId="1575D7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574,616.31</w:t>
            </w:r>
          </w:p>
        </w:tc>
        <w:tc>
          <w:tcPr>
            <w:tcW w:w="2410" w:type="dxa"/>
            <w:tcBorders>
              <w:top w:val="single" w:color="auto" w:sz="2" w:space="0"/>
              <w:left w:val="single" w:color="auto" w:sz="2" w:space="0"/>
              <w:bottom w:val="single" w:color="auto" w:sz="2" w:space="0"/>
              <w:right w:val="single" w:color="auto" w:sz="2" w:space="0"/>
            </w:tcBorders>
            <w:vAlign w:val="center"/>
          </w:tcPr>
          <w:p w14:paraId="3F654CC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68E093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4358AC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4AB105C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9,976,097.53</w:t>
            </w:r>
          </w:p>
        </w:tc>
        <w:tc>
          <w:tcPr>
            <w:tcW w:w="2410" w:type="dxa"/>
            <w:tcBorders>
              <w:top w:val="single" w:color="auto" w:sz="2" w:space="0"/>
              <w:left w:val="single" w:color="auto" w:sz="2" w:space="0"/>
              <w:bottom w:val="single" w:color="auto" w:sz="2" w:space="0"/>
              <w:right w:val="single" w:color="auto" w:sz="2" w:space="0"/>
            </w:tcBorders>
            <w:vAlign w:val="center"/>
          </w:tcPr>
          <w:p w14:paraId="2515F8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997,609.75</w:t>
            </w:r>
          </w:p>
        </w:tc>
        <w:tc>
          <w:tcPr>
            <w:tcW w:w="2410" w:type="dxa"/>
            <w:tcBorders>
              <w:top w:val="single" w:color="auto" w:sz="2" w:space="0"/>
              <w:left w:val="single" w:color="auto" w:sz="2" w:space="0"/>
              <w:bottom w:val="single" w:color="auto" w:sz="2" w:space="0"/>
              <w:right w:val="single" w:color="auto" w:sz="2" w:space="0"/>
            </w:tcBorders>
            <w:vAlign w:val="center"/>
          </w:tcPr>
          <w:p w14:paraId="635DA4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r>
      <w:tr w14:paraId="334343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7628FF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6D4FAC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14,538,071.56</w:t>
            </w:r>
          </w:p>
        </w:tc>
        <w:tc>
          <w:tcPr>
            <w:tcW w:w="2410" w:type="dxa"/>
            <w:tcBorders>
              <w:top w:val="single" w:color="auto" w:sz="2" w:space="0"/>
              <w:left w:val="single" w:color="auto" w:sz="2" w:space="0"/>
              <w:bottom w:val="single" w:color="auto" w:sz="2" w:space="0"/>
              <w:right w:val="single" w:color="auto" w:sz="2" w:space="0"/>
            </w:tcBorders>
            <w:vAlign w:val="center"/>
          </w:tcPr>
          <w:p w14:paraId="1DC9FD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4,361,421.48</w:t>
            </w:r>
          </w:p>
        </w:tc>
        <w:tc>
          <w:tcPr>
            <w:tcW w:w="2410" w:type="dxa"/>
            <w:tcBorders>
              <w:top w:val="single" w:color="auto" w:sz="2" w:space="0"/>
              <w:left w:val="single" w:color="auto" w:sz="2" w:space="0"/>
              <w:bottom w:val="single" w:color="auto" w:sz="2" w:space="0"/>
              <w:right w:val="single" w:color="auto" w:sz="2" w:space="0"/>
            </w:tcBorders>
            <w:vAlign w:val="center"/>
          </w:tcPr>
          <w:p w14:paraId="74E0CFB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r>
      <w:tr w14:paraId="635018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073FC67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67664F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12,443,506.79</w:t>
            </w:r>
          </w:p>
        </w:tc>
        <w:tc>
          <w:tcPr>
            <w:tcW w:w="2410" w:type="dxa"/>
            <w:tcBorders>
              <w:top w:val="single" w:color="auto" w:sz="2" w:space="0"/>
              <w:left w:val="single" w:color="auto" w:sz="2" w:space="0"/>
              <w:bottom w:val="single" w:color="auto" w:sz="2" w:space="0"/>
              <w:right w:val="single" w:color="auto" w:sz="2" w:space="0"/>
            </w:tcBorders>
            <w:vAlign w:val="center"/>
          </w:tcPr>
          <w:p w14:paraId="5222B30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6,221,753.40</w:t>
            </w:r>
          </w:p>
        </w:tc>
        <w:tc>
          <w:tcPr>
            <w:tcW w:w="2410" w:type="dxa"/>
            <w:tcBorders>
              <w:top w:val="single" w:color="auto" w:sz="2" w:space="0"/>
              <w:left w:val="single" w:color="auto" w:sz="2" w:space="0"/>
              <w:bottom w:val="single" w:color="auto" w:sz="2" w:space="0"/>
              <w:right w:val="single" w:color="auto" w:sz="2" w:space="0"/>
            </w:tcBorders>
            <w:vAlign w:val="center"/>
          </w:tcPr>
          <w:p w14:paraId="338222C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r w14:paraId="389445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251130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0DB3B6E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3,725,826.73</w:t>
            </w:r>
          </w:p>
        </w:tc>
        <w:tc>
          <w:tcPr>
            <w:tcW w:w="2410" w:type="dxa"/>
            <w:tcBorders>
              <w:top w:val="single" w:color="auto" w:sz="2" w:space="0"/>
              <w:left w:val="single" w:color="auto" w:sz="2" w:space="0"/>
              <w:bottom w:val="single" w:color="auto" w:sz="2" w:space="0"/>
              <w:right w:val="single" w:color="auto" w:sz="2" w:space="0"/>
            </w:tcBorders>
            <w:vAlign w:val="center"/>
          </w:tcPr>
          <w:p w14:paraId="561F0C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2,980,661.39</w:t>
            </w:r>
          </w:p>
        </w:tc>
        <w:tc>
          <w:tcPr>
            <w:tcW w:w="2410" w:type="dxa"/>
            <w:tcBorders>
              <w:top w:val="single" w:color="auto" w:sz="2" w:space="0"/>
              <w:left w:val="single" w:color="auto" w:sz="2" w:space="0"/>
              <w:bottom w:val="single" w:color="auto" w:sz="2" w:space="0"/>
              <w:right w:val="single" w:color="auto" w:sz="2" w:space="0"/>
            </w:tcBorders>
            <w:vAlign w:val="center"/>
          </w:tcPr>
          <w:p w14:paraId="2AC011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80.00%</w:t>
            </w:r>
          </w:p>
        </w:tc>
      </w:tr>
      <w:tr w14:paraId="3923DB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5F59AB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110D6DF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5,497,380.03</w:t>
            </w:r>
          </w:p>
        </w:tc>
        <w:tc>
          <w:tcPr>
            <w:tcW w:w="2410" w:type="dxa"/>
            <w:tcBorders>
              <w:top w:val="single" w:color="auto" w:sz="2" w:space="0"/>
              <w:left w:val="single" w:color="auto" w:sz="2" w:space="0"/>
              <w:bottom w:val="single" w:color="auto" w:sz="2" w:space="0"/>
              <w:right w:val="single" w:color="auto" w:sz="2" w:space="0"/>
            </w:tcBorders>
            <w:vAlign w:val="center"/>
          </w:tcPr>
          <w:p w14:paraId="3128DA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5,497,380.03</w:t>
            </w:r>
          </w:p>
        </w:tc>
        <w:tc>
          <w:tcPr>
            <w:tcW w:w="2410" w:type="dxa"/>
            <w:tcBorders>
              <w:top w:val="single" w:color="auto" w:sz="2" w:space="0"/>
              <w:left w:val="single" w:color="auto" w:sz="2" w:space="0"/>
              <w:bottom w:val="single" w:color="auto" w:sz="2" w:space="0"/>
              <w:right w:val="single" w:color="auto" w:sz="2" w:space="0"/>
            </w:tcBorders>
            <w:vAlign w:val="center"/>
          </w:tcPr>
          <w:p w14:paraId="17A68D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24A464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BCC7B6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0DCD9E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57,673,208.52</w:t>
            </w:r>
          </w:p>
        </w:tc>
        <w:tc>
          <w:tcPr>
            <w:tcW w:w="2410" w:type="dxa"/>
            <w:tcBorders>
              <w:top w:val="single" w:color="auto" w:sz="2" w:space="0"/>
              <w:left w:val="single" w:color="auto" w:sz="2" w:space="0"/>
              <w:bottom w:val="single" w:color="auto" w:sz="2" w:space="0"/>
              <w:right w:val="single" w:color="auto" w:sz="2" w:space="0"/>
            </w:tcBorders>
            <w:vAlign w:val="center"/>
          </w:tcPr>
          <w:p w14:paraId="12FE208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20,633,442.36</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10DF0774">
            <w:pPr>
              <w:rPr>
                <w:rFonts w:ascii="Times New Roman" w:hAnsi="Times New Roman" w:cs="Times New Roman" w:eastAsiaTheme="majorEastAsia"/>
              </w:rPr>
            </w:pPr>
          </w:p>
        </w:tc>
      </w:tr>
    </w:tbl>
    <w:p w14:paraId="231C09F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13120671">
      <w:pPr>
        <w:pStyle w:val="10"/>
        <w:spacing w:beforeAutospacing="0" w:afterAutospacing="0"/>
        <w:rPr>
          <w:rFonts w:ascii="Times New Roman" w:hAnsi="Times New Roman" w:cs="Times New Roman" w:eastAsiaTheme="majorEastAsia"/>
        </w:rPr>
      </w:pPr>
      <w:r>
        <w:rPr>
          <w:rFonts w:ascii="Times New Roman" w:hAnsi="Times New Roman" w:cs="Times New Roman" w:eastAsiaTheme="majorEastAsia"/>
          <w:sz w:val="21"/>
          <w:szCs w:val="21"/>
        </w:rPr>
        <w:t>注 1：确定应收账款组合的依据详见本节五、11。</w:t>
      </w:r>
      <w:r>
        <w:rPr>
          <w:rFonts w:ascii="Times New Roman" w:hAnsi="Times New Roman" w:cs="Times New Roman" w:eastAsiaTheme="majorEastAsia"/>
          <w:sz w:val="21"/>
          <w:szCs w:val="21"/>
        </w:rPr>
        <w:br w:type="textWrapping"/>
      </w:r>
      <w:r>
        <w:rPr>
          <w:rFonts w:ascii="Times New Roman" w:hAnsi="Times New Roman" w:cs="Times New Roman" w:eastAsiaTheme="majorEastAsia"/>
          <w:sz w:val="21"/>
          <w:szCs w:val="21"/>
        </w:rPr>
        <w:t>注 2：合同资产-质保金在质保期限届满之后转入应收账款核算，其账龄连续计算。</w:t>
      </w:r>
    </w:p>
    <w:p w14:paraId="5747246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按组合计提坏账准备：组合2</w:t>
      </w:r>
    </w:p>
    <w:p w14:paraId="5AB49421">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509450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9DDEC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名称</w:t>
            </w:r>
          </w:p>
        </w:tc>
        <w:tc>
          <w:tcPr>
            <w:tcW w:w="7229"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5B9F39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7C24A5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E12FD1B">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D80C7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7B8C44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BAB11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r>
      <w:tr w14:paraId="70F9DD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196EF32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2410" w:type="dxa"/>
            <w:tcBorders>
              <w:top w:val="single" w:color="auto" w:sz="2" w:space="0"/>
              <w:left w:val="single" w:color="auto" w:sz="2" w:space="0"/>
              <w:bottom w:val="single" w:color="auto" w:sz="2" w:space="0"/>
              <w:right w:val="single" w:color="auto" w:sz="2" w:space="0"/>
            </w:tcBorders>
            <w:vAlign w:val="center"/>
          </w:tcPr>
          <w:p w14:paraId="27CBCD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47,761,459.31</w:t>
            </w:r>
          </w:p>
        </w:tc>
        <w:tc>
          <w:tcPr>
            <w:tcW w:w="2410" w:type="dxa"/>
            <w:tcBorders>
              <w:top w:val="single" w:color="auto" w:sz="2" w:space="0"/>
              <w:left w:val="single" w:color="auto" w:sz="2" w:space="0"/>
              <w:bottom w:val="single" w:color="auto" w:sz="2" w:space="0"/>
              <w:right w:val="single" w:color="auto" w:sz="2" w:space="0"/>
            </w:tcBorders>
            <w:vAlign w:val="center"/>
          </w:tcPr>
          <w:p w14:paraId="1B964E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2,388,072.96</w:t>
            </w:r>
          </w:p>
        </w:tc>
        <w:tc>
          <w:tcPr>
            <w:tcW w:w="2410" w:type="dxa"/>
            <w:tcBorders>
              <w:top w:val="single" w:color="auto" w:sz="2" w:space="0"/>
              <w:left w:val="single" w:color="auto" w:sz="2" w:space="0"/>
              <w:bottom w:val="single" w:color="auto" w:sz="2" w:space="0"/>
              <w:right w:val="single" w:color="auto" w:sz="2" w:space="0"/>
            </w:tcBorders>
            <w:vAlign w:val="center"/>
          </w:tcPr>
          <w:p w14:paraId="13BAEF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w:t>
            </w:r>
          </w:p>
        </w:tc>
      </w:tr>
      <w:tr w14:paraId="52489C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CB7E1C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2410" w:type="dxa"/>
            <w:tcBorders>
              <w:top w:val="single" w:color="auto" w:sz="2" w:space="0"/>
              <w:left w:val="single" w:color="auto" w:sz="2" w:space="0"/>
              <w:bottom w:val="single" w:color="auto" w:sz="2" w:space="0"/>
              <w:right w:val="single" w:color="auto" w:sz="2" w:space="0"/>
            </w:tcBorders>
            <w:vAlign w:val="center"/>
          </w:tcPr>
          <w:p w14:paraId="0A7532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54,801,651.99</w:t>
            </w:r>
          </w:p>
        </w:tc>
        <w:tc>
          <w:tcPr>
            <w:tcW w:w="2410" w:type="dxa"/>
            <w:tcBorders>
              <w:top w:val="single" w:color="auto" w:sz="2" w:space="0"/>
              <w:left w:val="single" w:color="auto" w:sz="2" w:space="0"/>
              <w:bottom w:val="single" w:color="auto" w:sz="2" w:space="0"/>
              <w:right w:val="single" w:color="auto" w:sz="2" w:space="0"/>
            </w:tcBorders>
            <w:vAlign w:val="center"/>
          </w:tcPr>
          <w:p w14:paraId="0AD9B8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5,480,165.20</w:t>
            </w:r>
          </w:p>
        </w:tc>
        <w:tc>
          <w:tcPr>
            <w:tcW w:w="2410" w:type="dxa"/>
            <w:tcBorders>
              <w:top w:val="single" w:color="auto" w:sz="2" w:space="0"/>
              <w:left w:val="single" w:color="auto" w:sz="2" w:space="0"/>
              <w:bottom w:val="single" w:color="auto" w:sz="2" w:space="0"/>
              <w:right w:val="single" w:color="auto" w:sz="2" w:space="0"/>
            </w:tcBorders>
            <w:vAlign w:val="center"/>
          </w:tcPr>
          <w:p w14:paraId="78619D9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w:t>
            </w:r>
          </w:p>
        </w:tc>
      </w:tr>
      <w:tr w14:paraId="375F50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2C2E70E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2410" w:type="dxa"/>
            <w:tcBorders>
              <w:top w:val="single" w:color="auto" w:sz="2" w:space="0"/>
              <w:left w:val="single" w:color="auto" w:sz="2" w:space="0"/>
              <w:bottom w:val="single" w:color="auto" w:sz="2" w:space="0"/>
              <w:right w:val="single" w:color="auto" w:sz="2" w:space="0"/>
            </w:tcBorders>
            <w:vAlign w:val="center"/>
          </w:tcPr>
          <w:p w14:paraId="627D9B5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41,443,062.28</w:t>
            </w:r>
          </w:p>
        </w:tc>
        <w:tc>
          <w:tcPr>
            <w:tcW w:w="2410" w:type="dxa"/>
            <w:tcBorders>
              <w:top w:val="single" w:color="auto" w:sz="2" w:space="0"/>
              <w:left w:val="single" w:color="auto" w:sz="2" w:space="0"/>
              <w:bottom w:val="single" w:color="auto" w:sz="2" w:space="0"/>
              <w:right w:val="single" w:color="auto" w:sz="2" w:space="0"/>
            </w:tcBorders>
            <w:vAlign w:val="center"/>
          </w:tcPr>
          <w:p w14:paraId="26A7615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12,432,918.66</w:t>
            </w:r>
          </w:p>
        </w:tc>
        <w:tc>
          <w:tcPr>
            <w:tcW w:w="2410" w:type="dxa"/>
            <w:tcBorders>
              <w:top w:val="single" w:color="auto" w:sz="2" w:space="0"/>
              <w:left w:val="single" w:color="auto" w:sz="2" w:space="0"/>
              <w:bottom w:val="single" w:color="auto" w:sz="2" w:space="0"/>
              <w:right w:val="single" w:color="auto" w:sz="2" w:space="0"/>
            </w:tcBorders>
            <w:vAlign w:val="center"/>
          </w:tcPr>
          <w:p w14:paraId="295F29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30.00%</w:t>
            </w:r>
          </w:p>
        </w:tc>
      </w:tr>
      <w:tr w14:paraId="520BFE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4A5C610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2410" w:type="dxa"/>
            <w:tcBorders>
              <w:top w:val="single" w:color="auto" w:sz="2" w:space="0"/>
              <w:left w:val="single" w:color="auto" w:sz="2" w:space="0"/>
              <w:bottom w:val="single" w:color="auto" w:sz="2" w:space="0"/>
              <w:right w:val="single" w:color="auto" w:sz="2" w:space="0"/>
            </w:tcBorders>
            <w:vAlign w:val="center"/>
          </w:tcPr>
          <w:p w14:paraId="550A9A3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36,648,571.30</w:t>
            </w:r>
          </w:p>
        </w:tc>
        <w:tc>
          <w:tcPr>
            <w:tcW w:w="2410" w:type="dxa"/>
            <w:tcBorders>
              <w:top w:val="single" w:color="auto" w:sz="2" w:space="0"/>
              <w:left w:val="single" w:color="auto" w:sz="2" w:space="0"/>
              <w:bottom w:val="single" w:color="auto" w:sz="2" w:space="0"/>
              <w:right w:val="single" w:color="auto" w:sz="2" w:space="0"/>
            </w:tcBorders>
            <w:vAlign w:val="center"/>
          </w:tcPr>
          <w:p w14:paraId="04D76C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18,324,285.65</w:t>
            </w:r>
          </w:p>
        </w:tc>
        <w:tc>
          <w:tcPr>
            <w:tcW w:w="2410" w:type="dxa"/>
            <w:tcBorders>
              <w:top w:val="single" w:color="auto" w:sz="2" w:space="0"/>
              <w:left w:val="single" w:color="auto" w:sz="2" w:space="0"/>
              <w:bottom w:val="single" w:color="auto" w:sz="2" w:space="0"/>
              <w:right w:val="single" w:color="auto" w:sz="2" w:space="0"/>
            </w:tcBorders>
            <w:vAlign w:val="center"/>
          </w:tcPr>
          <w:p w14:paraId="078C6B2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w:t>
            </w:r>
          </w:p>
        </w:tc>
      </w:tr>
      <w:tr w14:paraId="30B4FC6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7CBBAB2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2410" w:type="dxa"/>
            <w:tcBorders>
              <w:top w:val="single" w:color="auto" w:sz="2" w:space="0"/>
              <w:left w:val="single" w:color="auto" w:sz="2" w:space="0"/>
              <w:bottom w:val="single" w:color="auto" w:sz="2" w:space="0"/>
              <w:right w:val="single" w:color="auto" w:sz="2" w:space="0"/>
            </w:tcBorders>
            <w:vAlign w:val="center"/>
          </w:tcPr>
          <w:p w14:paraId="31EA88B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4,268,852.75</w:t>
            </w:r>
          </w:p>
        </w:tc>
        <w:tc>
          <w:tcPr>
            <w:tcW w:w="2410" w:type="dxa"/>
            <w:tcBorders>
              <w:top w:val="single" w:color="auto" w:sz="2" w:space="0"/>
              <w:left w:val="single" w:color="auto" w:sz="2" w:space="0"/>
              <w:bottom w:val="single" w:color="auto" w:sz="2" w:space="0"/>
              <w:right w:val="single" w:color="auto" w:sz="2" w:space="0"/>
            </w:tcBorders>
            <w:vAlign w:val="center"/>
          </w:tcPr>
          <w:p w14:paraId="278E1F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4,268,852.75</w:t>
            </w:r>
          </w:p>
        </w:tc>
        <w:tc>
          <w:tcPr>
            <w:tcW w:w="2410" w:type="dxa"/>
            <w:tcBorders>
              <w:top w:val="single" w:color="auto" w:sz="2" w:space="0"/>
              <w:left w:val="single" w:color="auto" w:sz="2" w:space="0"/>
              <w:bottom w:val="single" w:color="auto" w:sz="2" w:space="0"/>
              <w:right w:val="single" w:color="auto" w:sz="2" w:space="0"/>
            </w:tcBorders>
            <w:vAlign w:val="center"/>
          </w:tcPr>
          <w:p w14:paraId="21E665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12BFC7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vAlign w:val="center"/>
          </w:tcPr>
          <w:p w14:paraId="5F13CAF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2410" w:type="dxa"/>
            <w:tcBorders>
              <w:top w:val="single" w:color="auto" w:sz="2" w:space="0"/>
              <w:left w:val="single" w:color="auto" w:sz="2" w:space="0"/>
              <w:bottom w:val="single" w:color="auto" w:sz="2" w:space="0"/>
              <w:right w:val="single" w:color="auto" w:sz="2" w:space="0"/>
            </w:tcBorders>
            <w:vAlign w:val="center"/>
          </w:tcPr>
          <w:p w14:paraId="7BFB204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7,561,428.72</w:t>
            </w:r>
          </w:p>
        </w:tc>
        <w:tc>
          <w:tcPr>
            <w:tcW w:w="2410" w:type="dxa"/>
            <w:tcBorders>
              <w:top w:val="single" w:color="auto" w:sz="2" w:space="0"/>
              <w:left w:val="single" w:color="auto" w:sz="2" w:space="0"/>
              <w:bottom w:val="single" w:color="auto" w:sz="2" w:space="0"/>
              <w:right w:val="single" w:color="auto" w:sz="2" w:space="0"/>
            </w:tcBorders>
            <w:vAlign w:val="center"/>
          </w:tcPr>
          <w:p w14:paraId="544839F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7,561,428.72</w:t>
            </w:r>
          </w:p>
        </w:tc>
        <w:tc>
          <w:tcPr>
            <w:tcW w:w="2410" w:type="dxa"/>
            <w:tcBorders>
              <w:top w:val="single" w:color="auto" w:sz="2" w:space="0"/>
              <w:left w:val="single" w:color="auto" w:sz="2" w:space="0"/>
              <w:bottom w:val="single" w:color="auto" w:sz="2" w:space="0"/>
              <w:right w:val="single" w:color="auto" w:sz="2" w:space="0"/>
            </w:tcBorders>
            <w:vAlign w:val="center"/>
          </w:tcPr>
          <w:p w14:paraId="3708C7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r>
      <w:tr w14:paraId="306CFC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3C2DDF1">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2410" w:type="dxa"/>
            <w:tcBorders>
              <w:top w:val="single" w:color="auto" w:sz="2" w:space="0"/>
              <w:left w:val="single" w:color="auto" w:sz="2" w:space="0"/>
              <w:bottom w:val="single" w:color="auto" w:sz="2" w:space="0"/>
              <w:right w:val="single" w:color="auto" w:sz="2" w:space="0"/>
            </w:tcBorders>
            <w:vAlign w:val="center"/>
          </w:tcPr>
          <w:p w14:paraId="68AD6B1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192,485,026.35</w:t>
            </w:r>
          </w:p>
        </w:tc>
        <w:tc>
          <w:tcPr>
            <w:tcW w:w="2410" w:type="dxa"/>
            <w:tcBorders>
              <w:top w:val="single" w:color="auto" w:sz="2" w:space="0"/>
              <w:left w:val="single" w:color="auto" w:sz="2" w:space="0"/>
              <w:bottom w:val="single" w:color="auto" w:sz="2" w:space="0"/>
              <w:right w:val="single" w:color="auto" w:sz="2" w:space="0"/>
            </w:tcBorders>
            <w:vAlign w:val="center"/>
          </w:tcPr>
          <w:p w14:paraId="21A05B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50,455,723.94</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29325AE7">
            <w:pPr>
              <w:rPr>
                <w:rFonts w:ascii="Times New Roman" w:hAnsi="Times New Roman" w:cs="Times New Roman" w:eastAsiaTheme="majorEastAsia"/>
              </w:rPr>
            </w:pPr>
          </w:p>
        </w:tc>
      </w:tr>
    </w:tbl>
    <w:p w14:paraId="52EE028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确定该组合依据的说明：</w:t>
      </w:r>
    </w:p>
    <w:p w14:paraId="6E24A048">
      <w:pPr>
        <w:pStyle w:val="10"/>
        <w:spacing w:beforeAutospacing="0" w:afterAutospacing="0"/>
        <w:rPr>
          <w:rFonts w:ascii="Times New Roman" w:hAnsi="Times New Roman" w:cs="Times New Roman" w:eastAsiaTheme="majorEastAsia"/>
        </w:rPr>
      </w:pPr>
      <w:r>
        <w:rPr>
          <w:rFonts w:ascii="Times New Roman" w:hAnsi="Times New Roman" w:cs="Times New Roman" w:eastAsiaTheme="majorEastAsia"/>
          <w:sz w:val="21"/>
          <w:szCs w:val="21"/>
        </w:rPr>
        <w:t>注 1：确定应收账款组合的依据详见本节五、11。</w:t>
      </w:r>
      <w:r>
        <w:rPr>
          <w:rFonts w:ascii="Times New Roman" w:hAnsi="Times New Roman" w:cs="Times New Roman" w:eastAsiaTheme="majorEastAsia"/>
          <w:sz w:val="21"/>
          <w:szCs w:val="21"/>
        </w:rPr>
        <w:br w:type="textWrapping"/>
      </w:r>
      <w:r>
        <w:rPr>
          <w:rFonts w:ascii="Times New Roman" w:hAnsi="Times New Roman" w:cs="Times New Roman" w:eastAsiaTheme="majorEastAsia"/>
          <w:sz w:val="21"/>
          <w:szCs w:val="21"/>
        </w:rPr>
        <w:t>注 2：合同资产-质保金在质保期限届满之后转入应收账款核算，其账龄连续计算。</w:t>
      </w:r>
    </w:p>
    <w:p w14:paraId="50492CB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如是按照预期信用损失一般模型计提应收账款坏账准备：</w:t>
      </w:r>
    </w:p>
    <w:p w14:paraId="496A4A9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2D267DA9">
      <w:pPr>
        <w:keepNext/>
        <w:keepLines/>
        <w:spacing w:before="300" w:after="300" w:line="280" w:lineRule="exact"/>
        <w:outlineLvl w:val="3"/>
        <w:rPr>
          <w:rFonts w:ascii="Times New Roman" w:hAnsi="Times New Roman" w:cs="Times New Roman" w:eastAsiaTheme="majorEastAsia"/>
          <w:b/>
          <w:bCs/>
          <w:szCs w:val="21"/>
        </w:rPr>
      </w:pPr>
      <w:bookmarkStart w:id="488" w:name="_Toc989380"/>
      <w:r>
        <w:rPr>
          <w:rFonts w:ascii="Times New Roman" w:hAnsi="Times New Roman" w:cs="Times New Roman" w:eastAsiaTheme="majorEastAsia"/>
          <w:b/>
          <w:bCs/>
          <w:szCs w:val="21"/>
        </w:rPr>
        <w:t>（3） 本期计提、收回或转回的坏账准备情况</w:t>
      </w:r>
      <w:bookmarkEnd w:id="488"/>
    </w:p>
    <w:p w14:paraId="48C7540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本期计提坏账准备情况：</w:t>
      </w:r>
    </w:p>
    <w:p w14:paraId="4631969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59E3B9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1C3F8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3C7363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B6E3E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88B68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5802C6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24BF72F">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FA33F35">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0285AC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7F806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F1690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925997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3E7F3E4">
            <w:pPr>
              <w:rPr>
                <w:rFonts w:ascii="Times New Roman" w:hAnsi="Times New Roman" w:cs="Times New Roman" w:eastAsiaTheme="majorEastAsia"/>
              </w:rPr>
            </w:pPr>
          </w:p>
        </w:tc>
      </w:tr>
      <w:tr w14:paraId="317416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110F28E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账龄组合</w:t>
            </w:r>
          </w:p>
        </w:tc>
        <w:tc>
          <w:tcPr>
            <w:tcW w:w="1377" w:type="dxa"/>
            <w:tcBorders>
              <w:top w:val="single" w:color="auto" w:sz="2" w:space="0"/>
              <w:left w:val="single" w:color="auto" w:sz="2" w:space="0"/>
              <w:bottom w:val="single" w:color="auto" w:sz="2" w:space="0"/>
              <w:right w:val="single" w:color="auto" w:sz="2" w:space="0"/>
            </w:tcBorders>
            <w:vAlign w:val="center"/>
          </w:tcPr>
          <w:p w14:paraId="56748A1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57,165,760.48</w:t>
            </w:r>
          </w:p>
        </w:tc>
        <w:tc>
          <w:tcPr>
            <w:tcW w:w="1377" w:type="dxa"/>
            <w:tcBorders>
              <w:top w:val="single" w:color="auto" w:sz="2" w:space="0"/>
              <w:left w:val="single" w:color="auto" w:sz="2" w:space="0"/>
              <w:bottom w:val="single" w:color="auto" w:sz="2" w:space="0"/>
              <w:right w:val="single" w:color="auto" w:sz="2" w:space="0"/>
            </w:tcBorders>
            <w:vAlign w:val="center"/>
          </w:tcPr>
          <w:p w14:paraId="151D362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13,923,405.82</w:t>
            </w:r>
          </w:p>
        </w:tc>
        <w:tc>
          <w:tcPr>
            <w:tcW w:w="1377" w:type="dxa"/>
            <w:tcBorders>
              <w:top w:val="single" w:color="auto" w:sz="2" w:space="0"/>
              <w:left w:val="single" w:color="auto" w:sz="2" w:space="0"/>
              <w:bottom w:val="single" w:color="auto" w:sz="2" w:space="0"/>
              <w:right w:val="single" w:color="auto" w:sz="2" w:space="0"/>
            </w:tcBorders>
            <w:vAlign w:val="center"/>
          </w:tcPr>
          <w:p w14:paraId="530AE43C">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00BDD4D">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4E2C292">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05325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71,089,166.30</w:t>
            </w:r>
          </w:p>
        </w:tc>
      </w:tr>
      <w:tr w14:paraId="3DA898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A5403D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11999AD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57,165,760.48</w:t>
            </w:r>
          </w:p>
        </w:tc>
        <w:tc>
          <w:tcPr>
            <w:tcW w:w="1377" w:type="dxa"/>
            <w:tcBorders>
              <w:top w:val="single" w:color="auto" w:sz="2" w:space="0"/>
              <w:left w:val="single" w:color="auto" w:sz="2" w:space="0"/>
              <w:bottom w:val="single" w:color="auto" w:sz="2" w:space="0"/>
              <w:right w:val="single" w:color="auto" w:sz="2" w:space="0"/>
            </w:tcBorders>
            <w:vAlign w:val="center"/>
          </w:tcPr>
          <w:p w14:paraId="2B7522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13,923,405.82</w:t>
            </w:r>
          </w:p>
        </w:tc>
        <w:tc>
          <w:tcPr>
            <w:tcW w:w="1377" w:type="dxa"/>
            <w:tcBorders>
              <w:top w:val="single" w:color="auto" w:sz="2" w:space="0"/>
              <w:left w:val="single" w:color="auto" w:sz="2" w:space="0"/>
              <w:bottom w:val="single" w:color="auto" w:sz="2" w:space="0"/>
              <w:right w:val="single" w:color="auto" w:sz="2" w:space="0"/>
            </w:tcBorders>
            <w:vAlign w:val="center"/>
          </w:tcPr>
          <w:p w14:paraId="0D328693">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6E5827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1CAA2726">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4B79380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71,089,166.30</w:t>
            </w:r>
          </w:p>
        </w:tc>
      </w:tr>
    </w:tbl>
    <w:p w14:paraId="54E90B1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r>
        <w:rPr>
          <w:rFonts w:hint="eastAsia" w:ascii="Times New Roman" w:hAnsi="Times New Roman" w:cs="Times New Roman" w:eastAsiaTheme="majorEastAsia"/>
          <w:sz w:val="18"/>
          <w:szCs w:val="18"/>
        </w:rPr>
        <w:t>无。</w:t>
      </w:r>
    </w:p>
    <w:p w14:paraId="7D84FE16">
      <w:pPr>
        <w:keepNext/>
        <w:keepLines/>
        <w:spacing w:before="300" w:after="300" w:line="280" w:lineRule="exact"/>
        <w:outlineLvl w:val="3"/>
        <w:rPr>
          <w:rFonts w:ascii="Times New Roman" w:hAnsi="Times New Roman" w:cs="Times New Roman" w:eastAsiaTheme="majorEastAsia"/>
          <w:b/>
          <w:bCs/>
          <w:szCs w:val="21"/>
        </w:rPr>
      </w:pPr>
      <w:bookmarkStart w:id="489" w:name="_Toc989381"/>
      <w:r>
        <w:rPr>
          <w:rFonts w:ascii="Times New Roman" w:hAnsi="Times New Roman" w:cs="Times New Roman" w:eastAsiaTheme="majorEastAsia"/>
          <w:b/>
          <w:bCs/>
          <w:szCs w:val="21"/>
        </w:rPr>
        <w:t>（4） 本期实际核销的应收账款情况</w:t>
      </w:r>
      <w:bookmarkEnd w:id="489"/>
    </w:p>
    <w:p w14:paraId="3C7350D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应收账款核销说明：</w:t>
      </w:r>
      <w:r>
        <w:rPr>
          <w:rFonts w:hint="eastAsia" w:ascii="Times New Roman" w:hAnsi="Times New Roman" w:cs="Times New Roman" w:eastAsiaTheme="majorEastAsia"/>
          <w:sz w:val="18"/>
          <w:szCs w:val="18"/>
        </w:rPr>
        <w:t>本期无实际核销的应收账款。</w:t>
      </w:r>
    </w:p>
    <w:p w14:paraId="5C1EBA5A">
      <w:pPr>
        <w:keepNext/>
        <w:keepLines/>
        <w:spacing w:before="300" w:after="300" w:line="280" w:lineRule="exact"/>
        <w:outlineLvl w:val="3"/>
        <w:rPr>
          <w:rFonts w:ascii="Times New Roman" w:hAnsi="Times New Roman" w:cs="Times New Roman" w:eastAsiaTheme="majorEastAsia"/>
          <w:b/>
          <w:bCs/>
          <w:szCs w:val="21"/>
        </w:rPr>
      </w:pPr>
      <w:bookmarkStart w:id="490" w:name="_Toc989382"/>
      <w:r>
        <w:rPr>
          <w:rFonts w:ascii="Times New Roman" w:hAnsi="Times New Roman" w:cs="Times New Roman" w:eastAsiaTheme="majorEastAsia"/>
          <w:b/>
          <w:bCs/>
          <w:szCs w:val="21"/>
        </w:rPr>
        <w:t>（5） 按欠款方归集的期末余额前五名的应收账款和合同资产情况</w:t>
      </w:r>
      <w:bookmarkEnd w:id="490"/>
    </w:p>
    <w:p w14:paraId="1A6330D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2EB6F7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29D62B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9F3AED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B48E4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94D5A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应收账款和合同资产期末余额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88AED5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占应收账款和合同资产期末余额合计数的比例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2BDDD5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应收账款坏账准备和合同资产减值准备期末余额</w:t>
            </w:r>
          </w:p>
        </w:tc>
      </w:tr>
      <w:tr w14:paraId="790E91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3362BD4D">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客户a</w:t>
            </w:r>
          </w:p>
        </w:tc>
        <w:tc>
          <w:tcPr>
            <w:tcW w:w="1606" w:type="dxa"/>
            <w:tcBorders>
              <w:top w:val="single" w:color="auto" w:sz="2" w:space="0"/>
              <w:left w:val="single" w:color="auto" w:sz="2" w:space="0"/>
              <w:bottom w:val="single" w:color="auto" w:sz="2" w:space="0"/>
              <w:right w:val="single" w:color="auto" w:sz="2" w:space="0"/>
            </w:tcBorders>
            <w:vAlign w:val="center"/>
          </w:tcPr>
          <w:p w14:paraId="520F090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39,560,782.22</w:t>
            </w:r>
          </w:p>
        </w:tc>
        <w:tc>
          <w:tcPr>
            <w:tcW w:w="1606" w:type="dxa"/>
            <w:tcBorders>
              <w:top w:val="single" w:color="auto" w:sz="2" w:space="0"/>
              <w:left w:val="single" w:color="auto" w:sz="2" w:space="0"/>
              <w:bottom w:val="single" w:color="auto" w:sz="2" w:space="0"/>
              <w:right w:val="single" w:color="auto" w:sz="2" w:space="0"/>
            </w:tcBorders>
            <w:vAlign w:val="center"/>
          </w:tcPr>
          <w:p w14:paraId="46561720">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7E4FB4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39,560,782.22</w:t>
            </w:r>
          </w:p>
        </w:tc>
        <w:tc>
          <w:tcPr>
            <w:tcW w:w="1606" w:type="dxa"/>
            <w:tcBorders>
              <w:top w:val="single" w:color="auto" w:sz="2" w:space="0"/>
              <w:left w:val="single" w:color="auto" w:sz="2" w:space="0"/>
              <w:bottom w:val="single" w:color="auto" w:sz="2" w:space="0"/>
              <w:right w:val="single" w:color="auto" w:sz="2" w:space="0"/>
            </w:tcBorders>
            <w:vAlign w:val="center"/>
          </w:tcPr>
          <w:p w14:paraId="5DE384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14.07%</w:t>
            </w:r>
          </w:p>
        </w:tc>
        <w:tc>
          <w:tcPr>
            <w:tcW w:w="1606" w:type="dxa"/>
            <w:tcBorders>
              <w:top w:val="single" w:color="auto" w:sz="2" w:space="0"/>
              <w:left w:val="single" w:color="auto" w:sz="2" w:space="0"/>
              <w:bottom w:val="single" w:color="auto" w:sz="2" w:space="0"/>
              <w:right w:val="single" w:color="auto" w:sz="2" w:space="0"/>
            </w:tcBorders>
            <w:vAlign w:val="center"/>
          </w:tcPr>
          <w:p w14:paraId="766E9A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15,741,392.96</w:t>
            </w:r>
          </w:p>
        </w:tc>
      </w:tr>
      <w:tr w14:paraId="7522B5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1FD6021">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客户b</w:t>
            </w:r>
          </w:p>
        </w:tc>
        <w:tc>
          <w:tcPr>
            <w:tcW w:w="1606" w:type="dxa"/>
            <w:tcBorders>
              <w:top w:val="single" w:color="auto" w:sz="2" w:space="0"/>
              <w:left w:val="single" w:color="auto" w:sz="2" w:space="0"/>
              <w:bottom w:val="single" w:color="auto" w:sz="2" w:space="0"/>
              <w:right w:val="single" w:color="auto" w:sz="2" w:space="0"/>
            </w:tcBorders>
            <w:vAlign w:val="center"/>
          </w:tcPr>
          <w:p w14:paraId="2273C65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32,344,481.94</w:t>
            </w:r>
          </w:p>
        </w:tc>
        <w:tc>
          <w:tcPr>
            <w:tcW w:w="1606" w:type="dxa"/>
            <w:tcBorders>
              <w:top w:val="single" w:color="auto" w:sz="2" w:space="0"/>
              <w:left w:val="single" w:color="auto" w:sz="2" w:space="0"/>
              <w:bottom w:val="single" w:color="auto" w:sz="2" w:space="0"/>
              <w:right w:val="single" w:color="auto" w:sz="2" w:space="0"/>
            </w:tcBorders>
            <w:vAlign w:val="center"/>
          </w:tcPr>
          <w:p w14:paraId="3E1C5D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2,489,343.85</w:t>
            </w:r>
          </w:p>
        </w:tc>
        <w:tc>
          <w:tcPr>
            <w:tcW w:w="1606" w:type="dxa"/>
            <w:tcBorders>
              <w:top w:val="single" w:color="auto" w:sz="2" w:space="0"/>
              <w:left w:val="single" w:color="auto" w:sz="2" w:space="0"/>
              <w:bottom w:val="single" w:color="auto" w:sz="2" w:space="0"/>
              <w:right w:val="single" w:color="auto" w:sz="2" w:space="0"/>
            </w:tcBorders>
            <w:vAlign w:val="center"/>
          </w:tcPr>
          <w:p w14:paraId="3133A7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34,833,825.79</w:t>
            </w:r>
          </w:p>
        </w:tc>
        <w:tc>
          <w:tcPr>
            <w:tcW w:w="1606" w:type="dxa"/>
            <w:tcBorders>
              <w:top w:val="single" w:color="auto" w:sz="2" w:space="0"/>
              <w:left w:val="single" w:color="auto" w:sz="2" w:space="0"/>
              <w:bottom w:val="single" w:color="auto" w:sz="2" w:space="0"/>
              <w:right w:val="single" w:color="auto" w:sz="2" w:space="0"/>
            </w:tcBorders>
            <w:vAlign w:val="center"/>
          </w:tcPr>
          <w:p w14:paraId="7A8960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12.39%</w:t>
            </w:r>
          </w:p>
        </w:tc>
        <w:tc>
          <w:tcPr>
            <w:tcW w:w="1606" w:type="dxa"/>
            <w:tcBorders>
              <w:top w:val="single" w:color="auto" w:sz="2" w:space="0"/>
              <w:left w:val="single" w:color="auto" w:sz="2" w:space="0"/>
              <w:bottom w:val="single" w:color="auto" w:sz="2" w:space="0"/>
              <w:right w:val="single" w:color="auto" w:sz="2" w:space="0"/>
            </w:tcBorders>
            <w:vAlign w:val="center"/>
          </w:tcPr>
          <w:p w14:paraId="2050BF1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11,302,308.91</w:t>
            </w:r>
          </w:p>
        </w:tc>
      </w:tr>
      <w:tr w14:paraId="55013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1892A345">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客户c</w:t>
            </w:r>
          </w:p>
        </w:tc>
        <w:tc>
          <w:tcPr>
            <w:tcW w:w="1606" w:type="dxa"/>
            <w:tcBorders>
              <w:top w:val="single" w:color="auto" w:sz="2" w:space="0"/>
              <w:left w:val="single" w:color="auto" w:sz="2" w:space="0"/>
              <w:bottom w:val="single" w:color="auto" w:sz="2" w:space="0"/>
              <w:right w:val="single" w:color="auto" w:sz="2" w:space="0"/>
            </w:tcBorders>
            <w:vAlign w:val="center"/>
          </w:tcPr>
          <w:p w14:paraId="08D63CA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20,800,854.72</w:t>
            </w:r>
          </w:p>
        </w:tc>
        <w:tc>
          <w:tcPr>
            <w:tcW w:w="1606" w:type="dxa"/>
            <w:tcBorders>
              <w:top w:val="single" w:color="auto" w:sz="2" w:space="0"/>
              <w:left w:val="single" w:color="auto" w:sz="2" w:space="0"/>
              <w:bottom w:val="single" w:color="auto" w:sz="2" w:space="0"/>
              <w:right w:val="single" w:color="auto" w:sz="2" w:space="0"/>
            </w:tcBorders>
            <w:vAlign w:val="center"/>
          </w:tcPr>
          <w:p w14:paraId="1CBA903C">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3A560A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20,800,854.72</w:t>
            </w:r>
          </w:p>
        </w:tc>
        <w:tc>
          <w:tcPr>
            <w:tcW w:w="1606" w:type="dxa"/>
            <w:tcBorders>
              <w:top w:val="single" w:color="auto" w:sz="2" w:space="0"/>
              <w:left w:val="single" w:color="auto" w:sz="2" w:space="0"/>
              <w:bottom w:val="single" w:color="auto" w:sz="2" w:space="0"/>
              <w:right w:val="single" w:color="auto" w:sz="2" w:space="0"/>
            </w:tcBorders>
            <w:vAlign w:val="center"/>
          </w:tcPr>
          <w:p w14:paraId="4DF94A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7.40%</w:t>
            </w:r>
          </w:p>
        </w:tc>
        <w:tc>
          <w:tcPr>
            <w:tcW w:w="1606" w:type="dxa"/>
            <w:tcBorders>
              <w:top w:val="single" w:color="auto" w:sz="2" w:space="0"/>
              <w:left w:val="single" w:color="auto" w:sz="2" w:space="0"/>
              <w:bottom w:val="single" w:color="auto" w:sz="2" w:space="0"/>
              <w:right w:val="single" w:color="auto" w:sz="2" w:space="0"/>
            </w:tcBorders>
            <w:vAlign w:val="center"/>
          </w:tcPr>
          <w:p w14:paraId="0C903C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2,080,085.47</w:t>
            </w:r>
          </w:p>
        </w:tc>
      </w:tr>
      <w:tr w14:paraId="079EDF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A9602C8">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客户d</w:t>
            </w:r>
          </w:p>
        </w:tc>
        <w:tc>
          <w:tcPr>
            <w:tcW w:w="1606" w:type="dxa"/>
            <w:tcBorders>
              <w:top w:val="single" w:color="auto" w:sz="2" w:space="0"/>
              <w:left w:val="single" w:color="auto" w:sz="2" w:space="0"/>
              <w:bottom w:val="single" w:color="auto" w:sz="2" w:space="0"/>
              <w:right w:val="single" w:color="auto" w:sz="2" w:space="0"/>
            </w:tcBorders>
            <w:vAlign w:val="center"/>
          </w:tcPr>
          <w:p w14:paraId="5490EA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19,267,262.02</w:t>
            </w:r>
          </w:p>
        </w:tc>
        <w:tc>
          <w:tcPr>
            <w:tcW w:w="1606" w:type="dxa"/>
            <w:tcBorders>
              <w:top w:val="single" w:color="auto" w:sz="2" w:space="0"/>
              <w:left w:val="single" w:color="auto" w:sz="2" w:space="0"/>
              <w:bottom w:val="single" w:color="auto" w:sz="2" w:space="0"/>
              <w:right w:val="single" w:color="auto" w:sz="2" w:space="0"/>
            </w:tcBorders>
            <w:vAlign w:val="center"/>
          </w:tcPr>
          <w:p w14:paraId="5B41D8DC">
            <w:pPr>
              <w:spacing w:line="240" w:lineRule="exact"/>
              <w:jc w:val="right"/>
              <w:rPr>
                <w:rFonts w:ascii="Times New Roman" w:hAnsi="Times New Roman" w:cs="Times New Roman" w:eastAsiaTheme="majorEastAsia"/>
                <w:sz w:val="18"/>
                <w:szCs w:val="18"/>
              </w:rPr>
            </w:pPr>
          </w:p>
        </w:tc>
        <w:tc>
          <w:tcPr>
            <w:tcW w:w="1606" w:type="dxa"/>
            <w:tcBorders>
              <w:top w:val="single" w:color="auto" w:sz="2" w:space="0"/>
              <w:left w:val="single" w:color="auto" w:sz="2" w:space="0"/>
              <w:bottom w:val="single" w:color="auto" w:sz="2" w:space="0"/>
              <w:right w:val="single" w:color="auto" w:sz="2" w:space="0"/>
            </w:tcBorders>
            <w:vAlign w:val="center"/>
          </w:tcPr>
          <w:p w14:paraId="0F8260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19,267,262.02</w:t>
            </w:r>
          </w:p>
        </w:tc>
        <w:tc>
          <w:tcPr>
            <w:tcW w:w="1606" w:type="dxa"/>
            <w:tcBorders>
              <w:top w:val="single" w:color="auto" w:sz="2" w:space="0"/>
              <w:left w:val="single" w:color="auto" w:sz="2" w:space="0"/>
              <w:bottom w:val="single" w:color="auto" w:sz="2" w:space="0"/>
              <w:right w:val="single" w:color="auto" w:sz="2" w:space="0"/>
            </w:tcBorders>
            <w:vAlign w:val="center"/>
          </w:tcPr>
          <w:p w14:paraId="482BB57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6.85%</w:t>
            </w:r>
          </w:p>
        </w:tc>
        <w:tc>
          <w:tcPr>
            <w:tcW w:w="1606" w:type="dxa"/>
            <w:tcBorders>
              <w:top w:val="single" w:color="auto" w:sz="2" w:space="0"/>
              <w:left w:val="single" w:color="auto" w:sz="2" w:space="0"/>
              <w:bottom w:val="single" w:color="auto" w:sz="2" w:space="0"/>
              <w:right w:val="single" w:color="auto" w:sz="2" w:space="0"/>
            </w:tcBorders>
            <w:vAlign w:val="center"/>
          </w:tcPr>
          <w:p w14:paraId="4F564CDE">
            <w:pPr>
              <w:spacing w:line="240" w:lineRule="exact"/>
              <w:jc w:val="right"/>
              <w:rPr>
                <w:rFonts w:ascii="Times New Roman" w:hAnsi="Times New Roman" w:cs="Times New Roman" w:eastAsiaTheme="majorEastAsia"/>
                <w:sz w:val="18"/>
                <w:szCs w:val="18"/>
              </w:rPr>
            </w:pPr>
          </w:p>
        </w:tc>
      </w:tr>
      <w:tr w14:paraId="6053CC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24AC214B">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客户e</w:t>
            </w:r>
          </w:p>
        </w:tc>
        <w:tc>
          <w:tcPr>
            <w:tcW w:w="1606" w:type="dxa"/>
            <w:tcBorders>
              <w:top w:val="single" w:color="auto" w:sz="2" w:space="0"/>
              <w:left w:val="single" w:color="auto" w:sz="2" w:space="0"/>
              <w:bottom w:val="single" w:color="auto" w:sz="2" w:space="0"/>
              <w:right w:val="single" w:color="auto" w:sz="2" w:space="0"/>
            </w:tcBorders>
            <w:vAlign w:val="center"/>
          </w:tcPr>
          <w:p w14:paraId="16E89D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13,389,845.00</w:t>
            </w:r>
          </w:p>
        </w:tc>
        <w:tc>
          <w:tcPr>
            <w:tcW w:w="1606" w:type="dxa"/>
            <w:tcBorders>
              <w:top w:val="single" w:color="auto" w:sz="2" w:space="0"/>
              <w:left w:val="single" w:color="auto" w:sz="2" w:space="0"/>
              <w:bottom w:val="single" w:color="auto" w:sz="2" w:space="0"/>
              <w:right w:val="single" w:color="auto" w:sz="2" w:space="0"/>
            </w:tcBorders>
            <w:vAlign w:val="center"/>
          </w:tcPr>
          <w:p w14:paraId="6616A7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1,005,685.00</w:t>
            </w:r>
          </w:p>
        </w:tc>
        <w:tc>
          <w:tcPr>
            <w:tcW w:w="1606" w:type="dxa"/>
            <w:tcBorders>
              <w:top w:val="single" w:color="auto" w:sz="2" w:space="0"/>
              <w:left w:val="single" w:color="auto" w:sz="2" w:space="0"/>
              <w:bottom w:val="single" w:color="auto" w:sz="2" w:space="0"/>
              <w:right w:val="single" w:color="auto" w:sz="2" w:space="0"/>
            </w:tcBorders>
            <w:vAlign w:val="center"/>
          </w:tcPr>
          <w:p w14:paraId="4AB6131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14,395,530.00</w:t>
            </w:r>
          </w:p>
        </w:tc>
        <w:tc>
          <w:tcPr>
            <w:tcW w:w="1606" w:type="dxa"/>
            <w:tcBorders>
              <w:top w:val="single" w:color="auto" w:sz="2" w:space="0"/>
              <w:left w:val="single" w:color="auto" w:sz="2" w:space="0"/>
              <w:bottom w:val="single" w:color="auto" w:sz="2" w:space="0"/>
              <w:right w:val="single" w:color="auto" w:sz="2" w:space="0"/>
            </w:tcBorders>
            <w:vAlign w:val="center"/>
          </w:tcPr>
          <w:p w14:paraId="6A18DD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5.12%</w:t>
            </w:r>
          </w:p>
        </w:tc>
        <w:tc>
          <w:tcPr>
            <w:tcW w:w="1606" w:type="dxa"/>
            <w:tcBorders>
              <w:top w:val="single" w:color="auto" w:sz="2" w:space="0"/>
              <w:left w:val="single" w:color="auto" w:sz="2" w:space="0"/>
              <w:bottom w:val="single" w:color="auto" w:sz="2" w:space="0"/>
              <w:right w:val="single" w:color="auto" w:sz="2" w:space="0"/>
            </w:tcBorders>
            <w:vAlign w:val="center"/>
          </w:tcPr>
          <w:p w14:paraId="41D37B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720,370.82</w:t>
            </w:r>
          </w:p>
        </w:tc>
      </w:tr>
      <w:tr w14:paraId="7221B4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C06F5C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vAlign w:val="center"/>
          </w:tcPr>
          <w:p w14:paraId="426218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125,363,225.90</w:t>
            </w:r>
          </w:p>
        </w:tc>
        <w:tc>
          <w:tcPr>
            <w:tcW w:w="1606" w:type="dxa"/>
            <w:tcBorders>
              <w:top w:val="single" w:color="auto" w:sz="2" w:space="0"/>
              <w:left w:val="single" w:color="auto" w:sz="2" w:space="0"/>
              <w:bottom w:val="single" w:color="auto" w:sz="2" w:space="0"/>
              <w:right w:val="single" w:color="auto" w:sz="2" w:space="0"/>
            </w:tcBorders>
            <w:vAlign w:val="center"/>
          </w:tcPr>
          <w:p w14:paraId="34E93EF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3,495,028.85</w:t>
            </w:r>
          </w:p>
        </w:tc>
        <w:tc>
          <w:tcPr>
            <w:tcW w:w="1606" w:type="dxa"/>
            <w:tcBorders>
              <w:top w:val="single" w:color="auto" w:sz="2" w:space="0"/>
              <w:left w:val="single" w:color="auto" w:sz="2" w:space="0"/>
              <w:bottom w:val="single" w:color="auto" w:sz="2" w:space="0"/>
              <w:right w:val="single" w:color="auto" w:sz="2" w:space="0"/>
            </w:tcBorders>
            <w:vAlign w:val="center"/>
          </w:tcPr>
          <w:p w14:paraId="649E76A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128,858,254.75</w:t>
            </w:r>
          </w:p>
        </w:tc>
        <w:tc>
          <w:tcPr>
            <w:tcW w:w="1606" w:type="dxa"/>
            <w:tcBorders>
              <w:top w:val="single" w:color="auto" w:sz="2" w:space="0"/>
              <w:left w:val="single" w:color="auto" w:sz="2" w:space="0"/>
              <w:bottom w:val="single" w:color="auto" w:sz="2" w:space="0"/>
              <w:right w:val="single" w:color="auto" w:sz="2" w:space="0"/>
            </w:tcBorders>
            <w:vAlign w:val="center"/>
          </w:tcPr>
          <w:p w14:paraId="412653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45.83%</w:t>
            </w:r>
          </w:p>
        </w:tc>
        <w:tc>
          <w:tcPr>
            <w:tcW w:w="1606" w:type="dxa"/>
            <w:tcBorders>
              <w:top w:val="single" w:color="auto" w:sz="2" w:space="0"/>
              <w:left w:val="single" w:color="auto" w:sz="2" w:space="0"/>
              <w:bottom w:val="single" w:color="auto" w:sz="2" w:space="0"/>
              <w:right w:val="single" w:color="auto" w:sz="2" w:space="0"/>
            </w:tcBorders>
            <w:vAlign w:val="center"/>
          </w:tcPr>
          <w:p w14:paraId="0AFE7FC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29,844,158.16</w:t>
            </w:r>
          </w:p>
        </w:tc>
      </w:tr>
    </w:tbl>
    <w:p w14:paraId="22BB42E7">
      <w:pPr>
        <w:pStyle w:val="3"/>
        <w:spacing w:line="280" w:lineRule="exact"/>
        <w:jc w:val="left"/>
        <w:rPr>
          <w:rFonts w:ascii="Times New Roman" w:hAnsi="Times New Roman" w:cs="Times New Roman" w:eastAsiaTheme="majorEastAsia"/>
          <w:b/>
          <w:bCs/>
        </w:rPr>
      </w:pPr>
      <w:bookmarkStart w:id="491" w:name="_Toc989383"/>
      <w:r>
        <w:rPr>
          <w:rFonts w:ascii="Times New Roman" w:hAnsi="Times New Roman" w:cs="Times New Roman" w:eastAsiaTheme="majorEastAsia"/>
          <w:b/>
          <w:bCs/>
        </w:rPr>
        <w:t>2、其他应收款</w:t>
      </w:r>
      <w:bookmarkEnd w:id="491"/>
    </w:p>
    <w:p w14:paraId="01BA31EE">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717DFA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A539E9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97B4DC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7BB819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37453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1DFD2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w:t>
            </w:r>
          </w:p>
        </w:tc>
        <w:tc>
          <w:tcPr>
            <w:tcW w:w="3213" w:type="dxa"/>
            <w:tcBorders>
              <w:top w:val="single" w:color="auto" w:sz="2" w:space="0"/>
              <w:left w:val="single" w:color="auto" w:sz="2" w:space="0"/>
              <w:bottom w:val="single" w:color="auto" w:sz="2" w:space="0"/>
              <w:right w:val="single" w:color="auto" w:sz="2" w:space="0"/>
            </w:tcBorders>
            <w:vAlign w:val="center"/>
          </w:tcPr>
          <w:p w14:paraId="46C4E8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88,855,492.30</w:t>
            </w:r>
          </w:p>
        </w:tc>
        <w:tc>
          <w:tcPr>
            <w:tcW w:w="3213" w:type="dxa"/>
            <w:tcBorders>
              <w:top w:val="single" w:color="auto" w:sz="2" w:space="0"/>
              <w:left w:val="single" w:color="auto" w:sz="2" w:space="0"/>
              <w:bottom w:val="single" w:color="auto" w:sz="2" w:space="0"/>
              <w:right w:val="single" w:color="auto" w:sz="2" w:space="0"/>
            </w:tcBorders>
            <w:vAlign w:val="center"/>
          </w:tcPr>
          <w:p w14:paraId="183DF0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64,975,199.68</w:t>
            </w:r>
          </w:p>
        </w:tc>
      </w:tr>
      <w:tr w14:paraId="331EC89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5DFEC7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085FD59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88,855,492.30</w:t>
            </w:r>
          </w:p>
        </w:tc>
        <w:tc>
          <w:tcPr>
            <w:tcW w:w="3213" w:type="dxa"/>
            <w:tcBorders>
              <w:top w:val="single" w:color="auto" w:sz="2" w:space="0"/>
              <w:left w:val="single" w:color="auto" w:sz="2" w:space="0"/>
              <w:bottom w:val="single" w:color="auto" w:sz="2" w:space="0"/>
              <w:right w:val="single" w:color="auto" w:sz="2" w:space="0"/>
            </w:tcBorders>
            <w:vAlign w:val="center"/>
          </w:tcPr>
          <w:p w14:paraId="24BDDE1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64,975,199.68</w:t>
            </w:r>
          </w:p>
        </w:tc>
      </w:tr>
    </w:tbl>
    <w:p w14:paraId="23F59275">
      <w:pPr>
        <w:keepNext/>
        <w:keepLines/>
        <w:spacing w:before="300" w:after="300" w:line="280" w:lineRule="exact"/>
        <w:outlineLvl w:val="3"/>
        <w:rPr>
          <w:rFonts w:ascii="Times New Roman" w:hAnsi="Times New Roman" w:cs="Times New Roman" w:eastAsiaTheme="majorEastAsia"/>
          <w:b/>
          <w:bCs/>
          <w:sz w:val="18"/>
          <w:szCs w:val="18"/>
        </w:rPr>
      </w:pPr>
      <w:bookmarkStart w:id="492" w:name="_Toc989384"/>
      <w:r>
        <w:rPr>
          <w:rFonts w:ascii="Times New Roman" w:hAnsi="Times New Roman" w:cs="Times New Roman" w:eastAsiaTheme="majorEastAsia"/>
          <w:b/>
          <w:bCs/>
          <w:sz w:val="18"/>
          <w:szCs w:val="18"/>
        </w:rPr>
        <w:t>（1） 应收利息</w:t>
      </w:r>
      <w:bookmarkEnd w:id="492"/>
    </w:p>
    <w:p w14:paraId="42227FC6">
      <w:pPr>
        <w:keepNext/>
        <w:keepLines/>
        <w:spacing w:before="300" w:after="300" w:line="280" w:lineRule="exact"/>
        <w:outlineLvl w:val="4"/>
        <w:rPr>
          <w:rFonts w:ascii="Times New Roman" w:hAnsi="Times New Roman" w:cs="Times New Roman" w:eastAsiaTheme="majorEastAsia"/>
          <w:b/>
          <w:bCs/>
          <w:sz w:val="18"/>
          <w:szCs w:val="18"/>
        </w:rPr>
      </w:pPr>
      <w:bookmarkStart w:id="493" w:name="_Toc989385"/>
      <w:r>
        <w:rPr>
          <w:rFonts w:ascii="Times New Roman" w:hAnsi="Times New Roman" w:cs="Times New Roman" w:eastAsiaTheme="majorEastAsia"/>
          <w:b/>
          <w:bCs/>
          <w:sz w:val="18"/>
          <w:szCs w:val="18"/>
        </w:rPr>
        <w:t>1） 应收利息分类</w:t>
      </w:r>
      <w:bookmarkEnd w:id="493"/>
    </w:p>
    <w:p w14:paraId="4C078EB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3B3873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644471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97AFE2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D517A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bl>
    <w:p w14:paraId="0E054D78">
      <w:pPr>
        <w:keepNext/>
        <w:keepLines/>
        <w:spacing w:before="300" w:after="300" w:line="280" w:lineRule="exact"/>
        <w:outlineLvl w:val="4"/>
        <w:rPr>
          <w:rFonts w:ascii="Times New Roman" w:hAnsi="Times New Roman" w:cs="Times New Roman" w:eastAsiaTheme="majorEastAsia"/>
          <w:b/>
          <w:bCs/>
          <w:sz w:val="18"/>
          <w:szCs w:val="18"/>
        </w:rPr>
      </w:pPr>
      <w:bookmarkStart w:id="494" w:name="_Toc989386"/>
      <w:r>
        <w:rPr>
          <w:rFonts w:ascii="Times New Roman" w:hAnsi="Times New Roman" w:cs="Times New Roman" w:eastAsiaTheme="majorEastAsia"/>
          <w:b/>
          <w:bCs/>
          <w:sz w:val="18"/>
          <w:szCs w:val="18"/>
        </w:rPr>
        <w:t>2） 重要逾期利息</w:t>
      </w:r>
      <w:bookmarkEnd w:id="494"/>
    </w:p>
    <w:p w14:paraId="18DF1A6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69DA7BE">
      <w:pPr>
        <w:keepNext/>
        <w:keepLines/>
        <w:spacing w:before="300" w:after="300" w:line="280" w:lineRule="exact"/>
        <w:outlineLvl w:val="4"/>
        <w:rPr>
          <w:rFonts w:ascii="Times New Roman" w:hAnsi="Times New Roman" w:cs="Times New Roman" w:eastAsiaTheme="majorEastAsia"/>
          <w:b/>
          <w:bCs/>
          <w:sz w:val="18"/>
          <w:szCs w:val="18"/>
        </w:rPr>
      </w:pPr>
      <w:bookmarkStart w:id="495" w:name="_Toc989387"/>
      <w:r>
        <w:rPr>
          <w:rFonts w:ascii="Times New Roman" w:hAnsi="Times New Roman" w:cs="Times New Roman" w:eastAsiaTheme="majorEastAsia"/>
          <w:b/>
          <w:bCs/>
          <w:sz w:val="18"/>
          <w:szCs w:val="18"/>
        </w:rPr>
        <w:t>3） 按坏账计提方法分类披露</w:t>
      </w:r>
      <w:bookmarkEnd w:id="495"/>
    </w:p>
    <w:p w14:paraId="018E5603">
      <w:pPr>
        <w:spacing w:before="40" w:after="4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A90418E">
      <w:pPr>
        <w:keepNext/>
        <w:keepLines/>
        <w:spacing w:before="300" w:after="300" w:line="280" w:lineRule="exact"/>
        <w:outlineLvl w:val="4"/>
        <w:rPr>
          <w:rFonts w:ascii="Times New Roman" w:hAnsi="Times New Roman" w:cs="Times New Roman" w:eastAsiaTheme="majorEastAsia"/>
          <w:b/>
          <w:bCs/>
          <w:sz w:val="18"/>
          <w:szCs w:val="18"/>
        </w:rPr>
      </w:pPr>
      <w:bookmarkStart w:id="496" w:name="_Toc989388"/>
      <w:r>
        <w:rPr>
          <w:rFonts w:ascii="Times New Roman" w:hAnsi="Times New Roman" w:cs="Times New Roman" w:eastAsiaTheme="majorEastAsia"/>
          <w:b/>
          <w:bCs/>
          <w:sz w:val="18"/>
          <w:szCs w:val="18"/>
        </w:rPr>
        <w:t>4） 本期计提、收回或转回的坏账准备的情况</w:t>
      </w:r>
      <w:bookmarkEnd w:id="496"/>
    </w:p>
    <w:p w14:paraId="5A25965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E00C8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19D496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C5C8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01C7786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CB01D3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681849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AB669CB">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E9EA430">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EFA865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69F79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0D07B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F2D97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3060C29">
            <w:pPr>
              <w:rPr>
                <w:rFonts w:ascii="Times New Roman" w:hAnsi="Times New Roman" w:cs="Times New Roman" w:eastAsiaTheme="majorEastAsia"/>
              </w:rPr>
            </w:pPr>
          </w:p>
        </w:tc>
      </w:tr>
    </w:tbl>
    <w:p w14:paraId="4181735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p>
    <w:p w14:paraId="7AE8BD0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693495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B0B02B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11C1E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A37A2A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01BF7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7B15CD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确定原坏账准备计提比例的依据及其合理性</w:t>
            </w:r>
          </w:p>
        </w:tc>
      </w:tr>
    </w:tbl>
    <w:p w14:paraId="6DCD74C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024FCEB1">
      <w:pPr>
        <w:keepNext/>
        <w:keepLines/>
        <w:spacing w:before="300" w:after="300" w:line="280" w:lineRule="exact"/>
        <w:outlineLvl w:val="4"/>
        <w:rPr>
          <w:rFonts w:ascii="Times New Roman" w:hAnsi="Times New Roman" w:cs="Times New Roman" w:eastAsiaTheme="majorEastAsia"/>
          <w:b/>
          <w:bCs/>
          <w:sz w:val="18"/>
          <w:szCs w:val="18"/>
        </w:rPr>
      </w:pPr>
      <w:bookmarkStart w:id="497" w:name="_Toc989389"/>
      <w:r>
        <w:rPr>
          <w:rFonts w:ascii="Times New Roman" w:hAnsi="Times New Roman" w:cs="Times New Roman" w:eastAsiaTheme="majorEastAsia"/>
          <w:b/>
          <w:bCs/>
          <w:sz w:val="18"/>
          <w:szCs w:val="18"/>
        </w:rPr>
        <w:t>5） 本期实际核销的应收利息情况</w:t>
      </w:r>
      <w:bookmarkEnd w:id="497"/>
    </w:p>
    <w:p w14:paraId="141F6687">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3A7EEE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07D8F6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75B1E48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r>
    </w:tbl>
    <w:p w14:paraId="27CEA43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其中重要的应收利息核销情况</w:t>
      </w:r>
    </w:p>
    <w:p w14:paraId="6AA1DBAF">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628A44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85F373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126FA0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46F1E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952C80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A006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7BB87C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款项是否由关联交易产生</w:t>
            </w:r>
          </w:p>
        </w:tc>
      </w:tr>
    </w:tbl>
    <w:p w14:paraId="26F5788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核销说明：</w:t>
      </w:r>
      <w:r>
        <w:rPr>
          <w:rFonts w:hint="eastAsia" w:ascii="Times New Roman" w:hAnsi="Times New Roman" w:cs="Times New Roman" w:eastAsiaTheme="majorEastAsia"/>
          <w:sz w:val="18"/>
          <w:szCs w:val="18"/>
        </w:rPr>
        <w:t>不适用。</w:t>
      </w:r>
    </w:p>
    <w:p w14:paraId="2C506AE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不适用。</w:t>
      </w:r>
    </w:p>
    <w:p w14:paraId="24EC61A2">
      <w:pPr>
        <w:keepNext/>
        <w:keepLines/>
        <w:spacing w:before="300" w:after="300" w:line="280" w:lineRule="exact"/>
        <w:outlineLvl w:val="3"/>
        <w:rPr>
          <w:rFonts w:ascii="Times New Roman" w:hAnsi="Times New Roman" w:cs="Times New Roman" w:eastAsiaTheme="majorEastAsia"/>
          <w:b/>
          <w:bCs/>
          <w:sz w:val="18"/>
          <w:szCs w:val="18"/>
        </w:rPr>
      </w:pPr>
      <w:bookmarkStart w:id="498" w:name="_Toc989390"/>
      <w:r>
        <w:rPr>
          <w:rFonts w:ascii="Times New Roman" w:hAnsi="Times New Roman" w:cs="Times New Roman" w:eastAsiaTheme="majorEastAsia"/>
          <w:b/>
          <w:bCs/>
          <w:sz w:val="18"/>
          <w:szCs w:val="18"/>
        </w:rPr>
        <w:t>（2） 应收股利</w:t>
      </w:r>
      <w:bookmarkEnd w:id="498"/>
    </w:p>
    <w:p w14:paraId="5EE79D67">
      <w:pPr>
        <w:keepNext/>
        <w:keepLines/>
        <w:spacing w:before="300" w:after="300" w:line="280" w:lineRule="exact"/>
        <w:outlineLvl w:val="4"/>
        <w:rPr>
          <w:rFonts w:ascii="Times New Roman" w:hAnsi="Times New Roman" w:cs="Times New Roman" w:eastAsiaTheme="majorEastAsia"/>
          <w:b/>
          <w:bCs/>
          <w:sz w:val="18"/>
          <w:szCs w:val="18"/>
        </w:rPr>
      </w:pPr>
      <w:bookmarkStart w:id="499" w:name="_Toc989391"/>
      <w:r>
        <w:rPr>
          <w:rFonts w:ascii="Times New Roman" w:hAnsi="Times New Roman" w:cs="Times New Roman" w:eastAsiaTheme="majorEastAsia"/>
          <w:b/>
          <w:bCs/>
          <w:sz w:val="18"/>
          <w:szCs w:val="18"/>
        </w:rPr>
        <w:t>1） 应收股利分类</w:t>
      </w:r>
      <w:bookmarkEnd w:id="499"/>
    </w:p>
    <w:p w14:paraId="6F5557DA">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1A0E07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5AD3E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项目(或被投资单位)</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1EAE4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19DC4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bl>
    <w:p w14:paraId="6E5543FB">
      <w:pPr>
        <w:keepNext/>
        <w:keepLines/>
        <w:spacing w:before="300" w:after="300" w:line="280" w:lineRule="exact"/>
        <w:outlineLvl w:val="4"/>
        <w:rPr>
          <w:rFonts w:ascii="Times New Roman" w:hAnsi="Times New Roman" w:cs="Times New Roman" w:eastAsiaTheme="majorEastAsia"/>
          <w:b/>
          <w:bCs/>
          <w:sz w:val="18"/>
          <w:szCs w:val="18"/>
        </w:rPr>
      </w:pPr>
      <w:bookmarkStart w:id="500" w:name="_Toc989392"/>
      <w:r>
        <w:rPr>
          <w:rFonts w:ascii="Times New Roman" w:hAnsi="Times New Roman" w:cs="Times New Roman" w:eastAsiaTheme="majorEastAsia"/>
          <w:b/>
          <w:bCs/>
          <w:sz w:val="18"/>
          <w:szCs w:val="18"/>
        </w:rPr>
        <w:t>2） 重要的账龄超过1年的应收股利</w:t>
      </w:r>
      <w:bookmarkEnd w:id="500"/>
    </w:p>
    <w:p w14:paraId="094F7C4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A7FD8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DF2F0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项目(或被投资单位)</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9665EE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58C19C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55DA7E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未收回的原因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83AD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是否发生减值及其判断依据</w:t>
            </w:r>
          </w:p>
        </w:tc>
      </w:tr>
    </w:tbl>
    <w:p w14:paraId="40061152">
      <w:pPr>
        <w:keepNext/>
        <w:keepLines/>
        <w:spacing w:before="300" w:after="300" w:line="280" w:lineRule="exact"/>
        <w:outlineLvl w:val="4"/>
        <w:rPr>
          <w:rFonts w:ascii="Times New Roman" w:hAnsi="Times New Roman" w:cs="Times New Roman" w:eastAsiaTheme="majorEastAsia"/>
          <w:b/>
          <w:bCs/>
          <w:sz w:val="18"/>
          <w:szCs w:val="18"/>
        </w:rPr>
      </w:pPr>
      <w:bookmarkStart w:id="501" w:name="_Toc989393"/>
      <w:r>
        <w:rPr>
          <w:rFonts w:ascii="Times New Roman" w:hAnsi="Times New Roman" w:cs="Times New Roman" w:eastAsiaTheme="majorEastAsia"/>
          <w:b/>
          <w:bCs/>
          <w:sz w:val="18"/>
          <w:szCs w:val="18"/>
        </w:rPr>
        <w:t>3） 按坏账计提方法分类披露</w:t>
      </w:r>
      <w:bookmarkEnd w:id="501"/>
    </w:p>
    <w:p w14:paraId="2FD83113">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700CB981">
      <w:pPr>
        <w:keepNext/>
        <w:keepLines/>
        <w:spacing w:before="300" w:after="300" w:line="280" w:lineRule="exact"/>
        <w:outlineLvl w:val="4"/>
        <w:rPr>
          <w:rFonts w:ascii="Times New Roman" w:hAnsi="Times New Roman" w:cs="Times New Roman" w:eastAsiaTheme="majorEastAsia"/>
          <w:b/>
          <w:bCs/>
          <w:szCs w:val="21"/>
        </w:rPr>
      </w:pPr>
      <w:bookmarkStart w:id="502" w:name="_Toc989394"/>
      <w:r>
        <w:rPr>
          <w:rFonts w:ascii="Times New Roman" w:hAnsi="Times New Roman" w:cs="Times New Roman" w:eastAsiaTheme="majorEastAsia"/>
          <w:b/>
          <w:bCs/>
          <w:szCs w:val="21"/>
        </w:rPr>
        <w:t>4） 本期计提、收回或转回的坏账准备的情况</w:t>
      </w:r>
      <w:bookmarkEnd w:id="502"/>
    </w:p>
    <w:p w14:paraId="6DB12FF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73D5DF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A39C15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17A0C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481DC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4DEB68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6228A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F1ACDC2">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E8894D">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DA7260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B14806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7095D65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310F79B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其他变动</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A18BF0A">
            <w:pPr>
              <w:rPr>
                <w:rFonts w:ascii="Times New Roman" w:hAnsi="Times New Roman" w:cs="Times New Roman" w:eastAsiaTheme="majorEastAsia"/>
              </w:rPr>
            </w:pPr>
          </w:p>
        </w:tc>
      </w:tr>
    </w:tbl>
    <w:p w14:paraId="7079FF53">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其中本期坏账准备收回或转回金额重要的：</w:t>
      </w:r>
    </w:p>
    <w:p w14:paraId="07F0F08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84"/>
        <w:gridCol w:w="1418"/>
        <w:gridCol w:w="2693"/>
        <w:gridCol w:w="1417"/>
        <w:gridCol w:w="2727"/>
      </w:tblGrid>
      <w:tr w14:paraId="4B664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384" w:type="dxa"/>
            <w:tcBorders>
              <w:top w:val="single" w:color="auto" w:sz="2" w:space="0"/>
              <w:left w:val="single" w:color="auto" w:sz="2" w:space="0"/>
              <w:bottom w:val="single" w:color="auto" w:sz="2" w:space="0"/>
              <w:right w:val="single" w:color="auto" w:sz="2" w:space="0"/>
            </w:tcBorders>
            <w:shd w:val="clear" w:color="auto" w:fill="D3D3D3"/>
            <w:vAlign w:val="center"/>
          </w:tcPr>
          <w:p w14:paraId="1EDF7B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418" w:type="dxa"/>
            <w:tcBorders>
              <w:top w:val="single" w:color="auto" w:sz="2" w:space="0"/>
              <w:left w:val="single" w:color="auto" w:sz="2" w:space="0"/>
              <w:bottom w:val="single" w:color="auto" w:sz="2" w:space="0"/>
              <w:right w:val="single" w:color="auto" w:sz="2" w:space="0"/>
            </w:tcBorders>
            <w:shd w:val="clear" w:color="auto" w:fill="D3D3D3"/>
            <w:vAlign w:val="center"/>
          </w:tcPr>
          <w:p w14:paraId="6ED96DF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收回或转回金额</w:t>
            </w:r>
          </w:p>
        </w:tc>
        <w:tc>
          <w:tcPr>
            <w:tcW w:w="2693" w:type="dxa"/>
            <w:tcBorders>
              <w:top w:val="single" w:color="auto" w:sz="2" w:space="0"/>
              <w:left w:val="single" w:color="auto" w:sz="2" w:space="0"/>
              <w:bottom w:val="single" w:color="auto" w:sz="2" w:space="0"/>
              <w:right w:val="single" w:color="auto" w:sz="2" w:space="0"/>
            </w:tcBorders>
            <w:shd w:val="clear" w:color="auto" w:fill="D3D3D3"/>
            <w:vAlign w:val="center"/>
          </w:tcPr>
          <w:p w14:paraId="6973EF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转回原因</w:t>
            </w:r>
          </w:p>
        </w:tc>
        <w:tc>
          <w:tcPr>
            <w:tcW w:w="1417" w:type="dxa"/>
            <w:tcBorders>
              <w:top w:val="single" w:color="auto" w:sz="2" w:space="0"/>
              <w:left w:val="single" w:color="auto" w:sz="2" w:space="0"/>
              <w:bottom w:val="single" w:color="auto" w:sz="2" w:space="0"/>
              <w:right w:val="single" w:color="auto" w:sz="2" w:space="0"/>
            </w:tcBorders>
            <w:shd w:val="clear" w:color="auto" w:fill="D3D3D3"/>
            <w:vAlign w:val="center"/>
          </w:tcPr>
          <w:p w14:paraId="7766A5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收回方式</w:t>
            </w:r>
          </w:p>
        </w:tc>
        <w:tc>
          <w:tcPr>
            <w:tcW w:w="2727" w:type="dxa"/>
            <w:tcBorders>
              <w:top w:val="single" w:color="auto" w:sz="2" w:space="0"/>
              <w:left w:val="single" w:color="auto" w:sz="2" w:space="0"/>
              <w:bottom w:val="single" w:color="auto" w:sz="2" w:space="0"/>
              <w:right w:val="single" w:color="auto" w:sz="2" w:space="0"/>
            </w:tcBorders>
            <w:shd w:val="clear" w:color="auto" w:fill="D3D3D3"/>
            <w:vAlign w:val="center"/>
          </w:tcPr>
          <w:p w14:paraId="09457C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确定原坏账准备计提比例的依据及其合理性</w:t>
            </w:r>
          </w:p>
        </w:tc>
      </w:tr>
    </w:tbl>
    <w:p w14:paraId="36BBFDA0">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6469B71">
      <w:pPr>
        <w:keepNext/>
        <w:keepLines/>
        <w:spacing w:before="300" w:after="300" w:line="280" w:lineRule="exact"/>
        <w:outlineLvl w:val="4"/>
        <w:rPr>
          <w:rFonts w:ascii="Times New Roman" w:hAnsi="Times New Roman" w:cs="Times New Roman" w:eastAsiaTheme="majorEastAsia"/>
          <w:b/>
          <w:bCs/>
          <w:szCs w:val="21"/>
        </w:rPr>
      </w:pPr>
      <w:bookmarkStart w:id="503" w:name="_Toc989395"/>
      <w:r>
        <w:rPr>
          <w:rFonts w:ascii="Times New Roman" w:hAnsi="Times New Roman" w:cs="Times New Roman" w:eastAsiaTheme="majorEastAsia"/>
          <w:b/>
          <w:bCs/>
          <w:szCs w:val="21"/>
        </w:rPr>
        <w:t>5） 本期实际核销的应收股利情况</w:t>
      </w:r>
      <w:bookmarkEnd w:id="503"/>
    </w:p>
    <w:p w14:paraId="0D4125D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495"/>
        <w:gridCol w:w="4144"/>
      </w:tblGrid>
      <w:tr w14:paraId="623A6B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495" w:type="dxa"/>
            <w:tcBorders>
              <w:top w:val="single" w:color="auto" w:sz="2" w:space="0"/>
              <w:left w:val="single" w:color="auto" w:sz="2" w:space="0"/>
              <w:bottom w:val="single" w:color="auto" w:sz="2" w:space="0"/>
              <w:right w:val="single" w:color="auto" w:sz="2" w:space="0"/>
            </w:tcBorders>
            <w:shd w:val="clear" w:color="auto" w:fill="D3D3D3"/>
            <w:vAlign w:val="center"/>
          </w:tcPr>
          <w:p w14:paraId="4FFAAE5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144" w:type="dxa"/>
            <w:tcBorders>
              <w:top w:val="single" w:color="auto" w:sz="2" w:space="0"/>
              <w:left w:val="single" w:color="auto" w:sz="2" w:space="0"/>
              <w:bottom w:val="single" w:color="auto" w:sz="2" w:space="0"/>
              <w:right w:val="single" w:color="auto" w:sz="2" w:space="0"/>
            </w:tcBorders>
            <w:shd w:val="clear" w:color="auto" w:fill="D3D3D3"/>
            <w:vAlign w:val="center"/>
          </w:tcPr>
          <w:p w14:paraId="07E81A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r>
    </w:tbl>
    <w:p w14:paraId="05D2390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其中重要的应收股利核销情况</w:t>
      </w:r>
    </w:p>
    <w:p w14:paraId="6224429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67C02D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FCBA2E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97B127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05846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2C2E91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11DBAE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8123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款项是否由关联交易产生</w:t>
            </w:r>
          </w:p>
        </w:tc>
      </w:tr>
    </w:tbl>
    <w:p w14:paraId="6034B66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核销说明：</w:t>
      </w:r>
      <w:r>
        <w:rPr>
          <w:rFonts w:hint="eastAsia" w:ascii="Times New Roman" w:hAnsi="Times New Roman" w:cs="Times New Roman" w:eastAsiaTheme="majorEastAsia"/>
          <w:sz w:val="18"/>
          <w:szCs w:val="18"/>
        </w:rPr>
        <w:t>不适用。</w:t>
      </w:r>
    </w:p>
    <w:p w14:paraId="255ABCDE">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不适用。</w:t>
      </w:r>
    </w:p>
    <w:p w14:paraId="3C732476">
      <w:pPr>
        <w:keepNext/>
        <w:keepLines/>
        <w:spacing w:before="300" w:after="300" w:line="280" w:lineRule="exact"/>
        <w:outlineLvl w:val="3"/>
        <w:rPr>
          <w:rFonts w:ascii="Times New Roman" w:hAnsi="Times New Roman" w:cs="Times New Roman" w:eastAsiaTheme="majorEastAsia"/>
          <w:b/>
          <w:bCs/>
          <w:sz w:val="18"/>
          <w:szCs w:val="18"/>
        </w:rPr>
      </w:pPr>
      <w:bookmarkStart w:id="504" w:name="_Toc989396"/>
      <w:r>
        <w:rPr>
          <w:rFonts w:ascii="Times New Roman" w:hAnsi="Times New Roman" w:cs="Times New Roman" w:eastAsiaTheme="majorEastAsia"/>
          <w:b/>
          <w:bCs/>
          <w:sz w:val="18"/>
          <w:szCs w:val="18"/>
        </w:rPr>
        <w:t>（3） 其他应收款</w:t>
      </w:r>
      <w:bookmarkEnd w:id="504"/>
    </w:p>
    <w:p w14:paraId="2D814FC6">
      <w:pPr>
        <w:keepNext/>
        <w:keepLines/>
        <w:spacing w:before="300" w:after="300" w:line="280" w:lineRule="exact"/>
        <w:outlineLvl w:val="4"/>
        <w:rPr>
          <w:rFonts w:ascii="Times New Roman" w:hAnsi="Times New Roman" w:cs="Times New Roman" w:eastAsiaTheme="majorEastAsia"/>
          <w:b/>
          <w:bCs/>
          <w:sz w:val="18"/>
          <w:szCs w:val="18"/>
        </w:rPr>
      </w:pPr>
      <w:bookmarkStart w:id="505" w:name="_Toc989397"/>
      <w:r>
        <w:rPr>
          <w:rFonts w:ascii="Times New Roman" w:hAnsi="Times New Roman" w:cs="Times New Roman" w:eastAsiaTheme="majorEastAsia"/>
          <w:b/>
          <w:bCs/>
          <w:sz w:val="18"/>
          <w:szCs w:val="18"/>
        </w:rPr>
        <w:t>1） 其他应收款按款项性质分类情况</w:t>
      </w:r>
      <w:bookmarkEnd w:id="505"/>
    </w:p>
    <w:p w14:paraId="093DB1F0">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0DD03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77928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款项性质</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C7DA54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8CBF1E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794DD9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F3A2C8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内部往来</w:t>
            </w:r>
          </w:p>
        </w:tc>
        <w:tc>
          <w:tcPr>
            <w:tcW w:w="3213" w:type="dxa"/>
            <w:tcBorders>
              <w:top w:val="single" w:color="auto" w:sz="2" w:space="0"/>
              <w:left w:val="single" w:color="auto" w:sz="2" w:space="0"/>
              <w:bottom w:val="single" w:color="auto" w:sz="2" w:space="0"/>
              <w:right w:val="single" w:color="auto" w:sz="2" w:space="0"/>
            </w:tcBorders>
            <w:vAlign w:val="center"/>
          </w:tcPr>
          <w:p w14:paraId="64F4A8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87,144,705.81</w:t>
            </w:r>
          </w:p>
        </w:tc>
        <w:tc>
          <w:tcPr>
            <w:tcW w:w="3213" w:type="dxa"/>
            <w:tcBorders>
              <w:top w:val="single" w:color="auto" w:sz="2" w:space="0"/>
              <w:left w:val="single" w:color="auto" w:sz="2" w:space="0"/>
              <w:bottom w:val="single" w:color="auto" w:sz="2" w:space="0"/>
              <w:right w:val="single" w:color="auto" w:sz="2" w:space="0"/>
            </w:tcBorders>
            <w:vAlign w:val="center"/>
          </w:tcPr>
          <w:p w14:paraId="696C63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62,393,383.11</w:t>
            </w:r>
          </w:p>
        </w:tc>
      </w:tr>
      <w:tr w14:paraId="746E64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05194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押金保证金</w:t>
            </w:r>
          </w:p>
        </w:tc>
        <w:tc>
          <w:tcPr>
            <w:tcW w:w="3213" w:type="dxa"/>
            <w:tcBorders>
              <w:top w:val="single" w:color="auto" w:sz="2" w:space="0"/>
              <w:left w:val="single" w:color="auto" w:sz="2" w:space="0"/>
              <w:bottom w:val="single" w:color="auto" w:sz="2" w:space="0"/>
              <w:right w:val="single" w:color="auto" w:sz="2" w:space="0"/>
            </w:tcBorders>
            <w:vAlign w:val="center"/>
          </w:tcPr>
          <w:p w14:paraId="233C4FB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1,369,865.66</w:t>
            </w:r>
          </w:p>
        </w:tc>
        <w:tc>
          <w:tcPr>
            <w:tcW w:w="3213" w:type="dxa"/>
            <w:tcBorders>
              <w:top w:val="single" w:color="auto" w:sz="2" w:space="0"/>
              <w:left w:val="single" w:color="auto" w:sz="2" w:space="0"/>
              <w:bottom w:val="single" w:color="auto" w:sz="2" w:space="0"/>
              <w:right w:val="single" w:color="auto" w:sz="2" w:space="0"/>
            </w:tcBorders>
            <w:vAlign w:val="center"/>
          </w:tcPr>
          <w:p w14:paraId="1A09F1B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2,683,202.58</w:t>
            </w:r>
          </w:p>
        </w:tc>
      </w:tr>
      <w:tr w14:paraId="0DC9E7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2A617B1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备用金</w:t>
            </w:r>
          </w:p>
        </w:tc>
        <w:tc>
          <w:tcPr>
            <w:tcW w:w="3213" w:type="dxa"/>
            <w:tcBorders>
              <w:top w:val="single" w:color="auto" w:sz="2" w:space="0"/>
              <w:left w:val="single" w:color="auto" w:sz="2" w:space="0"/>
              <w:bottom w:val="single" w:color="auto" w:sz="2" w:space="0"/>
              <w:right w:val="single" w:color="auto" w:sz="2" w:space="0"/>
            </w:tcBorders>
            <w:vAlign w:val="center"/>
          </w:tcPr>
          <w:p w14:paraId="6222FC9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449,763.31</w:t>
            </w:r>
          </w:p>
        </w:tc>
        <w:tc>
          <w:tcPr>
            <w:tcW w:w="3213" w:type="dxa"/>
            <w:tcBorders>
              <w:top w:val="single" w:color="auto" w:sz="2" w:space="0"/>
              <w:left w:val="single" w:color="auto" w:sz="2" w:space="0"/>
              <w:bottom w:val="single" w:color="auto" w:sz="2" w:space="0"/>
              <w:right w:val="single" w:color="auto" w:sz="2" w:space="0"/>
            </w:tcBorders>
            <w:vAlign w:val="center"/>
          </w:tcPr>
          <w:p w14:paraId="4ADCE8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273,872.08</w:t>
            </w:r>
          </w:p>
        </w:tc>
      </w:tr>
      <w:tr w14:paraId="778C15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70EA21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3213" w:type="dxa"/>
            <w:tcBorders>
              <w:top w:val="single" w:color="auto" w:sz="2" w:space="0"/>
              <w:left w:val="single" w:color="auto" w:sz="2" w:space="0"/>
              <w:bottom w:val="single" w:color="auto" w:sz="2" w:space="0"/>
              <w:right w:val="single" w:color="auto" w:sz="2" w:space="0"/>
            </w:tcBorders>
            <w:vAlign w:val="center"/>
          </w:tcPr>
          <w:p w14:paraId="549CA3F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641,124.25</w:t>
            </w:r>
          </w:p>
        </w:tc>
        <w:tc>
          <w:tcPr>
            <w:tcW w:w="3213" w:type="dxa"/>
            <w:tcBorders>
              <w:top w:val="single" w:color="auto" w:sz="2" w:space="0"/>
              <w:left w:val="single" w:color="auto" w:sz="2" w:space="0"/>
              <w:bottom w:val="single" w:color="auto" w:sz="2" w:space="0"/>
              <w:right w:val="single" w:color="auto" w:sz="2" w:space="0"/>
            </w:tcBorders>
            <w:vAlign w:val="center"/>
          </w:tcPr>
          <w:p w14:paraId="550AC8D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218,440.25</w:t>
            </w:r>
          </w:p>
        </w:tc>
      </w:tr>
      <w:tr w14:paraId="10B4F1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A417B4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代扣代缴社保公积金</w:t>
            </w:r>
          </w:p>
        </w:tc>
        <w:tc>
          <w:tcPr>
            <w:tcW w:w="3213" w:type="dxa"/>
            <w:tcBorders>
              <w:top w:val="single" w:color="auto" w:sz="2" w:space="0"/>
              <w:left w:val="single" w:color="auto" w:sz="2" w:space="0"/>
              <w:bottom w:val="single" w:color="auto" w:sz="2" w:space="0"/>
              <w:right w:val="single" w:color="auto" w:sz="2" w:space="0"/>
            </w:tcBorders>
            <w:vAlign w:val="center"/>
          </w:tcPr>
          <w:p w14:paraId="0ABDCD4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148,730.87</w:t>
            </w:r>
          </w:p>
        </w:tc>
        <w:tc>
          <w:tcPr>
            <w:tcW w:w="3213" w:type="dxa"/>
            <w:tcBorders>
              <w:top w:val="single" w:color="auto" w:sz="2" w:space="0"/>
              <w:left w:val="single" w:color="auto" w:sz="2" w:space="0"/>
              <w:bottom w:val="single" w:color="auto" w:sz="2" w:space="0"/>
              <w:right w:val="single" w:color="auto" w:sz="2" w:space="0"/>
            </w:tcBorders>
            <w:vAlign w:val="center"/>
          </w:tcPr>
          <w:p w14:paraId="4AE848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117,057.58</w:t>
            </w:r>
          </w:p>
        </w:tc>
      </w:tr>
      <w:tr w14:paraId="583C1E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C44936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2218404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89,754,189.90</w:t>
            </w:r>
          </w:p>
        </w:tc>
        <w:tc>
          <w:tcPr>
            <w:tcW w:w="3213" w:type="dxa"/>
            <w:tcBorders>
              <w:top w:val="single" w:color="auto" w:sz="2" w:space="0"/>
              <w:left w:val="single" w:color="auto" w:sz="2" w:space="0"/>
              <w:bottom w:val="single" w:color="auto" w:sz="2" w:space="0"/>
              <w:right w:val="single" w:color="auto" w:sz="2" w:space="0"/>
            </w:tcBorders>
            <w:vAlign w:val="center"/>
          </w:tcPr>
          <w:p w14:paraId="059D80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65,685,955.60</w:t>
            </w:r>
          </w:p>
        </w:tc>
      </w:tr>
    </w:tbl>
    <w:p w14:paraId="65B77E19">
      <w:pPr>
        <w:keepNext/>
        <w:keepLines/>
        <w:spacing w:before="300" w:after="300" w:line="280" w:lineRule="exact"/>
        <w:outlineLvl w:val="4"/>
        <w:rPr>
          <w:rFonts w:ascii="Times New Roman" w:hAnsi="Times New Roman" w:cs="Times New Roman" w:eastAsiaTheme="majorEastAsia"/>
          <w:b/>
          <w:bCs/>
          <w:sz w:val="18"/>
          <w:szCs w:val="18"/>
        </w:rPr>
      </w:pPr>
      <w:bookmarkStart w:id="506" w:name="_Toc989398"/>
      <w:r>
        <w:rPr>
          <w:rFonts w:ascii="Times New Roman" w:hAnsi="Times New Roman" w:cs="Times New Roman" w:eastAsiaTheme="majorEastAsia"/>
          <w:b/>
          <w:bCs/>
          <w:sz w:val="18"/>
          <w:szCs w:val="18"/>
        </w:rPr>
        <w:t>2） 按账龄披露</w:t>
      </w:r>
      <w:bookmarkEnd w:id="506"/>
    </w:p>
    <w:p w14:paraId="2E08ADF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63DB4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574C90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427A2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期末账面余额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545D34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期初账面余额</w:t>
            </w:r>
          </w:p>
        </w:tc>
      </w:tr>
      <w:tr w14:paraId="1BF4F1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C038C6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1年以内（含1年）</w:t>
            </w:r>
          </w:p>
        </w:tc>
        <w:tc>
          <w:tcPr>
            <w:tcW w:w="3213" w:type="dxa"/>
            <w:tcBorders>
              <w:top w:val="single" w:color="auto" w:sz="2" w:space="0"/>
              <w:left w:val="single" w:color="auto" w:sz="2" w:space="0"/>
              <w:bottom w:val="single" w:color="auto" w:sz="2" w:space="0"/>
              <w:right w:val="single" w:color="auto" w:sz="2" w:space="0"/>
            </w:tcBorders>
            <w:vAlign w:val="center"/>
          </w:tcPr>
          <w:p w14:paraId="21B0AD8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79,318,570.64</w:t>
            </w:r>
          </w:p>
        </w:tc>
        <w:tc>
          <w:tcPr>
            <w:tcW w:w="3213" w:type="dxa"/>
            <w:tcBorders>
              <w:top w:val="single" w:color="auto" w:sz="2" w:space="0"/>
              <w:left w:val="single" w:color="auto" w:sz="2" w:space="0"/>
              <w:bottom w:val="single" w:color="auto" w:sz="2" w:space="0"/>
              <w:right w:val="single" w:color="auto" w:sz="2" w:space="0"/>
            </w:tcBorders>
            <w:vAlign w:val="center"/>
          </w:tcPr>
          <w:p w14:paraId="3BB07F4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61,424,030.20</w:t>
            </w:r>
          </w:p>
        </w:tc>
      </w:tr>
      <w:tr w14:paraId="50B09A4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2424A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1至2年</w:t>
            </w:r>
          </w:p>
        </w:tc>
        <w:tc>
          <w:tcPr>
            <w:tcW w:w="3213" w:type="dxa"/>
            <w:tcBorders>
              <w:top w:val="single" w:color="auto" w:sz="2" w:space="0"/>
              <w:left w:val="single" w:color="auto" w:sz="2" w:space="0"/>
              <w:bottom w:val="single" w:color="auto" w:sz="2" w:space="0"/>
              <w:right w:val="single" w:color="auto" w:sz="2" w:space="0"/>
            </w:tcBorders>
            <w:vAlign w:val="center"/>
          </w:tcPr>
          <w:p w14:paraId="5DA0541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6,985,245.44</w:t>
            </w:r>
          </w:p>
        </w:tc>
        <w:tc>
          <w:tcPr>
            <w:tcW w:w="3213" w:type="dxa"/>
            <w:tcBorders>
              <w:top w:val="single" w:color="auto" w:sz="2" w:space="0"/>
              <w:left w:val="single" w:color="auto" w:sz="2" w:space="0"/>
              <w:bottom w:val="single" w:color="auto" w:sz="2" w:space="0"/>
              <w:right w:val="single" w:color="auto" w:sz="2" w:space="0"/>
            </w:tcBorders>
            <w:vAlign w:val="center"/>
          </w:tcPr>
          <w:p w14:paraId="73A1FEC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2,659,832.94</w:t>
            </w:r>
          </w:p>
        </w:tc>
      </w:tr>
      <w:tr w14:paraId="5FF685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04C249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2至3年</w:t>
            </w:r>
          </w:p>
        </w:tc>
        <w:tc>
          <w:tcPr>
            <w:tcW w:w="3213" w:type="dxa"/>
            <w:tcBorders>
              <w:top w:val="single" w:color="auto" w:sz="2" w:space="0"/>
              <w:left w:val="single" w:color="auto" w:sz="2" w:space="0"/>
              <w:bottom w:val="single" w:color="auto" w:sz="2" w:space="0"/>
              <w:right w:val="single" w:color="auto" w:sz="2" w:space="0"/>
            </w:tcBorders>
            <w:vAlign w:val="center"/>
          </w:tcPr>
          <w:p w14:paraId="702650D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2,277,618.94</w:t>
            </w:r>
          </w:p>
        </w:tc>
        <w:tc>
          <w:tcPr>
            <w:tcW w:w="3213" w:type="dxa"/>
            <w:tcBorders>
              <w:top w:val="single" w:color="auto" w:sz="2" w:space="0"/>
              <w:left w:val="single" w:color="auto" w:sz="2" w:space="0"/>
              <w:bottom w:val="single" w:color="auto" w:sz="2" w:space="0"/>
              <w:right w:val="single" w:color="auto" w:sz="2" w:space="0"/>
            </w:tcBorders>
            <w:vAlign w:val="center"/>
          </w:tcPr>
          <w:p w14:paraId="14F2517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1,267,514.42</w:t>
            </w:r>
          </w:p>
        </w:tc>
      </w:tr>
      <w:tr w14:paraId="5BC3A5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21A7C9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3年以上</w:t>
            </w:r>
          </w:p>
        </w:tc>
        <w:tc>
          <w:tcPr>
            <w:tcW w:w="3213" w:type="dxa"/>
            <w:tcBorders>
              <w:top w:val="single" w:color="auto" w:sz="2" w:space="0"/>
              <w:left w:val="single" w:color="auto" w:sz="2" w:space="0"/>
              <w:bottom w:val="single" w:color="auto" w:sz="2" w:space="0"/>
              <w:right w:val="single" w:color="auto" w:sz="2" w:space="0"/>
            </w:tcBorders>
            <w:vAlign w:val="center"/>
          </w:tcPr>
          <w:p w14:paraId="0D21A30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1,172,754.88</w:t>
            </w:r>
          </w:p>
        </w:tc>
        <w:tc>
          <w:tcPr>
            <w:tcW w:w="3213" w:type="dxa"/>
            <w:tcBorders>
              <w:top w:val="single" w:color="auto" w:sz="2" w:space="0"/>
              <w:left w:val="single" w:color="auto" w:sz="2" w:space="0"/>
              <w:bottom w:val="single" w:color="auto" w:sz="2" w:space="0"/>
              <w:right w:val="single" w:color="auto" w:sz="2" w:space="0"/>
            </w:tcBorders>
            <w:vAlign w:val="center"/>
          </w:tcPr>
          <w:p w14:paraId="6676C5E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334,578.04</w:t>
            </w:r>
          </w:p>
        </w:tc>
      </w:tr>
      <w:tr w14:paraId="791AA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80544B5">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3至4年</w:t>
            </w:r>
          </w:p>
        </w:tc>
        <w:tc>
          <w:tcPr>
            <w:tcW w:w="3213" w:type="dxa"/>
            <w:tcBorders>
              <w:top w:val="single" w:color="auto" w:sz="2" w:space="0"/>
              <w:left w:val="single" w:color="auto" w:sz="2" w:space="0"/>
              <w:bottom w:val="single" w:color="auto" w:sz="2" w:space="0"/>
              <w:right w:val="single" w:color="auto" w:sz="2" w:space="0"/>
            </w:tcBorders>
            <w:vAlign w:val="center"/>
          </w:tcPr>
          <w:p w14:paraId="6F2AE93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861,673.02</w:t>
            </w:r>
          </w:p>
        </w:tc>
        <w:tc>
          <w:tcPr>
            <w:tcW w:w="3213" w:type="dxa"/>
            <w:tcBorders>
              <w:top w:val="single" w:color="auto" w:sz="2" w:space="0"/>
              <w:left w:val="single" w:color="auto" w:sz="2" w:space="0"/>
              <w:bottom w:val="single" w:color="auto" w:sz="2" w:space="0"/>
              <w:right w:val="single" w:color="auto" w:sz="2" w:space="0"/>
            </w:tcBorders>
            <w:vAlign w:val="center"/>
          </w:tcPr>
          <w:p w14:paraId="5A354F6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251,036.86</w:t>
            </w:r>
          </w:p>
        </w:tc>
      </w:tr>
      <w:tr w14:paraId="36639E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14F354B">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4至5年</w:t>
            </w:r>
          </w:p>
        </w:tc>
        <w:tc>
          <w:tcPr>
            <w:tcW w:w="3213" w:type="dxa"/>
            <w:tcBorders>
              <w:top w:val="single" w:color="auto" w:sz="2" w:space="0"/>
              <w:left w:val="single" w:color="auto" w:sz="2" w:space="0"/>
              <w:bottom w:val="single" w:color="auto" w:sz="2" w:space="0"/>
              <w:right w:val="single" w:color="auto" w:sz="2" w:space="0"/>
            </w:tcBorders>
            <w:vAlign w:val="center"/>
          </w:tcPr>
          <w:p w14:paraId="73B994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242,636.86</w:t>
            </w:r>
          </w:p>
        </w:tc>
        <w:tc>
          <w:tcPr>
            <w:tcW w:w="3213" w:type="dxa"/>
            <w:tcBorders>
              <w:top w:val="single" w:color="auto" w:sz="2" w:space="0"/>
              <w:left w:val="single" w:color="auto" w:sz="2" w:space="0"/>
              <w:bottom w:val="single" w:color="auto" w:sz="2" w:space="0"/>
              <w:right w:val="single" w:color="auto" w:sz="2" w:space="0"/>
            </w:tcBorders>
            <w:vAlign w:val="center"/>
          </w:tcPr>
          <w:p w14:paraId="390302A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41,541.18</w:t>
            </w:r>
          </w:p>
        </w:tc>
      </w:tr>
      <w:tr w14:paraId="0F1E0B9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DDC7D47">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5年以上</w:t>
            </w:r>
          </w:p>
        </w:tc>
        <w:tc>
          <w:tcPr>
            <w:tcW w:w="3213" w:type="dxa"/>
            <w:tcBorders>
              <w:top w:val="single" w:color="auto" w:sz="2" w:space="0"/>
              <w:left w:val="single" w:color="auto" w:sz="2" w:space="0"/>
              <w:bottom w:val="single" w:color="auto" w:sz="2" w:space="0"/>
              <w:right w:val="single" w:color="auto" w:sz="2" w:space="0"/>
            </w:tcBorders>
            <w:vAlign w:val="center"/>
          </w:tcPr>
          <w:p w14:paraId="1D902BE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68,445.00</w:t>
            </w:r>
          </w:p>
        </w:tc>
        <w:tc>
          <w:tcPr>
            <w:tcW w:w="3213" w:type="dxa"/>
            <w:tcBorders>
              <w:top w:val="single" w:color="auto" w:sz="2" w:space="0"/>
              <w:left w:val="single" w:color="auto" w:sz="2" w:space="0"/>
              <w:bottom w:val="single" w:color="auto" w:sz="2" w:space="0"/>
              <w:right w:val="single" w:color="auto" w:sz="2" w:space="0"/>
            </w:tcBorders>
            <w:vAlign w:val="center"/>
          </w:tcPr>
          <w:p w14:paraId="48291F3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42,000.00</w:t>
            </w:r>
          </w:p>
        </w:tc>
      </w:tr>
      <w:tr w14:paraId="21FF3F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F90B1B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182348B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89,754,189.90</w:t>
            </w:r>
          </w:p>
        </w:tc>
        <w:tc>
          <w:tcPr>
            <w:tcW w:w="3213" w:type="dxa"/>
            <w:tcBorders>
              <w:top w:val="single" w:color="auto" w:sz="2" w:space="0"/>
              <w:left w:val="single" w:color="auto" w:sz="2" w:space="0"/>
              <w:bottom w:val="single" w:color="auto" w:sz="2" w:space="0"/>
              <w:right w:val="single" w:color="auto" w:sz="2" w:space="0"/>
            </w:tcBorders>
            <w:vAlign w:val="center"/>
          </w:tcPr>
          <w:p w14:paraId="315D53E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65,685,955.60</w:t>
            </w:r>
          </w:p>
        </w:tc>
      </w:tr>
    </w:tbl>
    <w:p w14:paraId="73BF8B09">
      <w:pPr>
        <w:keepNext/>
        <w:keepLines/>
        <w:spacing w:before="300" w:after="300" w:line="280" w:lineRule="exact"/>
        <w:outlineLvl w:val="4"/>
        <w:rPr>
          <w:rFonts w:ascii="Times New Roman" w:hAnsi="Times New Roman" w:cs="Times New Roman" w:eastAsiaTheme="majorEastAsia"/>
          <w:b/>
          <w:bCs/>
          <w:sz w:val="18"/>
          <w:szCs w:val="18"/>
        </w:rPr>
      </w:pPr>
      <w:bookmarkStart w:id="507" w:name="_Toc989399"/>
      <w:r>
        <w:rPr>
          <w:rFonts w:ascii="Times New Roman" w:hAnsi="Times New Roman" w:cs="Times New Roman" w:eastAsiaTheme="majorEastAsia"/>
          <w:b/>
          <w:bCs/>
          <w:sz w:val="18"/>
          <w:szCs w:val="18"/>
        </w:rPr>
        <w:t>3） 按坏账计提方法分类披露</w:t>
      </w:r>
      <w:bookmarkEnd w:id="507"/>
    </w:p>
    <w:p w14:paraId="170F77E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75"/>
        <w:gridCol w:w="876"/>
        <w:gridCol w:w="877"/>
        <w:gridCol w:w="876"/>
        <w:gridCol w:w="877"/>
        <w:gridCol w:w="876"/>
        <w:gridCol w:w="876"/>
        <w:gridCol w:w="877"/>
        <w:gridCol w:w="876"/>
        <w:gridCol w:w="877"/>
        <w:gridCol w:w="876"/>
      </w:tblGrid>
      <w:tr w14:paraId="2E6189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AC6FB4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6F4EFD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4381" w:type="dxa"/>
            <w:gridSpan w:val="5"/>
            <w:tcBorders>
              <w:top w:val="single" w:color="auto" w:sz="2" w:space="0"/>
              <w:left w:val="single" w:color="auto" w:sz="2" w:space="0"/>
              <w:bottom w:val="single" w:color="auto" w:sz="2" w:space="0"/>
              <w:right w:val="single" w:color="auto" w:sz="2" w:space="0"/>
            </w:tcBorders>
            <w:shd w:val="clear" w:color="auto" w:fill="D3D3D3"/>
            <w:vAlign w:val="center"/>
          </w:tcPr>
          <w:p w14:paraId="19E3B22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3C9525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7CDF4DCE">
            <w:pPr>
              <w:rPr>
                <w:rFonts w:ascii="Times New Roman" w:hAnsi="Times New Roman" w:cs="Times New Roman" w:eastAsiaTheme="majorEastAsia"/>
              </w:rPr>
            </w:pP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DDFBF4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068989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8E7002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26A008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1753"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391752F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87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71539E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63CE66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2D57EA">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69FD63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74DF0A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7993E3A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1F352B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40B4ABF">
            <w:pPr>
              <w:rPr>
                <w:rFonts w:ascii="Times New Roman" w:hAnsi="Times New Roman" w:cs="Times New Roman" w:eastAsiaTheme="majorEastAsia"/>
              </w:rPr>
            </w:pP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84498C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1EC70AE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比例</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09DF89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56C4D85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计提比例</w:t>
            </w:r>
          </w:p>
        </w:tc>
        <w:tc>
          <w:tcPr>
            <w:tcW w:w="87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BF29F8">
            <w:pPr>
              <w:rPr>
                <w:rFonts w:ascii="Times New Roman" w:hAnsi="Times New Roman" w:cs="Times New Roman" w:eastAsiaTheme="majorEastAsia"/>
              </w:rPr>
            </w:pPr>
          </w:p>
        </w:tc>
      </w:tr>
      <w:tr w14:paraId="78B235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031E12B5">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按单项计提坏账准备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3CFFA8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87,144,705.81</w:t>
            </w:r>
          </w:p>
        </w:tc>
        <w:tc>
          <w:tcPr>
            <w:tcW w:w="876" w:type="dxa"/>
            <w:tcBorders>
              <w:top w:val="single" w:color="auto" w:sz="2" w:space="0"/>
              <w:left w:val="single" w:color="auto" w:sz="2" w:space="0"/>
              <w:bottom w:val="single" w:color="auto" w:sz="2" w:space="0"/>
              <w:right w:val="single" w:color="auto" w:sz="2" w:space="0"/>
            </w:tcBorders>
            <w:vAlign w:val="center"/>
          </w:tcPr>
          <w:p w14:paraId="5F4DB48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97.09%</w:t>
            </w:r>
          </w:p>
        </w:tc>
        <w:tc>
          <w:tcPr>
            <w:tcW w:w="876" w:type="dxa"/>
            <w:tcBorders>
              <w:top w:val="single" w:color="auto" w:sz="2" w:space="0"/>
              <w:left w:val="single" w:color="auto" w:sz="2" w:space="0"/>
              <w:bottom w:val="single" w:color="auto" w:sz="2" w:space="0"/>
              <w:right w:val="single" w:color="auto" w:sz="2" w:space="0"/>
            </w:tcBorders>
            <w:vAlign w:val="center"/>
          </w:tcPr>
          <w:p w14:paraId="6ACB8F4E">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39A2695F">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16D748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87,144,705.81</w:t>
            </w:r>
          </w:p>
        </w:tc>
        <w:tc>
          <w:tcPr>
            <w:tcW w:w="876" w:type="dxa"/>
            <w:tcBorders>
              <w:top w:val="single" w:color="auto" w:sz="2" w:space="0"/>
              <w:left w:val="single" w:color="auto" w:sz="2" w:space="0"/>
              <w:bottom w:val="single" w:color="auto" w:sz="2" w:space="0"/>
              <w:right w:val="single" w:color="auto" w:sz="2" w:space="0"/>
            </w:tcBorders>
            <w:vAlign w:val="center"/>
          </w:tcPr>
          <w:p w14:paraId="1F7A3CE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62,393,383.11</w:t>
            </w:r>
          </w:p>
        </w:tc>
        <w:tc>
          <w:tcPr>
            <w:tcW w:w="876" w:type="dxa"/>
            <w:tcBorders>
              <w:top w:val="single" w:color="auto" w:sz="2" w:space="0"/>
              <w:left w:val="single" w:color="auto" w:sz="2" w:space="0"/>
              <w:bottom w:val="single" w:color="auto" w:sz="2" w:space="0"/>
              <w:right w:val="single" w:color="auto" w:sz="2" w:space="0"/>
            </w:tcBorders>
            <w:vAlign w:val="center"/>
          </w:tcPr>
          <w:p w14:paraId="73ED7D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94.99%</w:t>
            </w:r>
          </w:p>
        </w:tc>
        <w:tc>
          <w:tcPr>
            <w:tcW w:w="876" w:type="dxa"/>
            <w:tcBorders>
              <w:top w:val="single" w:color="auto" w:sz="2" w:space="0"/>
              <w:left w:val="single" w:color="auto" w:sz="2" w:space="0"/>
              <w:bottom w:val="single" w:color="auto" w:sz="2" w:space="0"/>
              <w:right w:val="single" w:color="auto" w:sz="2" w:space="0"/>
            </w:tcBorders>
            <w:vAlign w:val="center"/>
          </w:tcPr>
          <w:p w14:paraId="0439E0E2">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6DA79868">
            <w:pPr>
              <w:spacing w:line="240" w:lineRule="exact"/>
              <w:jc w:val="right"/>
              <w:rPr>
                <w:rFonts w:ascii="Times New Roman" w:hAnsi="Times New Roman" w:cs="Times New Roman" w:eastAsiaTheme="majorEastAsia"/>
                <w:sz w:val="18"/>
                <w:szCs w:val="18"/>
              </w:rPr>
            </w:pPr>
          </w:p>
        </w:tc>
        <w:tc>
          <w:tcPr>
            <w:tcW w:w="876" w:type="dxa"/>
            <w:tcBorders>
              <w:top w:val="single" w:color="auto" w:sz="2" w:space="0"/>
              <w:left w:val="single" w:color="auto" w:sz="2" w:space="0"/>
              <w:bottom w:val="single" w:color="auto" w:sz="2" w:space="0"/>
              <w:right w:val="single" w:color="auto" w:sz="2" w:space="0"/>
            </w:tcBorders>
            <w:vAlign w:val="center"/>
          </w:tcPr>
          <w:p w14:paraId="7C2BAA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62,393,383.11</w:t>
            </w:r>
          </w:p>
        </w:tc>
      </w:tr>
      <w:tr w14:paraId="7A4671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45CBB62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5AD14D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407923A6">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按组合计提坏账准备</w:t>
            </w:r>
          </w:p>
        </w:tc>
        <w:tc>
          <w:tcPr>
            <w:tcW w:w="876" w:type="dxa"/>
            <w:tcBorders>
              <w:top w:val="single" w:color="auto" w:sz="2" w:space="0"/>
              <w:left w:val="single" w:color="auto" w:sz="2" w:space="0"/>
              <w:bottom w:val="single" w:color="auto" w:sz="2" w:space="0"/>
              <w:right w:val="single" w:color="auto" w:sz="2" w:space="0"/>
            </w:tcBorders>
            <w:vAlign w:val="center"/>
          </w:tcPr>
          <w:p w14:paraId="2858709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2,609,484.09</w:t>
            </w:r>
          </w:p>
        </w:tc>
        <w:tc>
          <w:tcPr>
            <w:tcW w:w="876" w:type="dxa"/>
            <w:tcBorders>
              <w:top w:val="single" w:color="auto" w:sz="2" w:space="0"/>
              <w:left w:val="single" w:color="auto" w:sz="2" w:space="0"/>
              <w:bottom w:val="single" w:color="auto" w:sz="2" w:space="0"/>
              <w:right w:val="single" w:color="auto" w:sz="2" w:space="0"/>
            </w:tcBorders>
            <w:vAlign w:val="center"/>
          </w:tcPr>
          <w:p w14:paraId="2839D5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2.91%</w:t>
            </w:r>
          </w:p>
        </w:tc>
        <w:tc>
          <w:tcPr>
            <w:tcW w:w="876" w:type="dxa"/>
            <w:tcBorders>
              <w:top w:val="single" w:color="auto" w:sz="2" w:space="0"/>
              <w:left w:val="single" w:color="auto" w:sz="2" w:space="0"/>
              <w:bottom w:val="single" w:color="auto" w:sz="2" w:space="0"/>
              <w:right w:val="single" w:color="auto" w:sz="2" w:space="0"/>
            </w:tcBorders>
            <w:vAlign w:val="center"/>
          </w:tcPr>
          <w:p w14:paraId="45E7C5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c>
          <w:tcPr>
            <w:tcW w:w="876" w:type="dxa"/>
            <w:tcBorders>
              <w:top w:val="single" w:color="auto" w:sz="2" w:space="0"/>
              <w:left w:val="single" w:color="auto" w:sz="2" w:space="0"/>
              <w:bottom w:val="single" w:color="auto" w:sz="2" w:space="0"/>
              <w:right w:val="single" w:color="auto" w:sz="2" w:space="0"/>
            </w:tcBorders>
            <w:vAlign w:val="center"/>
          </w:tcPr>
          <w:p w14:paraId="47AA67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34.44%</w:t>
            </w:r>
          </w:p>
        </w:tc>
        <w:tc>
          <w:tcPr>
            <w:tcW w:w="876" w:type="dxa"/>
            <w:tcBorders>
              <w:top w:val="single" w:color="auto" w:sz="2" w:space="0"/>
              <w:left w:val="single" w:color="auto" w:sz="2" w:space="0"/>
              <w:bottom w:val="single" w:color="auto" w:sz="2" w:space="0"/>
              <w:right w:val="single" w:color="auto" w:sz="2" w:space="0"/>
            </w:tcBorders>
            <w:vAlign w:val="center"/>
          </w:tcPr>
          <w:p w14:paraId="0405EAF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1,710,786.49</w:t>
            </w:r>
          </w:p>
        </w:tc>
        <w:tc>
          <w:tcPr>
            <w:tcW w:w="876" w:type="dxa"/>
            <w:tcBorders>
              <w:top w:val="single" w:color="auto" w:sz="2" w:space="0"/>
              <w:left w:val="single" w:color="auto" w:sz="2" w:space="0"/>
              <w:bottom w:val="single" w:color="auto" w:sz="2" w:space="0"/>
              <w:right w:val="single" w:color="auto" w:sz="2" w:space="0"/>
            </w:tcBorders>
            <w:vAlign w:val="center"/>
          </w:tcPr>
          <w:p w14:paraId="06C7367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3,292,572.49</w:t>
            </w:r>
          </w:p>
        </w:tc>
        <w:tc>
          <w:tcPr>
            <w:tcW w:w="876" w:type="dxa"/>
            <w:tcBorders>
              <w:top w:val="single" w:color="auto" w:sz="2" w:space="0"/>
              <w:left w:val="single" w:color="auto" w:sz="2" w:space="0"/>
              <w:bottom w:val="single" w:color="auto" w:sz="2" w:space="0"/>
              <w:right w:val="single" w:color="auto" w:sz="2" w:space="0"/>
            </w:tcBorders>
            <w:vAlign w:val="center"/>
          </w:tcPr>
          <w:p w14:paraId="4C354F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5.01%</w:t>
            </w:r>
          </w:p>
        </w:tc>
        <w:tc>
          <w:tcPr>
            <w:tcW w:w="876" w:type="dxa"/>
            <w:tcBorders>
              <w:top w:val="single" w:color="auto" w:sz="2" w:space="0"/>
              <w:left w:val="single" w:color="auto" w:sz="2" w:space="0"/>
              <w:bottom w:val="single" w:color="auto" w:sz="2" w:space="0"/>
              <w:right w:val="single" w:color="auto" w:sz="2" w:space="0"/>
            </w:tcBorders>
            <w:vAlign w:val="center"/>
          </w:tcPr>
          <w:p w14:paraId="64501A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c>
          <w:tcPr>
            <w:tcW w:w="876" w:type="dxa"/>
            <w:tcBorders>
              <w:top w:val="single" w:color="auto" w:sz="2" w:space="0"/>
              <w:left w:val="single" w:color="auto" w:sz="2" w:space="0"/>
              <w:bottom w:val="single" w:color="auto" w:sz="2" w:space="0"/>
              <w:right w:val="single" w:color="auto" w:sz="2" w:space="0"/>
            </w:tcBorders>
            <w:vAlign w:val="center"/>
          </w:tcPr>
          <w:p w14:paraId="7A4D6FE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21.59%</w:t>
            </w:r>
          </w:p>
        </w:tc>
        <w:tc>
          <w:tcPr>
            <w:tcW w:w="876" w:type="dxa"/>
            <w:tcBorders>
              <w:top w:val="single" w:color="auto" w:sz="2" w:space="0"/>
              <w:left w:val="single" w:color="auto" w:sz="2" w:space="0"/>
              <w:bottom w:val="single" w:color="auto" w:sz="2" w:space="0"/>
              <w:right w:val="single" w:color="auto" w:sz="2" w:space="0"/>
            </w:tcBorders>
            <w:vAlign w:val="center"/>
          </w:tcPr>
          <w:p w14:paraId="7C4F921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2,581,816.57</w:t>
            </w:r>
          </w:p>
        </w:tc>
      </w:tr>
      <w:tr w14:paraId="0A8276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1"/>
            <w:tcBorders>
              <w:top w:val="single" w:color="auto" w:sz="2" w:space="0"/>
              <w:left w:val="single" w:color="auto" w:sz="2" w:space="0"/>
              <w:bottom w:val="single" w:color="auto" w:sz="2" w:space="0"/>
              <w:right w:val="single" w:color="auto" w:sz="2" w:space="0"/>
            </w:tcBorders>
            <w:shd w:val="clear" w:color="auto" w:fill="D3D3D3"/>
            <w:vAlign w:val="center"/>
          </w:tcPr>
          <w:p w14:paraId="4DF6F11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w:t>
            </w:r>
          </w:p>
        </w:tc>
      </w:tr>
      <w:tr w14:paraId="3894E0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0715D0E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组合1</w:t>
            </w:r>
          </w:p>
        </w:tc>
        <w:tc>
          <w:tcPr>
            <w:tcW w:w="876" w:type="dxa"/>
            <w:tcBorders>
              <w:top w:val="single" w:color="auto" w:sz="2" w:space="0"/>
              <w:left w:val="single" w:color="auto" w:sz="2" w:space="0"/>
              <w:bottom w:val="single" w:color="auto" w:sz="2" w:space="0"/>
              <w:right w:val="single" w:color="auto" w:sz="2" w:space="0"/>
            </w:tcBorders>
            <w:vAlign w:val="center"/>
          </w:tcPr>
          <w:p w14:paraId="41C529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1,369,865.66</w:t>
            </w:r>
          </w:p>
        </w:tc>
        <w:tc>
          <w:tcPr>
            <w:tcW w:w="876" w:type="dxa"/>
            <w:tcBorders>
              <w:top w:val="single" w:color="auto" w:sz="2" w:space="0"/>
              <w:left w:val="single" w:color="auto" w:sz="2" w:space="0"/>
              <w:bottom w:val="single" w:color="auto" w:sz="2" w:space="0"/>
              <w:right w:val="single" w:color="auto" w:sz="2" w:space="0"/>
            </w:tcBorders>
            <w:vAlign w:val="center"/>
          </w:tcPr>
          <w:p w14:paraId="0372E1B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1.53%</w:t>
            </w:r>
          </w:p>
        </w:tc>
        <w:tc>
          <w:tcPr>
            <w:tcW w:w="876" w:type="dxa"/>
            <w:tcBorders>
              <w:top w:val="single" w:color="auto" w:sz="2" w:space="0"/>
              <w:left w:val="single" w:color="auto" w:sz="2" w:space="0"/>
              <w:bottom w:val="single" w:color="auto" w:sz="2" w:space="0"/>
              <w:right w:val="single" w:color="auto" w:sz="2" w:space="0"/>
            </w:tcBorders>
            <w:vAlign w:val="center"/>
          </w:tcPr>
          <w:p w14:paraId="5CC12E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728,663.88</w:t>
            </w:r>
          </w:p>
        </w:tc>
        <w:tc>
          <w:tcPr>
            <w:tcW w:w="876" w:type="dxa"/>
            <w:tcBorders>
              <w:top w:val="single" w:color="auto" w:sz="2" w:space="0"/>
              <w:left w:val="single" w:color="auto" w:sz="2" w:space="0"/>
              <w:bottom w:val="single" w:color="auto" w:sz="2" w:space="0"/>
              <w:right w:val="single" w:color="auto" w:sz="2" w:space="0"/>
            </w:tcBorders>
            <w:vAlign w:val="center"/>
          </w:tcPr>
          <w:p w14:paraId="79D674F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53.19%</w:t>
            </w:r>
          </w:p>
        </w:tc>
        <w:tc>
          <w:tcPr>
            <w:tcW w:w="876" w:type="dxa"/>
            <w:tcBorders>
              <w:top w:val="single" w:color="auto" w:sz="2" w:space="0"/>
              <w:left w:val="single" w:color="auto" w:sz="2" w:space="0"/>
              <w:bottom w:val="single" w:color="auto" w:sz="2" w:space="0"/>
              <w:right w:val="single" w:color="auto" w:sz="2" w:space="0"/>
            </w:tcBorders>
            <w:vAlign w:val="center"/>
          </w:tcPr>
          <w:p w14:paraId="7624BF8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641,201.78</w:t>
            </w:r>
          </w:p>
        </w:tc>
        <w:tc>
          <w:tcPr>
            <w:tcW w:w="876" w:type="dxa"/>
            <w:tcBorders>
              <w:top w:val="single" w:color="auto" w:sz="2" w:space="0"/>
              <w:left w:val="single" w:color="auto" w:sz="2" w:space="0"/>
              <w:bottom w:val="single" w:color="auto" w:sz="2" w:space="0"/>
              <w:right w:val="single" w:color="auto" w:sz="2" w:space="0"/>
            </w:tcBorders>
            <w:vAlign w:val="center"/>
          </w:tcPr>
          <w:p w14:paraId="5404DE9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2,683,202.58</w:t>
            </w:r>
          </w:p>
        </w:tc>
        <w:tc>
          <w:tcPr>
            <w:tcW w:w="876" w:type="dxa"/>
            <w:tcBorders>
              <w:top w:val="single" w:color="auto" w:sz="2" w:space="0"/>
              <w:left w:val="single" w:color="auto" w:sz="2" w:space="0"/>
              <w:bottom w:val="single" w:color="auto" w:sz="2" w:space="0"/>
              <w:right w:val="single" w:color="auto" w:sz="2" w:space="0"/>
            </w:tcBorders>
            <w:vAlign w:val="center"/>
          </w:tcPr>
          <w:p w14:paraId="31B24C8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4.08%</w:t>
            </w:r>
          </w:p>
        </w:tc>
        <w:tc>
          <w:tcPr>
            <w:tcW w:w="876" w:type="dxa"/>
            <w:tcBorders>
              <w:top w:val="single" w:color="auto" w:sz="2" w:space="0"/>
              <w:left w:val="single" w:color="auto" w:sz="2" w:space="0"/>
              <w:bottom w:val="single" w:color="auto" w:sz="2" w:space="0"/>
              <w:right w:val="single" w:color="auto" w:sz="2" w:space="0"/>
            </w:tcBorders>
            <w:vAlign w:val="center"/>
          </w:tcPr>
          <w:p w14:paraId="2C07F3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632,835.01</w:t>
            </w:r>
          </w:p>
        </w:tc>
        <w:tc>
          <w:tcPr>
            <w:tcW w:w="876" w:type="dxa"/>
            <w:tcBorders>
              <w:top w:val="single" w:color="auto" w:sz="2" w:space="0"/>
              <w:left w:val="single" w:color="auto" w:sz="2" w:space="0"/>
              <w:bottom w:val="single" w:color="auto" w:sz="2" w:space="0"/>
              <w:right w:val="single" w:color="auto" w:sz="2" w:space="0"/>
            </w:tcBorders>
            <w:vAlign w:val="center"/>
          </w:tcPr>
          <w:p w14:paraId="26B601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23.59%</w:t>
            </w:r>
          </w:p>
        </w:tc>
        <w:tc>
          <w:tcPr>
            <w:tcW w:w="876" w:type="dxa"/>
            <w:tcBorders>
              <w:top w:val="single" w:color="auto" w:sz="2" w:space="0"/>
              <w:left w:val="single" w:color="auto" w:sz="2" w:space="0"/>
              <w:bottom w:val="single" w:color="auto" w:sz="2" w:space="0"/>
              <w:right w:val="single" w:color="auto" w:sz="2" w:space="0"/>
            </w:tcBorders>
            <w:vAlign w:val="center"/>
          </w:tcPr>
          <w:p w14:paraId="177A57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2,050,367.57</w:t>
            </w:r>
          </w:p>
        </w:tc>
      </w:tr>
      <w:tr w14:paraId="0677FE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6A29FCB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组合2</w:t>
            </w:r>
          </w:p>
        </w:tc>
        <w:tc>
          <w:tcPr>
            <w:tcW w:w="876" w:type="dxa"/>
            <w:tcBorders>
              <w:top w:val="single" w:color="auto" w:sz="2" w:space="0"/>
              <w:left w:val="single" w:color="auto" w:sz="2" w:space="0"/>
              <w:bottom w:val="single" w:color="auto" w:sz="2" w:space="0"/>
              <w:right w:val="single" w:color="auto" w:sz="2" w:space="0"/>
            </w:tcBorders>
            <w:vAlign w:val="center"/>
          </w:tcPr>
          <w:p w14:paraId="0AE7E27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598,494.18</w:t>
            </w:r>
          </w:p>
        </w:tc>
        <w:tc>
          <w:tcPr>
            <w:tcW w:w="876" w:type="dxa"/>
            <w:tcBorders>
              <w:top w:val="single" w:color="auto" w:sz="2" w:space="0"/>
              <w:left w:val="single" w:color="auto" w:sz="2" w:space="0"/>
              <w:bottom w:val="single" w:color="auto" w:sz="2" w:space="0"/>
              <w:right w:val="single" w:color="auto" w:sz="2" w:space="0"/>
            </w:tcBorders>
            <w:vAlign w:val="center"/>
          </w:tcPr>
          <w:p w14:paraId="4F26CD9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0.67%</w:t>
            </w:r>
          </w:p>
        </w:tc>
        <w:tc>
          <w:tcPr>
            <w:tcW w:w="876" w:type="dxa"/>
            <w:tcBorders>
              <w:top w:val="single" w:color="auto" w:sz="2" w:space="0"/>
              <w:left w:val="single" w:color="auto" w:sz="2" w:space="0"/>
              <w:bottom w:val="single" w:color="auto" w:sz="2" w:space="0"/>
              <w:right w:val="single" w:color="auto" w:sz="2" w:space="0"/>
            </w:tcBorders>
            <w:vAlign w:val="center"/>
          </w:tcPr>
          <w:p w14:paraId="2640ACB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91,683.05</w:t>
            </w:r>
          </w:p>
        </w:tc>
        <w:tc>
          <w:tcPr>
            <w:tcW w:w="876" w:type="dxa"/>
            <w:tcBorders>
              <w:top w:val="single" w:color="auto" w:sz="2" w:space="0"/>
              <w:left w:val="single" w:color="auto" w:sz="2" w:space="0"/>
              <w:bottom w:val="single" w:color="auto" w:sz="2" w:space="0"/>
              <w:right w:val="single" w:color="auto" w:sz="2" w:space="0"/>
            </w:tcBorders>
            <w:vAlign w:val="center"/>
          </w:tcPr>
          <w:p w14:paraId="623C8A9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15.32%</w:t>
            </w:r>
          </w:p>
        </w:tc>
        <w:tc>
          <w:tcPr>
            <w:tcW w:w="876" w:type="dxa"/>
            <w:tcBorders>
              <w:top w:val="single" w:color="auto" w:sz="2" w:space="0"/>
              <w:left w:val="single" w:color="auto" w:sz="2" w:space="0"/>
              <w:bottom w:val="single" w:color="auto" w:sz="2" w:space="0"/>
              <w:right w:val="single" w:color="auto" w:sz="2" w:space="0"/>
            </w:tcBorders>
            <w:vAlign w:val="center"/>
          </w:tcPr>
          <w:p w14:paraId="4877703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506,811.13</w:t>
            </w:r>
          </w:p>
        </w:tc>
        <w:tc>
          <w:tcPr>
            <w:tcW w:w="876" w:type="dxa"/>
            <w:tcBorders>
              <w:top w:val="single" w:color="auto" w:sz="2" w:space="0"/>
              <w:left w:val="single" w:color="auto" w:sz="2" w:space="0"/>
              <w:bottom w:val="single" w:color="auto" w:sz="2" w:space="0"/>
              <w:right w:val="single" w:color="auto" w:sz="2" w:space="0"/>
            </w:tcBorders>
            <w:vAlign w:val="center"/>
          </w:tcPr>
          <w:p w14:paraId="176394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390,929.66</w:t>
            </w:r>
          </w:p>
        </w:tc>
        <w:tc>
          <w:tcPr>
            <w:tcW w:w="876" w:type="dxa"/>
            <w:tcBorders>
              <w:top w:val="single" w:color="auto" w:sz="2" w:space="0"/>
              <w:left w:val="single" w:color="auto" w:sz="2" w:space="0"/>
              <w:bottom w:val="single" w:color="auto" w:sz="2" w:space="0"/>
              <w:right w:val="single" w:color="auto" w:sz="2" w:space="0"/>
            </w:tcBorders>
            <w:vAlign w:val="center"/>
          </w:tcPr>
          <w:p w14:paraId="08C24B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0.60%</w:t>
            </w:r>
          </w:p>
        </w:tc>
        <w:tc>
          <w:tcPr>
            <w:tcW w:w="876" w:type="dxa"/>
            <w:tcBorders>
              <w:top w:val="single" w:color="auto" w:sz="2" w:space="0"/>
              <w:left w:val="single" w:color="auto" w:sz="2" w:space="0"/>
              <w:bottom w:val="single" w:color="auto" w:sz="2" w:space="0"/>
              <w:right w:val="single" w:color="auto" w:sz="2" w:space="0"/>
            </w:tcBorders>
            <w:vAlign w:val="center"/>
          </w:tcPr>
          <w:p w14:paraId="5B2512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40,027.02</w:t>
            </w:r>
          </w:p>
        </w:tc>
        <w:tc>
          <w:tcPr>
            <w:tcW w:w="876" w:type="dxa"/>
            <w:tcBorders>
              <w:top w:val="single" w:color="auto" w:sz="2" w:space="0"/>
              <w:left w:val="single" w:color="auto" w:sz="2" w:space="0"/>
              <w:bottom w:val="single" w:color="auto" w:sz="2" w:space="0"/>
              <w:right w:val="single" w:color="auto" w:sz="2" w:space="0"/>
            </w:tcBorders>
            <w:vAlign w:val="center"/>
          </w:tcPr>
          <w:p w14:paraId="3D9538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10.24%</w:t>
            </w:r>
          </w:p>
        </w:tc>
        <w:tc>
          <w:tcPr>
            <w:tcW w:w="876" w:type="dxa"/>
            <w:tcBorders>
              <w:top w:val="single" w:color="auto" w:sz="2" w:space="0"/>
              <w:left w:val="single" w:color="auto" w:sz="2" w:space="0"/>
              <w:bottom w:val="single" w:color="auto" w:sz="2" w:space="0"/>
              <w:right w:val="single" w:color="auto" w:sz="2" w:space="0"/>
            </w:tcBorders>
            <w:vAlign w:val="center"/>
          </w:tcPr>
          <w:p w14:paraId="5F37EA4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350,902.64</w:t>
            </w:r>
          </w:p>
        </w:tc>
      </w:tr>
      <w:tr w14:paraId="2C55FC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3B3841CE">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组合3</w:t>
            </w:r>
          </w:p>
        </w:tc>
        <w:tc>
          <w:tcPr>
            <w:tcW w:w="876" w:type="dxa"/>
            <w:tcBorders>
              <w:top w:val="single" w:color="auto" w:sz="2" w:space="0"/>
              <w:left w:val="single" w:color="auto" w:sz="2" w:space="0"/>
              <w:bottom w:val="single" w:color="auto" w:sz="2" w:space="0"/>
              <w:right w:val="single" w:color="auto" w:sz="2" w:space="0"/>
            </w:tcBorders>
            <w:vAlign w:val="center"/>
          </w:tcPr>
          <w:p w14:paraId="3EFBA0C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641,124.25</w:t>
            </w:r>
          </w:p>
        </w:tc>
        <w:tc>
          <w:tcPr>
            <w:tcW w:w="876" w:type="dxa"/>
            <w:tcBorders>
              <w:top w:val="single" w:color="auto" w:sz="2" w:space="0"/>
              <w:left w:val="single" w:color="auto" w:sz="2" w:space="0"/>
              <w:bottom w:val="single" w:color="auto" w:sz="2" w:space="0"/>
              <w:right w:val="single" w:color="auto" w:sz="2" w:space="0"/>
            </w:tcBorders>
            <w:vAlign w:val="center"/>
          </w:tcPr>
          <w:p w14:paraId="7AA17A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0.71%</w:t>
            </w:r>
          </w:p>
        </w:tc>
        <w:tc>
          <w:tcPr>
            <w:tcW w:w="876" w:type="dxa"/>
            <w:tcBorders>
              <w:top w:val="single" w:color="auto" w:sz="2" w:space="0"/>
              <w:left w:val="single" w:color="auto" w:sz="2" w:space="0"/>
              <w:bottom w:val="single" w:color="auto" w:sz="2" w:space="0"/>
              <w:right w:val="single" w:color="auto" w:sz="2" w:space="0"/>
            </w:tcBorders>
            <w:vAlign w:val="center"/>
          </w:tcPr>
          <w:p w14:paraId="6505EFF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78,350.67</w:t>
            </w:r>
          </w:p>
        </w:tc>
        <w:tc>
          <w:tcPr>
            <w:tcW w:w="876" w:type="dxa"/>
            <w:tcBorders>
              <w:top w:val="single" w:color="auto" w:sz="2" w:space="0"/>
              <w:left w:val="single" w:color="auto" w:sz="2" w:space="0"/>
              <w:bottom w:val="single" w:color="auto" w:sz="2" w:space="0"/>
              <w:right w:val="single" w:color="auto" w:sz="2" w:space="0"/>
            </w:tcBorders>
            <w:vAlign w:val="center"/>
          </w:tcPr>
          <w:p w14:paraId="0FBD61B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12.22%</w:t>
            </w:r>
          </w:p>
        </w:tc>
        <w:tc>
          <w:tcPr>
            <w:tcW w:w="876" w:type="dxa"/>
            <w:tcBorders>
              <w:top w:val="single" w:color="auto" w:sz="2" w:space="0"/>
              <w:left w:val="single" w:color="auto" w:sz="2" w:space="0"/>
              <w:bottom w:val="single" w:color="auto" w:sz="2" w:space="0"/>
              <w:right w:val="single" w:color="auto" w:sz="2" w:space="0"/>
            </w:tcBorders>
            <w:vAlign w:val="center"/>
          </w:tcPr>
          <w:p w14:paraId="4A28C7C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562,773.58</w:t>
            </w:r>
          </w:p>
        </w:tc>
        <w:tc>
          <w:tcPr>
            <w:tcW w:w="876" w:type="dxa"/>
            <w:tcBorders>
              <w:top w:val="single" w:color="auto" w:sz="2" w:space="0"/>
              <w:left w:val="single" w:color="auto" w:sz="2" w:space="0"/>
              <w:bottom w:val="single" w:color="auto" w:sz="2" w:space="0"/>
              <w:right w:val="single" w:color="auto" w:sz="2" w:space="0"/>
            </w:tcBorders>
            <w:vAlign w:val="center"/>
          </w:tcPr>
          <w:p w14:paraId="6AC8B45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218,440.25</w:t>
            </w:r>
          </w:p>
        </w:tc>
        <w:tc>
          <w:tcPr>
            <w:tcW w:w="876" w:type="dxa"/>
            <w:tcBorders>
              <w:top w:val="single" w:color="auto" w:sz="2" w:space="0"/>
              <w:left w:val="single" w:color="auto" w:sz="2" w:space="0"/>
              <w:bottom w:val="single" w:color="auto" w:sz="2" w:space="0"/>
              <w:right w:val="single" w:color="auto" w:sz="2" w:space="0"/>
            </w:tcBorders>
            <w:vAlign w:val="center"/>
          </w:tcPr>
          <w:p w14:paraId="1F2BEBF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0.33%</w:t>
            </w:r>
          </w:p>
        </w:tc>
        <w:tc>
          <w:tcPr>
            <w:tcW w:w="876" w:type="dxa"/>
            <w:tcBorders>
              <w:top w:val="single" w:color="auto" w:sz="2" w:space="0"/>
              <w:left w:val="single" w:color="auto" w:sz="2" w:space="0"/>
              <w:bottom w:val="single" w:color="auto" w:sz="2" w:space="0"/>
              <w:right w:val="single" w:color="auto" w:sz="2" w:space="0"/>
            </w:tcBorders>
            <w:vAlign w:val="center"/>
          </w:tcPr>
          <w:p w14:paraId="0D27501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37,893.89</w:t>
            </w:r>
          </w:p>
        </w:tc>
        <w:tc>
          <w:tcPr>
            <w:tcW w:w="876" w:type="dxa"/>
            <w:tcBorders>
              <w:top w:val="single" w:color="auto" w:sz="2" w:space="0"/>
              <w:left w:val="single" w:color="auto" w:sz="2" w:space="0"/>
              <w:bottom w:val="single" w:color="auto" w:sz="2" w:space="0"/>
              <w:right w:val="single" w:color="auto" w:sz="2" w:space="0"/>
            </w:tcBorders>
            <w:vAlign w:val="center"/>
          </w:tcPr>
          <w:p w14:paraId="66AAC0D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17.35%</w:t>
            </w:r>
          </w:p>
        </w:tc>
        <w:tc>
          <w:tcPr>
            <w:tcW w:w="876" w:type="dxa"/>
            <w:tcBorders>
              <w:top w:val="single" w:color="auto" w:sz="2" w:space="0"/>
              <w:left w:val="single" w:color="auto" w:sz="2" w:space="0"/>
              <w:bottom w:val="single" w:color="auto" w:sz="2" w:space="0"/>
              <w:right w:val="single" w:color="auto" w:sz="2" w:space="0"/>
            </w:tcBorders>
            <w:vAlign w:val="center"/>
          </w:tcPr>
          <w:p w14:paraId="4153075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180,546.36</w:t>
            </w:r>
          </w:p>
        </w:tc>
      </w:tr>
      <w:tr w14:paraId="14B548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76" w:type="dxa"/>
            <w:tcBorders>
              <w:top w:val="single" w:color="auto" w:sz="2" w:space="0"/>
              <w:left w:val="single" w:color="auto" w:sz="2" w:space="0"/>
              <w:bottom w:val="single" w:color="auto" w:sz="2" w:space="0"/>
              <w:right w:val="single" w:color="auto" w:sz="2" w:space="0"/>
            </w:tcBorders>
            <w:shd w:val="clear" w:color="auto" w:fill="D3D3D3"/>
            <w:vAlign w:val="center"/>
          </w:tcPr>
          <w:p w14:paraId="37135A12">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76" w:type="dxa"/>
            <w:tcBorders>
              <w:top w:val="single" w:color="auto" w:sz="2" w:space="0"/>
              <w:left w:val="single" w:color="auto" w:sz="2" w:space="0"/>
              <w:bottom w:val="single" w:color="auto" w:sz="2" w:space="0"/>
              <w:right w:val="single" w:color="auto" w:sz="2" w:space="0"/>
            </w:tcBorders>
            <w:vAlign w:val="center"/>
          </w:tcPr>
          <w:p w14:paraId="7BB5A2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89,754,189.90</w:t>
            </w:r>
          </w:p>
        </w:tc>
        <w:tc>
          <w:tcPr>
            <w:tcW w:w="876" w:type="dxa"/>
            <w:tcBorders>
              <w:top w:val="single" w:color="auto" w:sz="2" w:space="0"/>
              <w:left w:val="single" w:color="auto" w:sz="2" w:space="0"/>
              <w:bottom w:val="single" w:color="auto" w:sz="2" w:space="0"/>
              <w:right w:val="single" w:color="auto" w:sz="2" w:space="0"/>
            </w:tcBorders>
            <w:vAlign w:val="center"/>
          </w:tcPr>
          <w:p w14:paraId="75A7BA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06738EF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c>
          <w:tcPr>
            <w:tcW w:w="876" w:type="dxa"/>
            <w:tcBorders>
              <w:top w:val="single" w:color="auto" w:sz="2" w:space="0"/>
              <w:left w:val="single" w:color="auto" w:sz="2" w:space="0"/>
              <w:bottom w:val="single" w:color="auto" w:sz="2" w:space="0"/>
              <w:right w:val="single" w:color="auto" w:sz="2" w:space="0"/>
            </w:tcBorders>
            <w:vAlign w:val="center"/>
          </w:tcPr>
          <w:p w14:paraId="5C024F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w:t>
            </w:r>
          </w:p>
        </w:tc>
        <w:tc>
          <w:tcPr>
            <w:tcW w:w="876" w:type="dxa"/>
            <w:tcBorders>
              <w:top w:val="single" w:color="auto" w:sz="2" w:space="0"/>
              <w:left w:val="single" w:color="auto" w:sz="2" w:space="0"/>
              <w:bottom w:val="single" w:color="auto" w:sz="2" w:space="0"/>
              <w:right w:val="single" w:color="auto" w:sz="2" w:space="0"/>
            </w:tcBorders>
            <w:vAlign w:val="center"/>
          </w:tcPr>
          <w:p w14:paraId="13D4A29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88,855,492.30</w:t>
            </w:r>
          </w:p>
        </w:tc>
        <w:tc>
          <w:tcPr>
            <w:tcW w:w="876" w:type="dxa"/>
            <w:tcBorders>
              <w:top w:val="single" w:color="auto" w:sz="2" w:space="0"/>
              <w:left w:val="single" w:color="auto" w:sz="2" w:space="0"/>
              <w:bottom w:val="single" w:color="auto" w:sz="2" w:space="0"/>
              <w:right w:val="single" w:color="auto" w:sz="2" w:space="0"/>
            </w:tcBorders>
            <w:vAlign w:val="center"/>
          </w:tcPr>
          <w:p w14:paraId="4D3B238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65,685,955.60</w:t>
            </w:r>
          </w:p>
        </w:tc>
        <w:tc>
          <w:tcPr>
            <w:tcW w:w="876" w:type="dxa"/>
            <w:tcBorders>
              <w:top w:val="single" w:color="auto" w:sz="2" w:space="0"/>
              <w:left w:val="single" w:color="auto" w:sz="2" w:space="0"/>
              <w:bottom w:val="single" w:color="auto" w:sz="2" w:space="0"/>
              <w:right w:val="single" w:color="auto" w:sz="2" w:space="0"/>
            </w:tcBorders>
            <w:vAlign w:val="center"/>
          </w:tcPr>
          <w:p w14:paraId="3BB878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w:t>
            </w:r>
          </w:p>
        </w:tc>
        <w:tc>
          <w:tcPr>
            <w:tcW w:w="876" w:type="dxa"/>
            <w:tcBorders>
              <w:top w:val="single" w:color="auto" w:sz="2" w:space="0"/>
              <w:left w:val="single" w:color="auto" w:sz="2" w:space="0"/>
              <w:bottom w:val="single" w:color="auto" w:sz="2" w:space="0"/>
              <w:right w:val="single" w:color="auto" w:sz="2" w:space="0"/>
            </w:tcBorders>
            <w:vAlign w:val="center"/>
          </w:tcPr>
          <w:p w14:paraId="570DC75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c>
          <w:tcPr>
            <w:tcW w:w="876" w:type="dxa"/>
            <w:tcBorders>
              <w:top w:val="single" w:color="auto" w:sz="2" w:space="0"/>
              <w:left w:val="single" w:color="auto" w:sz="2" w:space="0"/>
              <w:bottom w:val="single" w:color="auto" w:sz="2" w:space="0"/>
              <w:right w:val="single" w:color="auto" w:sz="2" w:space="0"/>
            </w:tcBorders>
            <w:vAlign w:val="center"/>
          </w:tcPr>
          <w:p w14:paraId="066B6CF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w:t>
            </w:r>
          </w:p>
        </w:tc>
        <w:tc>
          <w:tcPr>
            <w:tcW w:w="876" w:type="dxa"/>
            <w:tcBorders>
              <w:top w:val="single" w:color="auto" w:sz="2" w:space="0"/>
              <w:left w:val="single" w:color="auto" w:sz="2" w:space="0"/>
              <w:bottom w:val="single" w:color="auto" w:sz="2" w:space="0"/>
              <w:right w:val="single" w:color="auto" w:sz="2" w:space="0"/>
            </w:tcBorders>
            <w:vAlign w:val="center"/>
          </w:tcPr>
          <w:p w14:paraId="3F6DE9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64,975,199.68</w:t>
            </w:r>
          </w:p>
        </w:tc>
      </w:tr>
    </w:tbl>
    <w:p w14:paraId="526ACC4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按预期信用损失一般模型计提坏账准备：</w:t>
      </w:r>
    </w:p>
    <w:p w14:paraId="7988CDE4">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1F6FAD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BFF0D3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06A5B8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第一阶段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8541C4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第二阶段</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F7146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第三阶段</w:t>
            </w:r>
          </w:p>
        </w:tc>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0532B29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r>
      <w:tr w14:paraId="420313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4C261E8">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DB886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未来12个月预期信用损失</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F89D5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整个存续期预期信用损失(未发生信用减值)</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A94EA9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整个存续期预期信用损失(已发生信用减值)</w:t>
            </w:r>
          </w:p>
        </w:tc>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51E16D1">
            <w:pPr>
              <w:rPr>
                <w:rFonts w:ascii="Times New Roman" w:hAnsi="Times New Roman" w:cs="Times New Roman" w:eastAsiaTheme="majorEastAsia"/>
              </w:rPr>
            </w:pPr>
          </w:p>
        </w:tc>
      </w:tr>
      <w:tr w14:paraId="7940F5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7062D8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2024年1月1日余额</w:t>
            </w:r>
          </w:p>
        </w:tc>
        <w:tc>
          <w:tcPr>
            <w:tcW w:w="1928" w:type="dxa"/>
            <w:tcBorders>
              <w:top w:val="single" w:color="auto" w:sz="2" w:space="0"/>
              <w:left w:val="single" w:color="auto" w:sz="2" w:space="0"/>
              <w:bottom w:val="single" w:color="auto" w:sz="2" w:space="0"/>
              <w:right w:val="single" w:color="auto" w:sz="2" w:space="0"/>
            </w:tcBorders>
            <w:vAlign w:val="center"/>
          </w:tcPr>
          <w:p w14:paraId="642D42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c>
          <w:tcPr>
            <w:tcW w:w="1928" w:type="dxa"/>
            <w:tcBorders>
              <w:top w:val="single" w:color="auto" w:sz="2" w:space="0"/>
              <w:left w:val="single" w:color="auto" w:sz="2" w:space="0"/>
              <w:bottom w:val="single" w:color="auto" w:sz="2" w:space="0"/>
              <w:right w:val="single" w:color="auto" w:sz="2" w:space="0"/>
            </w:tcBorders>
            <w:vAlign w:val="center"/>
          </w:tcPr>
          <w:p w14:paraId="4DE7008C">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3F2DF937">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C0F956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r>
      <w:tr w14:paraId="719827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9BF2C8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2024年1月1日余额在本期</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4C3A138">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283CF41">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171420F">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B3C90DC">
            <w:pPr>
              <w:rPr>
                <w:rFonts w:ascii="Times New Roman" w:hAnsi="Times New Roman" w:cs="Times New Roman" w:eastAsiaTheme="majorEastAsia"/>
              </w:rPr>
            </w:pPr>
          </w:p>
        </w:tc>
      </w:tr>
      <w:tr w14:paraId="17E0F1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111AF84">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w:t>
            </w:r>
          </w:p>
        </w:tc>
        <w:tc>
          <w:tcPr>
            <w:tcW w:w="1928" w:type="dxa"/>
            <w:tcBorders>
              <w:top w:val="single" w:color="auto" w:sz="2" w:space="0"/>
              <w:left w:val="single" w:color="auto" w:sz="2" w:space="0"/>
              <w:bottom w:val="single" w:color="auto" w:sz="2" w:space="0"/>
              <w:right w:val="single" w:color="auto" w:sz="2" w:space="0"/>
            </w:tcBorders>
            <w:vAlign w:val="center"/>
          </w:tcPr>
          <w:p w14:paraId="53D1FFD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187,941.68</w:t>
            </w:r>
          </w:p>
        </w:tc>
        <w:tc>
          <w:tcPr>
            <w:tcW w:w="1928" w:type="dxa"/>
            <w:tcBorders>
              <w:top w:val="single" w:color="auto" w:sz="2" w:space="0"/>
              <w:left w:val="single" w:color="auto" w:sz="2" w:space="0"/>
              <w:bottom w:val="single" w:color="auto" w:sz="2" w:space="0"/>
              <w:right w:val="single" w:color="auto" w:sz="2" w:space="0"/>
            </w:tcBorders>
            <w:vAlign w:val="center"/>
          </w:tcPr>
          <w:p w14:paraId="227A3DEE">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A399749">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435F3E6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187,941.68</w:t>
            </w:r>
          </w:p>
        </w:tc>
      </w:tr>
      <w:tr w14:paraId="64F610E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4172DE9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2024年12月31日余额</w:t>
            </w:r>
          </w:p>
        </w:tc>
        <w:tc>
          <w:tcPr>
            <w:tcW w:w="1928" w:type="dxa"/>
            <w:tcBorders>
              <w:top w:val="single" w:color="auto" w:sz="2" w:space="0"/>
              <w:left w:val="single" w:color="auto" w:sz="2" w:space="0"/>
              <w:bottom w:val="single" w:color="auto" w:sz="2" w:space="0"/>
              <w:right w:val="single" w:color="auto" w:sz="2" w:space="0"/>
            </w:tcBorders>
            <w:vAlign w:val="center"/>
          </w:tcPr>
          <w:p w14:paraId="3E915D0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c>
          <w:tcPr>
            <w:tcW w:w="1928" w:type="dxa"/>
            <w:tcBorders>
              <w:top w:val="single" w:color="auto" w:sz="2" w:space="0"/>
              <w:left w:val="single" w:color="auto" w:sz="2" w:space="0"/>
              <w:bottom w:val="single" w:color="auto" w:sz="2" w:space="0"/>
              <w:right w:val="single" w:color="auto" w:sz="2" w:space="0"/>
            </w:tcBorders>
            <w:vAlign w:val="center"/>
          </w:tcPr>
          <w:p w14:paraId="269F2B81">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4DB6ACA">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7D8EA91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r>
    </w:tbl>
    <w:p w14:paraId="1584667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各阶段划分依据和坏账准备计提比例</w:t>
      </w:r>
    </w:p>
    <w:p w14:paraId="06C676D4">
      <w:pPr>
        <w:rPr>
          <w:rFonts w:ascii="Times New Roman" w:hAnsi="Times New Roman" w:cs="Times New Roman" w:eastAsiaTheme="majorEastAsia"/>
          <w:sz w:val="18"/>
          <w:szCs w:val="18"/>
        </w:rPr>
      </w:pPr>
    </w:p>
    <w:p w14:paraId="4A7C1BC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损失准备本期变动金额重大的账面余额变动情况</w:t>
      </w:r>
    </w:p>
    <w:p w14:paraId="41764341">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107D4293">
      <w:pPr>
        <w:keepNext/>
        <w:keepLines/>
        <w:spacing w:before="300" w:after="300" w:line="280" w:lineRule="exact"/>
        <w:outlineLvl w:val="4"/>
        <w:rPr>
          <w:rFonts w:ascii="Times New Roman" w:hAnsi="Times New Roman" w:cs="Times New Roman" w:eastAsiaTheme="majorEastAsia"/>
          <w:b/>
          <w:bCs/>
          <w:sz w:val="18"/>
          <w:szCs w:val="18"/>
        </w:rPr>
      </w:pPr>
      <w:bookmarkStart w:id="508" w:name="_Toc989400"/>
      <w:r>
        <w:rPr>
          <w:rFonts w:ascii="Times New Roman" w:hAnsi="Times New Roman" w:cs="Times New Roman" w:eastAsiaTheme="majorEastAsia"/>
          <w:b/>
          <w:bCs/>
          <w:sz w:val="18"/>
          <w:szCs w:val="18"/>
        </w:rPr>
        <w:t>4） 本期计提、收回或转回的坏账准备情况</w:t>
      </w:r>
      <w:bookmarkEnd w:id="508"/>
    </w:p>
    <w:p w14:paraId="60F9199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本期计提坏账准备情况：</w:t>
      </w:r>
    </w:p>
    <w:p w14:paraId="7AFA35B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4F9D53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C5F3F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类别</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61E018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c>
          <w:tcPr>
            <w:tcW w:w="5508" w:type="dxa"/>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2F069B6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本期变动金额</w:t>
            </w:r>
          </w:p>
        </w:tc>
        <w:tc>
          <w:tcPr>
            <w:tcW w:w="1377"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38C7FD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r>
      <w:tr w14:paraId="431A13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D8EA400">
            <w:pPr>
              <w:rPr>
                <w:rFonts w:ascii="Times New Roman" w:hAnsi="Times New Roman" w:cs="Times New Roman" w:eastAsiaTheme="majorEastAsia"/>
              </w:rPr>
            </w:pP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678D82D">
            <w:pPr>
              <w:rPr>
                <w:rFonts w:ascii="Times New Roman" w:hAnsi="Times New Roman" w:cs="Times New Roman" w:eastAsiaTheme="majorEastAsia"/>
              </w:rPr>
            </w:pP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2ED035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4E904B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7045FC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转销或核销</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649ABAC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1377"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EA3F49E">
            <w:pPr>
              <w:rPr>
                <w:rFonts w:ascii="Times New Roman" w:hAnsi="Times New Roman" w:cs="Times New Roman" w:eastAsiaTheme="majorEastAsia"/>
              </w:rPr>
            </w:pPr>
          </w:p>
        </w:tc>
      </w:tr>
      <w:tr w14:paraId="715616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5A31F86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账龄组合</w:t>
            </w:r>
          </w:p>
        </w:tc>
        <w:tc>
          <w:tcPr>
            <w:tcW w:w="1377" w:type="dxa"/>
            <w:tcBorders>
              <w:top w:val="single" w:color="auto" w:sz="2" w:space="0"/>
              <w:left w:val="single" w:color="auto" w:sz="2" w:space="0"/>
              <w:bottom w:val="single" w:color="auto" w:sz="2" w:space="0"/>
              <w:right w:val="single" w:color="auto" w:sz="2" w:space="0"/>
            </w:tcBorders>
            <w:vAlign w:val="center"/>
          </w:tcPr>
          <w:p w14:paraId="1C55102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c>
          <w:tcPr>
            <w:tcW w:w="1377" w:type="dxa"/>
            <w:tcBorders>
              <w:top w:val="single" w:color="auto" w:sz="2" w:space="0"/>
              <w:left w:val="single" w:color="auto" w:sz="2" w:space="0"/>
              <w:bottom w:val="single" w:color="auto" w:sz="2" w:space="0"/>
              <w:right w:val="single" w:color="auto" w:sz="2" w:space="0"/>
            </w:tcBorders>
            <w:vAlign w:val="center"/>
          </w:tcPr>
          <w:p w14:paraId="5B74322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187,941.68</w:t>
            </w:r>
          </w:p>
        </w:tc>
        <w:tc>
          <w:tcPr>
            <w:tcW w:w="1377" w:type="dxa"/>
            <w:tcBorders>
              <w:top w:val="single" w:color="auto" w:sz="2" w:space="0"/>
              <w:left w:val="single" w:color="auto" w:sz="2" w:space="0"/>
              <w:bottom w:val="single" w:color="auto" w:sz="2" w:space="0"/>
              <w:right w:val="single" w:color="auto" w:sz="2" w:space="0"/>
            </w:tcBorders>
            <w:vAlign w:val="center"/>
          </w:tcPr>
          <w:p w14:paraId="0266F671">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740A72DB">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FEC2035">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35E6F26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r>
      <w:tr w14:paraId="6749CD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925CDBC">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377" w:type="dxa"/>
            <w:tcBorders>
              <w:top w:val="single" w:color="auto" w:sz="2" w:space="0"/>
              <w:left w:val="single" w:color="auto" w:sz="2" w:space="0"/>
              <w:bottom w:val="single" w:color="auto" w:sz="2" w:space="0"/>
              <w:right w:val="single" w:color="auto" w:sz="2" w:space="0"/>
            </w:tcBorders>
            <w:vAlign w:val="center"/>
          </w:tcPr>
          <w:p w14:paraId="6B26A6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710,755.92</w:t>
            </w:r>
          </w:p>
        </w:tc>
        <w:tc>
          <w:tcPr>
            <w:tcW w:w="1377" w:type="dxa"/>
            <w:tcBorders>
              <w:top w:val="single" w:color="auto" w:sz="2" w:space="0"/>
              <w:left w:val="single" w:color="auto" w:sz="2" w:space="0"/>
              <w:bottom w:val="single" w:color="auto" w:sz="2" w:space="0"/>
              <w:right w:val="single" w:color="auto" w:sz="2" w:space="0"/>
            </w:tcBorders>
            <w:vAlign w:val="center"/>
          </w:tcPr>
          <w:p w14:paraId="2766A06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187,941.68</w:t>
            </w:r>
          </w:p>
        </w:tc>
        <w:tc>
          <w:tcPr>
            <w:tcW w:w="1377" w:type="dxa"/>
            <w:tcBorders>
              <w:top w:val="single" w:color="auto" w:sz="2" w:space="0"/>
              <w:left w:val="single" w:color="auto" w:sz="2" w:space="0"/>
              <w:bottom w:val="single" w:color="auto" w:sz="2" w:space="0"/>
              <w:right w:val="single" w:color="auto" w:sz="2" w:space="0"/>
            </w:tcBorders>
            <w:vAlign w:val="center"/>
          </w:tcPr>
          <w:p w14:paraId="1BB3C60F">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06D7EDFA">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514423A8">
            <w:pPr>
              <w:spacing w:line="240" w:lineRule="exact"/>
              <w:jc w:val="right"/>
              <w:rPr>
                <w:rFonts w:ascii="Times New Roman" w:hAnsi="Times New Roman" w:cs="Times New Roman" w:eastAsiaTheme="majorEastAsia"/>
                <w:sz w:val="18"/>
                <w:szCs w:val="18"/>
              </w:rPr>
            </w:pPr>
          </w:p>
        </w:tc>
        <w:tc>
          <w:tcPr>
            <w:tcW w:w="1377" w:type="dxa"/>
            <w:tcBorders>
              <w:top w:val="single" w:color="auto" w:sz="2" w:space="0"/>
              <w:left w:val="single" w:color="auto" w:sz="2" w:space="0"/>
              <w:bottom w:val="single" w:color="auto" w:sz="2" w:space="0"/>
              <w:right w:val="single" w:color="auto" w:sz="2" w:space="0"/>
            </w:tcBorders>
            <w:vAlign w:val="center"/>
          </w:tcPr>
          <w:p w14:paraId="299FAE1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898,697.60</w:t>
            </w:r>
          </w:p>
        </w:tc>
      </w:tr>
    </w:tbl>
    <w:p w14:paraId="584E2C8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其中本期坏账准备转回或收回金额重要的：</w:t>
      </w:r>
    </w:p>
    <w:p w14:paraId="4708B62C">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34111E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56C9E6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D2161B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收回或转回金额</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425632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转回原因</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29EA27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收回方式</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3589BB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确定原坏账准备计提比例的依据及其合理性</w:t>
            </w:r>
          </w:p>
        </w:tc>
      </w:tr>
    </w:tbl>
    <w:p w14:paraId="6AA07021">
      <w:pPr>
        <w:keepNext/>
        <w:keepLines/>
        <w:spacing w:before="300" w:after="300" w:line="280" w:lineRule="exact"/>
        <w:outlineLvl w:val="4"/>
        <w:rPr>
          <w:rFonts w:ascii="Times New Roman" w:hAnsi="Times New Roman" w:cs="Times New Roman" w:eastAsiaTheme="majorEastAsia"/>
          <w:b/>
          <w:bCs/>
          <w:sz w:val="18"/>
          <w:szCs w:val="18"/>
        </w:rPr>
      </w:pPr>
      <w:bookmarkStart w:id="509" w:name="_Toc989401"/>
      <w:r>
        <w:rPr>
          <w:rFonts w:ascii="Times New Roman" w:hAnsi="Times New Roman" w:cs="Times New Roman" w:eastAsiaTheme="majorEastAsia"/>
          <w:b/>
          <w:bCs/>
          <w:sz w:val="18"/>
          <w:szCs w:val="18"/>
        </w:rPr>
        <w:t>5） 本期实际核销的其他应收款情况</w:t>
      </w:r>
      <w:bookmarkEnd w:id="509"/>
    </w:p>
    <w:p w14:paraId="7DC75AD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4820"/>
        <w:gridCol w:w="4819"/>
      </w:tblGrid>
      <w:tr w14:paraId="2508D2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34C50C0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4820" w:type="dxa"/>
            <w:tcBorders>
              <w:top w:val="single" w:color="auto" w:sz="2" w:space="0"/>
              <w:left w:val="single" w:color="auto" w:sz="2" w:space="0"/>
              <w:bottom w:val="single" w:color="auto" w:sz="2" w:space="0"/>
              <w:right w:val="single" w:color="auto" w:sz="2" w:space="0"/>
            </w:tcBorders>
            <w:shd w:val="clear" w:color="auto" w:fill="D3D3D3"/>
            <w:vAlign w:val="center"/>
          </w:tcPr>
          <w:p w14:paraId="25937F7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r>
    </w:tbl>
    <w:p w14:paraId="58CBE304">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其中重要的其他应收款核销情况：</w:t>
      </w:r>
    </w:p>
    <w:p w14:paraId="59663F29">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68C591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C263A9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776F2E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3290C3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核销金额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572376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核销原因</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4286D76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履行的核销程序</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89D617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款项是否由关联交易产生</w:t>
            </w:r>
          </w:p>
        </w:tc>
      </w:tr>
    </w:tbl>
    <w:p w14:paraId="61F345DA">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其他应收款核销说明：</w:t>
      </w:r>
    </w:p>
    <w:p w14:paraId="4782C469">
      <w:pPr>
        <w:keepNext/>
        <w:keepLines/>
        <w:spacing w:before="300" w:after="300" w:line="280" w:lineRule="exact"/>
        <w:outlineLvl w:val="4"/>
        <w:rPr>
          <w:rFonts w:ascii="Times New Roman" w:hAnsi="Times New Roman" w:cs="Times New Roman" w:eastAsiaTheme="majorEastAsia"/>
          <w:b/>
          <w:bCs/>
          <w:sz w:val="18"/>
          <w:szCs w:val="18"/>
        </w:rPr>
      </w:pPr>
      <w:bookmarkStart w:id="510" w:name="_Toc989402"/>
      <w:r>
        <w:rPr>
          <w:rFonts w:ascii="Times New Roman" w:hAnsi="Times New Roman" w:cs="Times New Roman" w:eastAsiaTheme="majorEastAsia"/>
          <w:b/>
          <w:bCs/>
          <w:sz w:val="18"/>
          <w:szCs w:val="18"/>
        </w:rPr>
        <w:t>6） 按欠款方归集的期末余额前五名的其他应收款情况</w:t>
      </w:r>
      <w:bookmarkEnd w:id="510"/>
    </w:p>
    <w:p w14:paraId="57EC9CF5">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06"/>
        <w:gridCol w:w="1606"/>
        <w:gridCol w:w="1606"/>
        <w:gridCol w:w="1607"/>
        <w:gridCol w:w="1607"/>
        <w:gridCol w:w="1607"/>
      </w:tblGrid>
      <w:tr w14:paraId="400A88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57A0F68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单位名称</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22251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款项的性质</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37652C3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45BB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账龄</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64B48B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占其他应收款期末余额合计数的比例</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03FDB88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坏账准备期末余额</w:t>
            </w:r>
          </w:p>
        </w:tc>
      </w:tr>
      <w:tr w14:paraId="1DE010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F17394D">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5CA7F24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508B06C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20,266,872.88</w:t>
            </w:r>
          </w:p>
        </w:tc>
        <w:tc>
          <w:tcPr>
            <w:tcW w:w="1606" w:type="dxa"/>
            <w:tcBorders>
              <w:top w:val="single" w:color="auto" w:sz="2" w:space="0"/>
              <w:left w:val="single" w:color="auto" w:sz="2" w:space="0"/>
              <w:bottom w:val="single" w:color="auto" w:sz="2" w:space="0"/>
              <w:right w:val="single" w:color="auto" w:sz="2" w:space="0"/>
            </w:tcBorders>
            <w:vAlign w:val="center"/>
          </w:tcPr>
          <w:p w14:paraId="70FE4EBA">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1年以内至2年</w:t>
            </w:r>
          </w:p>
        </w:tc>
        <w:tc>
          <w:tcPr>
            <w:tcW w:w="1606" w:type="dxa"/>
            <w:tcBorders>
              <w:top w:val="single" w:color="auto" w:sz="2" w:space="0"/>
              <w:left w:val="single" w:color="auto" w:sz="2" w:space="0"/>
              <w:bottom w:val="single" w:color="auto" w:sz="2" w:space="0"/>
              <w:right w:val="single" w:color="auto" w:sz="2" w:space="0"/>
            </w:tcBorders>
            <w:vAlign w:val="center"/>
          </w:tcPr>
          <w:p w14:paraId="5F42046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22.58%</w:t>
            </w:r>
          </w:p>
        </w:tc>
        <w:tc>
          <w:tcPr>
            <w:tcW w:w="1606" w:type="dxa"/>
            <w:tcBorders>
              <w:top w:val="single" w:color="auto" w:sz="2" w:space="0"/>
              <w:left w:val="single" w:color="auto" w:sz="2" w:space="0"/>
              <w:bottom w:val="single" w:color="auto" w:sz="2" w:space="0"/>
              <w:right w:val="single" w:color="auto" w:sz="2" w:space="0"/>
            </w:tcBorders>
            <w:vAlign w:val="center"/>
          </w:tcPr>
          <w:p w14:paraId="05F2040D">
            <w:pPr>
              <w:spacing w:line="240" w:lineRule="exact"/>
              <w:jc w:val="right"/>
              <w:rPr>
                <w:rFonts w:ascii="Times New Roman" w:hAnsi="Times New Roman" w:cs="Times New Roman" w:eastAsiaTheme="majorEastAsia"/>
                <w:sz w:val="18"/>
                <w:szCs w:val="18"/>
              </w:rPr>
            </w:pPr>
          </w:p>
        </w:tc>
      </w:tr>
      <w:tr w14:paraId="78D8C2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48D4C1D2">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A8D682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69903E4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18,545,922.39</w:t>
            </w:r>
          </w:p>
        </w:tc>
        <w:tc>
          <w:tcPr>
            <w:tcW w:w="1606" w:type="dxa"/>
            <w:tcBorders>
              <w:top w:val="single" w:color="auto" w:sz="2" w:space="0"/>
              <w:left w:val="single" w:color="auto" w:sz="2" w:space="0"/>
              <w:bottom w:val="single" w:color="auto" w:sz="2" w:space="0"/>
              <w:right w:val="single" w:color="auto" w:sz="2" w:space="0"/>
            </w:tcBorders>
            <w:vAlign w:val="center"/>
          </w:tcPr>
          <w:p w14:paraId="290D798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1年以内至2年</w:t>
            </w:r>
          </w:p>
        </w:tc>
        <w:tc>
          <w:tcPr>
            <w:tcW w:w="1606" w:type="dxa"/>
            <w:tcBorders>
              <w:top w:val="single" w:color="auto" w:sz="2" w:space="0"/>
              <w:left w:val="single" w:color="auto" w:sz="2" w:space="0"/>
              <w:bottom w:val="single" w:color="auto" w:sz="2" w:space="0"/>
              <w:right w:val="single" w:color="auto" w:sz="2" w:space="0"/>
            </w:tcBorders>
            <w:vAlign w:val="center"/>
          </w:tcPr>
          <w:p w14:paraId="2DDB1B7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20.66%</w:t>
            </w:r>
          </w:p>
        </w:tc>
        <w:tc>
          <w:tcPr>
            <w:tcW w:w="1606" w:type="dxa"/>
            <w:tcBorders>
              <w:top w:val="single" w:color="auto" w:sz="2" w:space="0"/>
              <w:left w:val="single" w:color="auto" w:sz="2" w:space="0"/>
              <w:bottom w:val="single" w:color="auto" w:sz="2" w:space="0"/>
              <w:right w:val="single" w:color="auto" w:sz="2" w:space="0"/>
            </w:tcBorders>
            <w:vAlign w:val="center"/>
          </w:tcPr>
          <w:p w14:paraId="0C348590">
            <w:pPr>
              <w:spacing w:line="240" w:lineRule="exact"/>
              <w:jc w:val="right"/>
              <w:rPr>
                <w:rFonts w:ascii="Times New Roman" w:hAnsi="Times New Roman" w:cs="Times New Roman" w:eastAsiaTheme="majorEastAsia"/>
                <w:sz w:val="18"/>
                <w:szCs w:val="18"/>
              </w:rPr>
            </w:pPr>
          </w:p>
        </w:tc>
      </w:tr>
      <w:tr w14:paraId="757749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563B6011">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26C9EED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0B39810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14,778,105.78</w:t>
            </w:r>
          </w:p>
        </w:tc>
        <w:tc>
          <w:tcPr>
            <w:tcW w:w="1606" w:type="dxa"/>
            <w:tcBorders>
              <w:top w:val="single" w:color="auto" w:sz="2" w:space="0"/>
              <w:left w:val="single" w:color="auto" w:sz="2" w:space="0"/>
              <w:bottom w:val="single" w:color="auto" w:sz="2" w:space="0"/>
              <w:right w:val="single" w:color="auto" w:sz="2" w:space="0"/>
            </w:tcBorders>
            <w:vAlign w:val="center"/>
          </w:tcPr>
          <w:p w14:paraId="14497B6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7B46D4B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16.47%</w:t>
            </w:r>
          </w:p>
        </w:tc>
        <w:tc>
          <w:tcPr>
            <w:tcW w:w="1606" w:type="dxa"/>
            <w:tcBorders>
              <w:top w:val="single" w:color="auto" w:sz="2" w:space="0"/>
              <w:left w:val="single" w:color="auto" w:sz="2" w:space="0"/>
              <w:bottom w:val="single" w:color="auto" w:sz="2" w:space="0"/>
              <w:right w:val="single" w:color="auto" w:sz="2" w:space="0"/>
            </w:tcBorders>
            <w:vAlign w:val="center"/>
          </w:tcPr>
          <w:p w14:paraId="39A5C8F3">
            <w:pPr>
              <w:spacing w:line="240" w:lineRule="exact"/>
              <w:jc w:val="right"/>
              <w:rPr>
                <w:rFonts w:ascii="Times New Roman" w:hAnsi="Times New Roman" w:cs="Times New Roman" w:eastAsiaTheme="majorEastAsia"/>
                <w:sz w:val="18"/>
                <w:szCs w:val="18"/>
              </w:rPr>
            </w:pPr>
          </w:p>
        </w:tc>
      </w:tr>
      <w:tr w14:paraId="3E05D0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89FF14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38D4DEB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5E10A9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14,469,938.50</w:t>
            </w:r>
          </w:p>
        </w:tc>
        <w:tc>
          <w:tcPr>
            <w:tcW w:w="1606" w:type="dxa"/>
            <w:tcBorders>
              <w:top w:val="single" w:color="auto" w:sz="2" w:space="0"/>
              <w:left w:val="single" w:color="auto" w:sz="2" w:space="0"/>
              <w:bottom w:val="single" w:color="auto" w:sz="2" w:space="0"/>
              <w:right w:val="single" w:color="auto" w:sz="2" w:space="0"/>
            </w:tcBorders>
            <w:vAlign w:val="center"/>
          </w:tcPr>
          <w:p w14:paraId="3F9BB55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0C57231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16.12%</w:t>
            </w:r>
          </w:p>
        </w:tc>
        <w:tc>
          <w:tcPr>
            <w:tcW w:w="1606" w:type="dxa"/>
            <w:tcBorders>
              <w:top w:val="single" w:color="auto" w:sz="2" w:space="0"/>
              <w:left w:val="single" w:color="auto" w:sz="2" w:space="0"/>
              <w:bottom w:val="single" w:color="auto" w:sz="2" w:space="0"/>
              <w:right w:val="single" w:color="auto" w:sz="2" w:space="0"/>
            </w:tcBorders>
            <w:vAlign w:val="center"/>
          </w:tcPr>
          <w:p w14:paraId="2835693B">
            <w:pPr>
              <w:spacing w:line="240" w:lineRule="exact"/>
              <w:jc w:val="right"/>
              <w:rPr>
                <w:rFonts w:ascii="Times New Roman" w:hAnsi="Times New Roman" w:cs="Times New Roman" w:eastAsiaTheme="majorEastAsia"/>
                <w:sz w:val="18"/>
                <w:szCs w:val="18"/>
              </w:rPr>
            </w:pPr>
          </w:p>
        </w:tc>
      </w:tr>
      <w:tr w14:paraId="5D28FD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vAlign w:val="center"/>
          </w:tcPr>
          <w:p w14:paraId="000F6AE9">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桓台爱道光伏发电有限公司</w:t>
            </w:r>
          </w:p>
        </w:tc>
        <w:tc>
          <w:tcPr>
            <w:tcW w:w="1606" w:type="dxa"/>
            <w:tcBorders>
              <w:top w:val="single" w:color="auto" w:sz="2" w:space="0"/>
              <w:left w:val="single" w:color="auto" w:sz="2" w:space="0"/>
              <w:bottom w:val="single" w:color="auto" w:sz="2" w:space="0"/>
              <w:right w:val="single" w:color="auto" w:sz="2" w:space="0"/>
            </w:tcBorders>
            <w:vAlign w:val="center"/>
          </w:tcPr>
          <w:p w14:paraId="6057338C">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往来款</w:t>
            </w:r>
          </w:p>
        </w:tc>
        <w:tc>
          <w:tcPr>
            <w:tcW w:w="1606" w:type="dxa"/>
            <w:tcBorders>
              <w:top w:val="single" w:color="auto" w:sz="2" w:space="0"/>
              <w:left w:val="single" w:color="auto" w:sz="2" w:space="0"/>
              <w:bottom w:val="single" w:color="auto" w:sz="2" w:space="0"/>
              <w:right w:val="single" w:color="auto" w:sz="2" w:space="0"/>
            </w:tcBorders>
            <w:vAlign w:val="center"/>
          </w:tcPr>
          <w:p w14:paraId="4FBFE3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5,871,673.68</w:t>
            </w:r>
          </w:p>
        </w:tc>
        <w:tc>
          <w:tcPr>
            <w:tcW w:w="1606" w:type="dxa"/>
            <w:tcBorders>
              <w:top w:val="single" w:color="auto" w:sz="2" w:space="0"/>
              <w:left w:val="single" w:color="auto" w:sz="2" w:space="0"/>
              <w:bottom w:val="single" w:color="auto" w:sz="2" w:space="0"/>
              <w:right w:val="single" w:color="auto" w:sz="2" w:space="0"/>
            </w:tcBorders>
            <w:vAlign w:val="center"/>
          </w:tcPr>
          <w:p w14:paraId="6DA749A8">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1年以内</w:t>
            </w:r>
          </w:p>
        </w:tc>
        <w:tc>
          <w:tcPr>
            <w:tcW w:w="1606" w:type="dxa"/>
            <w:tcBorders>
              <w:top w:val="single" w:color="auto" w:sz="2" w:space="0"/>
              <w:left w:val="single" w:color="auto" w:sz="2" w:space="0"/>
              <w:bottom w:val="single" w:color="auto" w:sz="2" w:space="0"/>
              <w:right w:val="single" w:color="auto" w:sz="2" w:space="0"/>
            </w:tcBorders>
            <w:vAlign w:val="center"/>
          </w:tcPr>
          <w:p w14:paraId="76771B2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6.54%</w:t>
            </w:r>
          </w:p>
        </w:tc>
        <w:tc>
          <w:tcPr>
            <w:tcW w:w="1606" w:type="dxa"/>
            <w:tcBorders>
              <w:top w:val="single" w:color="auto" w:sz="2" w:space="0"/>
              <w:left w:val="single" w:color="auto" w:sz="2" w:space="0"/>
              <w:bottom w:val="single" w:color="auto" w:sz="2" w:space="0"/>
              <w:right w:val="single" w:color="auto" w:sz="2" w:space="0"/>
            </w:tcBorders>
            <w:vAlign w:val="center"/>
          </w:tcPr>
          <w:p w14:paraId="24E2BD53">
            <w:pPr>
              <w:spacing w:line="240" w:lineRule="exact"/>
              <w:jc w:val="right"/>
              <w:rPr>
                <w:rFonts w:ascii="Times New Roman" w:hAnsi="Times New Roman" w:cs="Times New Roman" w:eastAsiaTheme="majorEastAsia"/>
                <w:sz w:val="18"/>
                <w:szCs w:val="18"/>
              </w:rPr>
            </w:pPr>
          </w:p>
        </w:tc>
      </w:tr>
      <w:tr w14:paraId="3FE4C5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F09CE5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15A56CF5">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vAlign w:val="center"/>
          </w:tcPr>
          <w:p w14:paraId="07A7FD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73,932,513.23</w:t>
            </w:r>
          </w:p>
        </w:tc>
        <w:tc>
          <w:tcPr>
            <w:tcW w:w="1606" w:type="dxa"/>
            <w:tcBorders>
              <w:top w:val="single" w:color="auto" w:sz="2" w:space="0"/>
              <w:left w:val="single" w:color="auto" w:sz="2" w:space="0"/>
              <w:bottom w:val="single" w:color="auto" w:sz="2" w:space="0"/>
              <w:right w:val="single" w:color="auto" w:sz="2" w:space="0"/>
            </w:tcBorders>
            <w:shd w:val="clear" w:color="auto" w:fill="D3D3D3"/>
            <w:vAlign w:val="center"/>
          </w:tcPr>
          <w:p w14:paraId="68BC4F86">
            <w:pPr>
              <w:rPr>
                <w:rFonts w:ascii="Times New Roman" w:hAnsi="Times New Roman" w:cs="Times New Roman" w:eastAsiaTheme="majorEastAsia"/>
              </w:rPr>
            </w:pPr>
          </w:p>
        </w:tc>
        <w:tc>
          <w:tcPr>
            <w:tcW w:w="1606" w:type="dxa"/>
            <w:tcBorders>
              <w:top w:val="single" w:color="auto" w:sz="2" w:space="0"/>
              <w:left w:val="single" w:color="auto" w:sz="2" w:space="0"/>
              <w:bottom w:val="single" w:color="auto" w:sz="2" w:space="0"/>
              <w:right w:val="single" w:color="auto" w:sz="2" w:space="0"/>
            </w:tcBorders>
            <w:vAlign w:val="center"/>
          </w:tcPr>
          <w:p w14:paraId="6F970A2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82.37%</w:t>
            </w:r>
          </w:p>
        </w:tc>
        <w:tc>
          <w:tcPr>
            <w:tcW w:w="1606" w:type="dxa"/>
            <w:tcBorders>
              <w:top w:val="single" w:color="auto" w:sz="2" w:space="0"/>
              <w:left w:val="single" w:color="auto" w:sz="2" w:space="0"/>
              <w:bottom w:val="single" w:color="auto" w:sz="2" w:space="0"/>
              <w:right w:val="single" w:color="auto" w:sz="2" w:space="0"/>
            </w:tcBorders>
            <w:vAlign w:val="center"/>
          </w:tcPr>
          <w:p w14:paraId="31BD1AEA">
            <w:pPr>
              <w:spacing w:line="240" w:lineRule="exact"/>
              <w:jc w:val="right"/>
              <w:rPr>
                <w:rFonts w:ascii="Times New Roman" w:hAnsi="Times New Roman" w:cs="Times New Roman" w:eastAsiaTheme="majorEastAsia"/>
                <w:sz w:val="18"/>
                <w:szCs w:val="18"/>
              </w:rPr>
            </w:pPr>
          </w:p>
        </w:tc>
      </w:tr>
    </w:tbl>
    <w:p w14:paraId="30230E7E">
      <w:pPr>
        <w:keepNext/>
        <w:keepLines/>
        <w:spacing w:before="300" w:after="300" w:line="280" w:lineRule="exact"/>
        <w:outlineLvl w:val="4"/>
        <w:rPr>
          <w:rFonts w:ascii="Times New Roman" w:hAnsi="Times New Roman" w:cs="Times New Roman" w:eastAsiaTheme="majorEastAsia"/>
          <w:b/>
          <w:bCs/>
          <w:sz w:val="18"/>
          <w:szCs w:val="18"/>
        </w:rPr>
      </w:pPr>
      <w:bookmarkStart w:id="511" w:name="_Toc989403"/>
      <w:r>
        <w:rPr>
          <w:rFonts w:ascii="Times New Roman" w:hAnsi="Times New Roman" w:cs="Times New Roman" w:eastAsiaTheme="majorEastAsia"/>
          <w:b/>
          <w:bCs/>
          <w:sz w:val="18"/>
          <w:szCs w:val="18"/>
        </w:rPr>
        <w:t>7） 因资金集中管理而列报于其他应收款</w:t>
      </w:r>
      <w:bookmarkEnd w:id="511"/>
    </w:p>
    <w:p w14:paraId="6F5F51D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p w14:paraId="3C8A61C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636C39A6">
      <w:pPr>
        <w:pStyle w:val="3"/>
        <w:spacing w:line="280" w:lineRule="exact"/>
        <w:jc w:val="left"/>
        <w:rPr>
          <w:rFonts w:ascii="Times New Roman" w:hAnsi="Times New Roman" w:cs="Times New Roman" w:eastAsiaTheme="majorEastAsia"/>
          <w:b/>
          <w:bCs/>
        </w:rPr>
      </w:pPr>
      <w:bookmarkStart w:id="512" w:name="_Toc989404"/>
      <w:r>
        <w:rPr>
          <w:rFonts w:ascii="Times New Roman" w:hAnsi="Times New Roman" w:cs="Times New Roman" w:eastAsiaTheme="majorEastAsia"/>
          <w:b/>
          <w:bCs/>
        </w:rPr>
        <w:t>3、长期股权投资</w:t>
      </w:r>
      <w:bookmarkEnd w:id="512"/>
    </w:p>
    <w:p w14:paraId="29F8E382">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07"/>
        <w:gridCol w:w="1407"/>
        <w:gridCol w:w="1407"/>
        <w:gridCol w:w="1409"/>
        <w:gridCol w:w="1407"/>
        <w:gridCol w:w="1407"/>
        <w:gridCol w:w="1409"/>
      </w:tblGrid>
      <w:tr w14:paraId="6885A33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1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82F7C0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2143" w:type="pct"/>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1123631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w:t>
            </w:r>
          </w:p>
        </w:tc>
        <w:tc>
          <w:tcPr>
            <w:tcW w:w="2143" w:type="pct"/>
            <w:gridSpan w:val="3"/>
            <w:tcBorders>
              <w:top w:val="single" w:color="auto" w:sz="2" w:space="0"/>
              <w:left w:val="single" w:color="auto" w:sz="2" w:space="0"/>
              <w:bottom w:val="single" w:color="auto" w:sz="2" w:space="0"/>
              <w:right w:val="single" w:color="auto" w:sz="2" w:space="0"/>
            </w:tcBorders>
            <w:shd w:val="clear" w:color="auto" w:fill="D3D3D3"/>
            <w:vAlign w:val="center"/>
          </w:tcPr>
          <w:p w14:paraId="61E746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w:t>
            </w:r>
          </w:p>
        </w:tc>
      </w:tr>
      <w:tr w14:paraId="4CE7B3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1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F6191F2">
            <w:pPr>
              <w:rPr>
                <w:rFonts w:ascii="Times New Roman" w:hAnsi="Times New Roman" w:cs="Times New Roman" w:eastAsiaTheme="majorEastAsia"/>
              </w:rPr>
            </w:pP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4F1AA5C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72CD177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3E63C71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2D2783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账面余额</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567C2EA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w:t>
            </w:r>
          </w:p>
        </w:tc>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59B91FE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账面价值</w:t>
            </w:r>
          </w:p>
        </w:tc>
      </w:tr>
      <w:tr w14:paraId="50F49EA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10A68A7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对子公司投资</w:t>
            </w:r>
          </w:p>
        </w:tc>
        <w:tc>
          <w:tcPr>
            <w:tcW w:w="714" w:type="pct"/>
            <w:tcBorders>
              <w:top w:val="single" w:color="auto" w:sz="2" w:space="0"/>
              <w:left w:val="single" w:color="auto" w:sz="2" w:space="0"/>
              <w:bottom w:val="single" w:color="auto" w:sz="2" w:space="0"/>
              <w:right w:val="single" w:color="auto" w:sz="2" w:space="0"/>
            </w:tcBorders>
            <w:vAlign w:val="center"/>
          </w:tcPr>
          <w:p w14:paraId="2CE4B1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714" w:type="pct"/>
            <w:tcBorders>
              <w:top w:val="single" w:color="auto" w:sz="2" w:space="0"/>
              <w:left w:val="single" w:color="auto" w:sz="2" w:space="0"/>
              <w:bottom w:val="single" w:color="auto" w:sz="2" w:space="0"/>
              <w:right w:val="single" w:color="auto" w:sz="2" w:space="0"/>
            </w:tcBorders>
            <w:vAlign w:val="center"/>
          </w:tcPr>
          <w:p w14:paraId="7A46538E">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245BC1F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714" w:type="pct"/>
            <w:tcBorders>
              <w:top w:val="single" w:color="auto" w:sz="2" w:space="0"/>
              <w:left w:val="single" w:color="auto" w:sz="2" w:space="0"/>
              <w:bottom w:val="single" w:color="auto" w:sz="2" w:space="0"/>
              <w:right w:val="single" w:color="auto" w:sz="2" w:space="0"/>
            </w:tcBorders>
            <w:vAlign w:val="center"/>
          </w:tcPr>
          <w:p w14:paraId="75F4BC6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c>
          <w:tcPr>
            <w:tcW w:w="714" w:type="pct"/>
            <w:tcBorders>
              <w:top w:val="single" w:color="auto" w:sz="2" w:space="0"/>
              <w:left w:val="single" w:color="auto" w:sz="2" w:space="0"/>
              <w:bottom w:val="single" w:color="auto" w:sz="2" w:space="0"/>
              <w:right w:val="single" w:color="auto" w:sz="2" w:space="0"/>
            </w:tcBorders>
            <w:vAlign w:val="center"/>
          </w:tcPr>
          <w:p w14:paraId="1E2C6687">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368808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r>
      <w:tr w14:paraId="736883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714" w:type="pct"/>
            <w:tcBorders>
              <w:top w:val="single" w:color="auto" w:sz="2" w:space="0"/>
              <w:left w:val="single" w:color="auto" w:sz="2" w:space="0"/>
              <w:bottom w:val="single" w:color="auto" w:sz="2" w:space="0"/>
              <w:right w:val="single" w:color="auto" w:sz="2" w:space="0"/>
            </w:tcBorders>
            <w:shd w:val="clear" w:color="auto" w:fill="D3D3D3"/>
            <w:vAlign w:val="center"/>
          </w:tcPr>
          <w:p w14:paraId="68C7AA4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714" w:type="pct"/>
            <w:tcBorders>
              <w:top w:val="single" w:color="auto" w:sz="2" w:space="0"/>
              <w:left w:val="single" w:color="auto" w:sz="2" w:space="0"/>
              <w:bottom w:val="single" w:color="auto" w:sz="2" w:space="0"/>
              <w:right w:val="single" w:color="auto" w:sz="2" w:space="0"/>
            </w:tcBorders>
            <w:vAlign w:val="center"/>
          </w:tcPr>
          <w:p w14:paraId="34A89D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714" w:type="pct"/>
            <w:tcBorders>
              <w:top w:val="single" w:color="auto" w:sz="2" w:space="0"/>
              <w:left w:val="single" w:color="auto" w:sz="2" w:space="0"/>
              <w:bottom w:val="single" w:color="auto" w:sz="2" w:space="0"/>
              <w:right w:val="single" w:color="auto" w:sz="2" w:space="0"/>
            </w:tcBorders>
            <w:vAlign w:val="center"/>
          </w:tcPr>
          <w:p w14:paraId="4412FBCA">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0BEFCD5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714" w:type="pct"/>
            <w:tcBorders>
              <w:top w:val="single" w:color="auto" w:sz="2" w:space="0"/>
              <w:left w:val="single" w:color="auto" w:sz="2" w:space="0"/>
              <w:bottom w:val="single" w:color="auto" w:sz="2" w:space="0"/>
              <w:right w:val="single" w:color="auto" w:sz="2" w:space="0"/>
            </w:tcBorders>
            <w:vAlign w:val="center"/>
          </w:tcPr>
          <w:p w14:paraId="2D24C1D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c>
          <w:tcPr>
            <w:tcW w:w="714" w:type="pct"/>
            <w:tcBorders>
              <w:top w:val="single" w:color="auto" w:sz="2" w:space="0"/>
              <w:left w:val="single" w:color="auto" w:sz="2" w:space="0"/>
              <w:bottom w:val="single" w:color="auto" w:sz="2" w:space="0"/>
              <w:right w:val="single" w:color="auto" w:sz="2" w:space="0"/>
            </w:tcBorders>
            <w:vAlign w:val="center"/>
          </w:tcPr>
          <w:p w14:paraId="12045B8F">
            <w:pPr>
              <w:spacing w:line="240" w:lineRule="exact"/>
              <w:jc w:val="right"/>
              <w:rPr>
                <w:rFonts w:ascii="Times New Roman" w:hAnsi="Times New Roman" w:cs="Times New Roman" w:eastAsiaTheme="majorEastAsia"/>
                <w:sz w:val="18"/>
                <w:szCs w:val="18"/>
              </w:rPr>
            </w:pPr>
          </w:p>
        </w:tc>
        <w:tc>
          <w:tcPr>
            <w:tcW w:w="714" w:type="pct"/>
            <w:tcBorders>
              <w:top w:val="single" w:color="auto" w:sz="2" w:space="0"/>
              <w:left w:val="single" w:color="auto" w:sz="2" w:space="0"/>
              <w:bottom w:val="single" w:color="auto" w:sz="2" w:space="0"/>
              <w:right w:val="single" w:color="auto" w:sz="2" w:space="0"/>
            </w:tcBorders>
            <w:vAlign w:val="center"/>
          </w:tcPr>
          <w:p w14:paraId="7D7CFA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r>
    </w:tbl>
    <w:p w14:paraId="7A93B62E">
      <w:pPr>
        <w:keepNext/>
        <w:keepLines/>
        <w:spacing w:before="300" w:after="300" w:line="280" w:lineRule="exact"/>
        <w:outlineLvl w:val="3"/>
        <w:rPr>
          <w:rFonts w:ascii="Times New Roman" w:hAnsi="Times New Roman" w:cs="Times New Roman" w:eastAsiaTheme="majorEastAsia"/>
          <w:b/>
          <w:bCs/>
          <w:szCs w:val="21"/>
        </w:rPr>
      </w:pPr>
      <w:bookmarkStart w:id="513" w:name="_Toc989405"/>
      <w:r>
        <w:rPr>
          <w:rFonts w:ascii="Times New Roman" w:hAnsi="Times New Roman" w:cs="Times New Roman" w:eastAsiaTheme="majorEastAsia"/>
          <w:b/>
          <w:bCs/>
          <w:szCs w:val="21"/>
        </w:rPr>
        <w:t>（1） 对子公司投资</w:t>
      </w:r>
      <w:bookmarkEnd w:id="513"/>
    </w:p>
    <w:p w14:paraId="0B7E479D">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07"/>
        <w:gridCol w:w="1639"/>
        <w:gridCol w:w="952"/>
        <w:gridCol w:w="1161"/>
        <w:gridCol w:w="635"/>
        <w:gridCol w:w="792"/>
        <w:gridCol w:w="475"/>
        <w:gridCol w:w="1640"/>
        <w:gridCol w:w="952"/>
      </w:tblGrid>
      <w:tr w14:paraId="005324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16"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B69EEA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被投资单位</w:t>
            </w:r>
          </w:p>
        </w:tc>
        <w:tc>
          <w:tcPr>
            <w:tcW w:w="832"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D508CD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期初余额（账面价值）</w:t>
            </w:r>
          </w:p>
        </w:tc>
        <w:tc>
          <w:tcPr>
            <w:tcW w:w="483"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9CF026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减值准备期初余额</w:t>
            </w:r>
          </w:p>
        </w:tc>
        <w:tc>
          <w:tcPr>
            <w:tcW w:w="1554" w:type="pct"/>
            <w:gridSpan w:val="4"/>
            <w:tcBorders>
              <w:top w:val="single" w:color="auto" w:sz="2" w:space="0"/>
              <w:left w:val="single" w:color="auto" w:sz="2" w:space="0"/>
              <w:bottom w:val="single" w:color="auto" w:sz="2" w:space="0"/>
              <w:right w:val="single" w:color="auto" w:sz="2" w:space="0"/>
            </w:tcBorders>
            <w:shd w:val="clear" w:color="auto" w:fill="D3D3D3"/>
            <w:vAlign w:val="center"/>
          </w:tcPr>
          <w:p w14:paraId="67A0090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本期增减变动</w:t>
            </w:r>
          </w:p>
        </w:tc>
        <w:tc>
          <w:tcPr>
            <w:tcW w:w="832"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A1525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期末余额（账面价值）</w:t>
            </w:r>
          </w:p>
        </w:tc>
        <w:tc>
          <w:tcPr>
            <w:tcW w:w="483"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AA05AE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减值准备期末余额</w:t>
            </w:r>
          </w:p>
        </w:tc>
      </w:tr>
      <w:tr w14:paraId="46DE780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816"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C018D67">
            <w:pPr>
              <w:rPr>
                <w:rFonts w:ascii="Times New Roman" w:hAnsi="Times New Roman" w:cs="Times New Roman" w:eastAsiaTheme="majorEastAsia"/>
              </w:rPr>
            </w:pPr>
          </w:p>
        </w:tc>
        <w:tc>
          <w:tcPr>
            <w:tcW w:w="832"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32D7435">
            <w:pPr>
              <w:rPr>
                <w:rFonts w:ascii="Times New Roman" w:hAnsi="Times New Roman" w:cs="Times New Roman" w:eastAsiaTheme="majorEastAsia"/>
              </w:rPr>
            </w:pPr>
          </w:p>
        </w:tc>
        <w:tc>
          <w:tcPr>
            <w:tcW w:w="483"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356E02E">
            <w:pPr>
              <w:rPr>
                <w:rFonts w:ascii="Times New Roman" w:hAnsi="Times New Roman" w:cs="Times New Roman" w:eastAsiaTheme="majorEastAsia"/>
              </w:rPr>
            </w:pPr>
          </w:p>
        </w:tc>
        <w:tc>
          <w:tcPr>
            <w:tcW w:w="589" w:type="pct"/>
            <w:tcBorders>
              <w:top w:val="single" w:color="auto" w:sz="2" w:space="0"/>
              <w:left w:val="single" w:color="auto" w:sz="2" w:space="0"/>
              <w:bottom w:val="single" w:color="auto" w:sz="2" w:space="0"/>
              <w:right w:val="single" w:color="auto" w:sz="2" w:space="0"/>
            </w:tcBorders>
            <w:shd w:val="clear" w:color="auto" w:fill="D3D3D3"/>
            <w:vAlign w:val="center"/>
          </w:tcPr>
          <w:p w14:paraId="13D3D5C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追加投资</w:t>
            </w:r>
          </w:p>
        </w:tc>
        <w:tc>
          <w:tcPr>
            <w:tcW w:w="322" w:type="pct"/>
            <w:tcBorders>
              <w:top w:val="single" w:color="auto" w:sz="2" w:space="0"/>
              <w:left w:val="single" w:color="auto" w:sz="2" w:space="0"/>
              <w:bottom w:val="single" w:color="auto" w:sz="2" w:space="0"/>
              <w:right w:val="single" w:color="auto" w:sz="2" w:space="0"/>
            </w:tcBorders>
            <w:shd w:val="clear" w:color="auto" w:fill="D3D3D3"/>
            <w:vAlign w:val="center"/>
          </w:tcPr>
          <w:p w14:paraId="4A754A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减少投资</w:t>
            </w:r>
          </w:p>
        </w:tc>
        <w:tc>
          <w:tcPr>
            <w:tcW w:w="402" w:type="pct"/>
            <w:tcBorders>
              <w:top w:val="single" w:color="auto" w:sz="2" w:space="0"/>
              <w:left w:val="single" w:color="auto" w:sz="2" w:space="0"/>
              <w:bottom w:val="single" w:color="auto" w:sz="2" w:space="0"/>
              <w:right w:val="single" w:color="auto" w:sz="2" w:space="0"/>
            </w:tcBorders>
            <w:shd w:val="clear" w:color="auto" w:fill="D3D3D3"/>
            <w:vAlign w:val="center"/>
          </w:tcPr>
          <w:p w14:paraId="1DCEDAD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计提减值准备</w:t>
            </w:r>
          </w:p>
        </w:tc>
        <w:tc>
          <w:tcPr>
            <w:tcW w:w="241" w:type="pct"/>
            <w:tcBorders>
              <w:top w:val="single" w:color="auto" w:sz="2" w:space="0"/>
              <w:left w:val="single" w:color="auto" w:sz="2" w:space="0"/>
              <w:bottom w:val="single" w:color="auto" w:sz="2" w:space="0"/>
              <w:right w:val="single" w:color="auto" w:sz="2" w:space="0"/>
            </w:tcBorders>
            <w:shd w:val="clear" w:color="auto" w:fill="D3D3D3"/>
            <w:vAlign w:val="center"/>
          </w:tcPr>
          <w:p w14:paraId="1FE9A0B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832"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B19A298">
            <w:pPr>
              <w:rPr>
                <w:rFonts w:ascii="Times New Roman" w:hAnsi="Times New Roman" w:cs="Times New Roman" w:eastAsiaTheme="majorEastAsia"/>
              </w:rPr>
            </w:pPr>
          </w:p>
        </w:tc>
        <w:tc>
          <w:tcPr>
            <w:tcW w:w="483"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1C56953">
            <w:pPr>
              <w:rPr>
                <w:rFonts w:ascii="Times New Roman" w:hAnsi="Times New Roman" w:cs="Times New Roman" w:eastAsiaTheme="majorEastAsia"/>
              </w:rPr>
            </w:pPr>
          </w:p>
        </w:tc>
      </w:tr>
      <w:tr w14:paraId="19D0DC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6D36C914">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天亿马（香港）信息产业有限公司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53FEE36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7,111.42</w:t>
            </w:r>
          </w:p>
        </w:tc>
        <w:tc>
          <w:tcPr>
            <w:tcW w:w="483" w:type="pct"/>
            <w:tcBorders>
              <w:top w:val="single" w:color="auto" w:sz="2" w:space="0"/>
              <w:left w:val="single" w:color="auto" w:sz="2" w:space="0"/>
              <w:bottom w:val="single" w:color="auto" w:sz="2" w:space="0"/>
              <w:right w:val="single" w:color="auto" w:sz="2" w:space="0"/>
            </w:tcBorders>
            <w:vAlign w:val="center"/>
          </w:tcPr>
          <w:p w14:paraId="7AED7F6A">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5C06F077">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6BF17497">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4618791E">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0C4DB99C">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195CD97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7,111.42</w:t>
            </w:r>
          </w:p>
        </w:tc>
        <w:tc>
          <w:tcPr>
            <w:tcW w:w="483" w:type="pct"/>
            <w:tcBorders>
              <w:top w:val="single" w:color="auto" w:sz="2" w:space="0"/>
              <w:left w:val="single" w:color="auto" w:sz="2" w:space="0"/>
              <w:bottom w:val="single" w:color="auto" w:sz="2" w:space="0"/>
              <w:right w:val="single" w:color="auto" w:sz="2" w:space="0"/>
            </w:tcBorders>
            <w:vAlign w:val="center"/>
          </w:tcPr>
          <w:p w14:paraId="1B6F9A42">
            <w:pPr>
              <w:spacing w:line="240" w:lineRule="exact"/>
              <w:jc w:val="right"/>
              <w:rPr>
                <w:rFonts w:ascii="Times New Roman" w:hAnsi="Times New Roman" w:cs="Times New Roman" w:eastAsiaTheme="majorEastAsia"/>
                <w:sz w:val="18"/>
                <w:szCs w:val="18"/>
              </w:rPr>
            </w:pPr>
          </w:p>
        </w:tc>
      </w:tr>
      <w:tr w14:paraId="100E48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1ABE90F5">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深圳市互联精英信息技术有限公司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6E55B07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107,563,600.00</w:t>
            </w:r>
          </w:p>
        </w:tc>
        <w:tc>
          <w:tcPr>
            <w:tcW w:w="483" w:type="pct"/>
            <w:tcBorders>
              <w:top w:val="single" w:color="auto" w:sz="2" w:space="0"/>
              <w:left w:val="single" w:color="auto" w:sz="2" w:space="0"/>
              <w:bottom w:val="single" w:color="auto" w:sz="2" w:space="0"/>
              <w:right w:val="single" w:color="auto" w:sz="2" w:space="0"/>
            </w:tcBorders>
            <w:vAlign w:val="center"/>
          </w:tcPr>
          <w:p w14:paraId="210F1519">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1DFA1F52">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67FD134C">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0B282BB5">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45DE22F7">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75B93A0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107,563,600.00</w:t>
            </w:r>
          </w:p>
        </w:tc>
        <w:tc>
          <w:tcPr>
            <w:tcW w:w="483" w:type="pct"/>
            <w:tcBorders>
              <w:top w:val="single" w:color="auto" w:sz="2" w:space="0"/>
              <w:left w:val="single" w:color="auto" w:sz="2" w:space="0"/>
              <w:bottom w:val="single" w:color="auto" w:sz="2" w:space="0"/>
              <w:right w:val="single" w:color="auto" w:sz="2" w:space="0"/>
            </w:tcBorders>
            <w:vAlign w:val="center"/>
          </w:tcPr>
          <w:p w14:paraId="515C0F7E">
            <w:pPr>
              <w:spacing w:line="240" w:lineRule="exact"/>
              <w:jc w:val="right"/>
              <w:rPr>
                <w:rFonts w:ascii="Times New Roman" w:hAnsi="Times New Roman" w:cs="Times New Roman" w:eastAsiaTheme="majorEastAsia"/>
                <w:sz w:val="18"/>
                <w:szCs w:val="18"/>
              </w:rPr>
            </w:pPr>
          </w:p>
        </w:tc>
      </w:tr>
      <w:tr w14:paraId="17B4E0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324CCFF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重庆天亿马信息技术有限公司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6EEE799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510,000.00</w:t>
            </w:r>
          </w:p>
        </w:tc>
        <w:tc>
          <w:tcPr>
            <w:tcW w:w="483" w:type="pct"/>
            <w:tcBorders>
              <w:top w:val="single" w:color="auto" w:sz="2" w:space="0"/>
              <w:left w:val="single" w:color="auto" w:sz="2" w:space="0"/>
              <w:bottom w:val="single" w:color="auto" w:sz="2" w:space="0"/>
              <w:right w:val="single" w:color="auto" w:sz="2" w:space="0"/>
            </w:tcBorders>
            <w:vAlign w:val="center"/>
          </w:tcPr>
          <w:p w14:paraId="3F194F15">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6B92B29D">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559E8B28">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7CDEF920">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0C3B8ED4">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5DD6510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510,000.00</w:t>
            </w:r>
          </w:p>
        </w:tc>
        <w:tc>
          <w:tcPr>
            <w:tcW w:w="483" w:type="pct"/>
            <w:tcBorders>
              <w:top w:val="single" w:color="auto" w:sz="2" w:space="0"/>
              <w:left w:val="single" w:color="auto" w:sz="2" w:space="0"/>
              <w:bottom w:val="single" w:color="auto" w:sz="2" w:space="0"/>
              <w:right w:val="single" w:color="auto" w:sz="2" w:space="0"/>
            </w:tcBorders>
            <w:vAlign w:val="center"/>
          </w:tcPr>
          <w:p w14:paraId="6A659CE9">
            <w:pPr>
              <w:spacing w:line="240" w:lineRule="exact"/>
              <w:jc w:val="right"/>
              <w:rPr>
                <w:rFonts w:ascii="Times New Roman" w:hAnsi="Times New Roman" w:cs="Times New Roman" w:eastAsiaTheme="majorEastAsia"/>
                <w:sz w:val="18"/>
                <w:szCs w:val="18"/>
              </w:rPr>
            </w:pPr>
          </w:p>
        </w:tc>
      </w:tr>
      <w:tr w14:paraId="2DD831A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3F9BC1F7">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天亿马信息技术有限公司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162EFC5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483" w:type="pct"/>
            <w:tcBorders>
              <w:top w:val="single" w:color="auto" w:sz="2" w:space="0"/>
              <w:left w:val="single" w:color="auto" w:sz="2" w:space="0"/>
              <w:bottom w:val="single" w:color="auto" w:sz="2" w:space="0"/>
              <w:right w:val="single" w:color="auto" w:sz="2" w:space="0"/>
            </w:tcBorders>
            <w:vAlign w:val="center"/>
          </w:tcPr>
          <w:p w14:paraId="4DBFAF2E">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3993E1AC">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45B2C699">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00DB7E19">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4EE769C4">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788FF8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50,000,000.00</w:t>
            </w:r>
          </w:p>
        </w:tc>
        <w:tc>
          <w:tcPr>
            <w:tcW w:w="483" w:type="pct"/>
            <w:tcBorders>
              <w:top w:val="single" w:color="auto" w:sz="2" w:space="0"/>
              <w:left w:val="single" w:color="auto" w:sz="2" w:space="0"/>
              <w:bottom w:val="single" w:color="auto" w:sz="2" w:space="0"/>
              <w:right w:val="single" w:color="auto" w:sz="2" w:space="0"/>
            </w:tcBorders>
            <w:vAlign w:val="center"/>
          </w:tcPr>
          <w:p w14:paraId="2E5388E7">
            <w:pPr>
              <w:spacing w:line="240" w:lineRule="exact"/>
              <w:jc w:val="right"/>
              <w:rPr>
                <w:rFonts w:ascii="Times New Roman" w:hAnsi="Times New Roman" w:cs="Times New Roman" w:eastAsiaTheme="majorEastAsia"/>
                <w:sz w:val="18"/>
                <w:szCs w:val="18"/>
              </w:rPr>
            </w:pPr>
          </w:p>
        </w:tc>
      </w:tr>
      <w:tr w14:paraId="03FAB2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43E08EE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广东天亿马信息科技有限公司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5D9BCD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10,246,945.05</w:t>
            </w:r>
          </w:p>
        </w:tc>
        <w:tc>
          <w:tcPr>
            <w:tcW w:w="483" w:type="pct"/>
            <w:tcBorders>
              <w:top w:val="single" w:color="auto" w:sz="2" w:space="0"/>
              <w:left w:val="single" w:color="auto" w:sz="2" w:space="0"/>
              <w:bottom w:val="single" w:color="auto" w:sz="2" w:space="0"/>
              <w:right w:val="single" w:color="auto" w:sz="2" w:space="0"/>
            </w:tcBorders>
            <w:vAlign w:val="center"/>
          </w:tcPr>
          <w:p w14:paraId="575BCA9F">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75A0150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589,854.70</w:t>
            </w:r>
          </w:p>
        </w:tc>
        <w:tc>
          <w:tcPr>
            <w:tcW w:w="322" w:type="pct"/>
            <w:tcBorders>
              <w:top w:val="single" w:color="auto" w:sz="2" w:space="0"/>
              <w:left w:val="single" w:color="auto" w:sz="2" w:space="0"/>
              <w:bottom w:val="single" w:color="auto" w:sz="2" w:space="0"/>
              <w:right w:val="single" w:color="auto" w:sz="2" w:space="0"/>
            </w:tcBorders>
            <w:vAlign w:val="center"/>
          </w:tcPr>
          <w:p w14:paraId="04BFE3C3">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4EB3EDF9">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28018AF8">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58D493C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10,836,799.75</w:t>
            </w:r>
          </w:p>
        </w:tc>
        <w:tc>
          <w:tcPr>
            <w:tcW w:w="483" w:type="pct"/>
            <w:tcBorders>
              <w:top w:val="single" w:color="auto" w:sz="2" w:space="0"/>
              <w:left w:val="single" w:color="auto" w:sz="2" w:space="0"/>
              <w:bottom w:val="single" w:color="auto" w:sz="2" w:space="0"/>
              <w:right w:val="single" w:color="auto" w:sz="2" w:space="0"/>
            </w:tcBorders>
            <w:vAlign w:val="center"/>
          </w:tcPr>
          <w:p w14:paraId="39184128">
            <w:pPr>
              <w:spacing w:line="240" w:lineRule="exact"/>
              <w:jc w:val="right"/>
              <w:rPr>
                <w:rFonts w:ascii="Times New Roman" w:hAnsi="Times New Roman" w:cs="Times New Roman" w:eastAsiaTheme="majorEastAsia"/>
                <w:sz w:val="18"/>
                <w:szCs w:val="18"/>
              </w:rPr>
            </w:pPr>
          </w:p>
        </w:tc>
      </w:tr>
      <w:tr w14:paraId="1D37D1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7CEC562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广图粤科（广州）科技有限公司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5ED6F9D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7,100,000.00</w:t>
            </w:r>
          </w:p>
        </w:tc>
        <w:tc>
          <w:tcPr>
            <w:tcW w:w="483" w:type="pct"/>
            <w:tcBorders>
              <w:top w:val="single" w:color="auto" w:sz="2" w:space="0"/>
              <w:left w:val="single" w:color="auto" w:sz="2" w:space="0"/>
              <w:bottom w:val="single" w:color="auto" w:sz="2" w:space="0"/>
              <w:right w:val="single" w:color="auto" w:sz="2" w:space="0"/>
            </w:tcBorders>
            <w:vAlign w:val="center"/>
          </w:tcPr>
          <w:p w14:paraId="59FA4DBE">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6DD0A9AE">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7AFF30E3">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58BDC4FD">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4D8C2DAE">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50FA9BD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7,100,000.00</w:t>
            </w:r>
          </w:p>
        </w:tc>
        <w:tc>
          <w:tcPr>
            <w:tcW w:w="483" w:type="pct"/>
            <w:tcBorders>
              <w:top w:val="single" w:color="auto" w:sz="2" w:space="0"/>
              <w:left w:val="single" w:color="auto" w:sz="2" w:space="0"/>
              <w:bottom w:val="single" w:color="auto" w:sz="2" w:space="0"/>
              <w:right w:val="single" w:color="auto" w:sz="2" w:space="0"/>
            </w:tcBorders>
            <w:vAlign w:val="center"/>
          </w:tcPr>
          <w:p w14:paraId="4BC15797">
            <w:pPr>
              <w:spacing w:line="240" w:lineRule="exact"/>
              <w:jc w:val="right"/>
              <w:rPr>
                <w:rFonts w:ascii="Times New Roman" w:hAnsi="Times New Roman" w:cs="Times New Roman" w:eastAsiaTheme="majorEastAsia"/>
                <w:sz w:val="18"/>
                <w:szCs w:val="18"/>
              </w:rPr>
            </w:pPr>
          </w:p>
        </w:tc>
      </w:tr>
      <w:tr w14:paraId="3A2492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42D41FD0">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广东天亿马数字能源有限公司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67E55E8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5,100,000.00</w:t>
            </w:r>
          </w:p>
        </w:tc>
        <w:tc>
          <w:tcPr>
            <w:tcW w:w="483" w:type="pct"/>
            <w:tcBorders>
              <w:top w:val="single" w:color="auto" w:sz="2" w:space="0"/>
              <w:left w:val="single" w:color="auto" w:sz="2" w:space="0"/>
              <w:bottom w:val="single" w:color="auto" w:sz="2" w:space="0"/>
              <w:right w:val="single" w:color="auto" w:sz="2" w:space="0"/>
            </w:tcBorders>
            <w:vAlign w:val="center"/>
          </w:tcPr>
          <w:p w14:paraId="782BAA7D">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1496A5F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916,775.75</w:t>
            </w:r>
          </w:p>
        </w:tc>
        <w:tc>
          <w:tcPr>
            <w:tcW w:w="322" w:type="pct"/>
            <w:tcBorders>
              <w:top w:val="single" w:color="auto" w:sz="2" w:space="0"/>
              <w:left w:val="single" w:color="auto" w:sz="2" w:space="0"/>
              <w:bottom w:val="single" w:color="auto" w:sz="2" w:space="0"/>
              <w:right w:val="single" w:color="auto" w:sz="2" w:space="0"/>
            </w:tcBorders>
            <w:vAlign w:val="center"/>
          </w:tcPr>
          <w:p w14:paraId="360463E8">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25AD34AA">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35B76CDA">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54216E7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6,016,775.75</w:t>
            </w:r>
          </w:p>
        </w:tc>
        <w:tc>
          <w:tcPr>
            <w:tcW w:w="483" w:type="pct"/>
            <w:tcBorders>
              <w:top w:val="single" w:color="auto" w:sz="2" w:space="0"/>
              <w:left w:val="single" w:color="auto" w:sz="2" w:space="0"/>
              <w:bottom w:val="single" w:color="auto" w:sz="2" w:space="0"/>
              <w:right w:val="single" w:color="auto" w:sz="2" w:space="0"/>
            </w:tcBorders>
            <w:vAlign w:val="center"/>
          </w:tcPr>
          <w:p w14:paraId="1346EA17">
            <w:pPr>
              <w:spacing w:line="240" w:lineRule="exact"/>
              <w:jc w:val="right"/>
              <w:rPr>
                <w:rFonts w:ascii="Times New Roman" w:hAnsi="Times New Roman" w:cs="Times New Roman" w:eastAsiaTheme="majorEastAsia"/>
                <w:sz w:val="18"/>
                <w:szCs w:val="18"/>
              </w:rPr>
            </w:pPr>
          </w:p>
        </w:tc>
      </w:tr>
      <w:tr w14:paraId="5BD669B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3EA5543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广东天亿马数字产业有限公司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7458083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10,000,000.00</w:t>
            </w:r>
          </w:p>
        </w:tc>
        <w:tc>
          <w:tcPr>
            <w:tcW w:w="483" w:type="pct"/>
            <w:tcBorders>
              <w:top w:val="single" w:color="auto" w:sz="2" w:space="0"/>
              <w:left w:val="single" w:color="auto" w:sz="2" w:space="0"/>
              <w:bottom w:val="single" w:color="auto" w:sz="2" w:space="0"/>
              <w:right w:val="single" w:color="auto" w:sz="2" w:space="0"/>
            </w:tcBorders>
            <w:vAlign w:val="center"/>
          </w:tcPr>
          <w:p w14:paraId="2FF8F225">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2837F746">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512CE302">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486A1161">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1ECA7339">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30BB24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10,000,000.00</w:t>
            </w:r>
          </w:p>
        </w:tc>
        <w:tc>
          <w:tcPr>
            <w:tcW w:w="483" w:type="pct"/>
            <w:tcBorders>
              <w:top w:val="single" w:color="auto" w:sz="2" w:space="0"/>
              <w:left w:val="single" w:color="auto" w:sz="2" w:space="0"/>
              <w:bottom w:val="single" w:color="auto" w:sz="2" w:space="0"/>
              <w:right w:val="single" w:color="auto" w:sz="2" w:space="0"/>
            </w:tcBorders>
            <w:vAlign w:val="center"/>
          </w:tcPr>
          <w:p w14:paraId="6C5DC0E3">
            <w:pPr>
              <w:spacing w:line="240" w:lineRule="exact"/>
              <w:jc w:val="right"/>
              <w:rPr>
                <w:rFonts w:ascii="Times New Roman" w:hAnsi="Times New Roman" w:cs="Times New Roman" w:eastAsiaTheme="majorEastAsia"/>
                <w:sz w:val="18"/>
                <w:szCs w:val="18"/>
              </w:rPr>
            </w:pPr>
          </w:p>
        </w:tc>
      </w:tr>
      <w:tr w14:paraId="46D2A3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vAlign w:val="center"/>
          </w:tcPr>
          <w:p w14:paraId="0BAD6F4F">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广州市天亿马信息技术有限公司</w:t>
            </w:r>
          </w:p>
        </w:tc>
        <w:tc>
          <w:tcPr>
            <w:tcW w:w="832" w:type="pct"/>
            <w:tcBorders>
              <w:top w:val="single" w:color="auto" w:sz="2" w:space="0"/>
              <w:left w:val="single" w:color="auto" w:sz="2" w:space="0"/>
              <w:bottom w:val="single" w:color="auto" w:sz="2" w:space="0"/>
              <w:right w:val="single" w:color="auto" w:sz="2" w:space="0"/>
            </w:tcBorders>
            <w:vAlign w:val="center"/>
          </w:tcPr>
          <w:p w14:paraId="62C0D77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w:t>
            </w:r>
          </w:p>
        </w:tc>
        <w:tc>
          <w:tcPr>
            <w:tcW w:w="483" w:type="pct"/>
            <w:tcBorders>
              <w:top w:val="single" w:color="auto" w:sz="2" w:space="0"/>
              <w:left w:val="single" w:color="auto" w:sz="2" w:space="0"/>
              <w:bottom w:val="single" w:color="auto" w:sz="2" w:space="0"/>
              <w:right w:val="single" w:color="auto" w:sz="2" w:space="0"/>
            </w:tcBorders>
            <w:vAlign w:val="center"/>
          </w:tcPr>
          <w:p w14:paraId="24A7636C">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20FBECF8">
            <w:pPr>
              <w:spacing w:line="240" w:lineRule="exact"/>
              <w:jc w:val="right"/>
              <w:rPr>
                <w:rFonts w:ascii="Times New Roman" w:hAnsi="Times New Roman" w:cs="Times New Roman" w:eastAsiaTheme="majorEastAsia"/>
                <w:sz w:val="18"/>
                <w:szCs w:val="18"/>
              </w:rPr>
            </w:pPr>
          </w:p>
        </w:tc>
        <w:tc>
          <w:tcPr>
            <w:tcW w:w="322" w:type="pct"/>
            <w:tcBorders>
              <w:top w:val="single" w:color="auto" w:sz="2" w:space="0"/>
              <w:left w:val="single" w:color="auto" w:sz="2" w:space="0"/>
              <w:bottom w:val="single" w:color="auto" w:sz="2" w:space="0"/>
              <w:right w:val="single" w:color="auto" w:sz="2" w:space="0"/>
            </w:tcBorders>
            <w:vAlign w:val="center"/>
          </w:tcPr>
          <w:p w14:paraId="3C1BFE7C">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402848FA">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26E3D738">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473AE43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5,000,000.00</w:t>
            </w:r>
          </w:p>
        </w:tc>
        <w:tc>
          <w:tcPr>
            <w:tcW w:w="483" w:type="pct"/>
            <w:tcBorders>
              <w:top w:val="single" w:color="auto" w:sz="2" w:space="0"/>
              <w:left w:val="single" w:color="auto" w:sz="2" w:space="0"/>
              <w:bottom w:val="single" w:color="auto" w:sz="2" w:space="0"/>
              <w:right w:val="single" w:color="auto" w:sz="2" w:space="0"/>
            </w:tcBorders>
            <w:vAlign w:val="center"/>
          </w:tcPr>
          <w:p w14:paraId="70D1123E">
            <w:pPr>
              <w:spacing w:line="240" w:lineRule="exact"/>
              <w:jc w:val="right"/>
              <w:rPr>
                <w:rFonts w:ascii="Times New Roman" w:hAnsi="Times New Roman" w:cs="Times New Roman" w:eastAsiaTheme="majorEastAsia"/>
                <w:sz w:val="18"/>
                <w:szCs w:val="18"/>
              </w:rPr>
            </w:pPr>
          </w:p>
        </w:tc>
      </w:tr>
      <w:tr w14:paraId="73A0F43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816" w:type="pct"/>
            <w:tcBorders>
              <w:top w:val="single" w:color="auto" w:sz="2" w:space="0"/>
              <w:left w:val="single" w:color="auto" w:sz="2" w:space="0"/>
              <w:bottom w:val="single" w:color="auto" w:sz="2" w:space="0"/>
              <w:right w:val="single" w:color="auto" w:sz="2" w:space="0"/>
            </w:tcBorders>
            <w:shd w:val="clear" w:color="auto" w:fill="D3D3D3"/>
            <w:vAlign w:val="center"/>
          </w:tcPr>
          <w:p w14:paraId="10B9873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832" w:type="pct"/>
            <w:tcBorders>
              <w:top w:val="single" w:color="auto" w:sz="2" w:space="0"/>
              <w:left w:val="single" w:color="auto" w:sz="2" w:space="0"/>
              <w:bottom w:val="single" w:color="auto" w:sz="2" w:space="0"/>
              <w:right w:val="single" w:color="auto" w:sz="2" w:space="0"/>
            </w:tcBorders>
            <w:vAlign w:val="center"/>
          </w:tcPr>
          <w:p w14:paraId="258C4D6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195,527,656.47</w:t>
            </w:r>
          </w:p>
        </w:tc>
        <w:tc>
          <w:tcPr>
            <w:tcW w:w="483" w:type="pct"/>
            <w:tcBorders>
              <w:top w:val="single" w:color="auto" w:sz="2" w:space="0"/>
              <w:left w:val="single" w:color="auto" w:sz="2" w:space="0"/>
              <w:bottom w:val="single" w:color="auto" w:sz="2" w:space="0"/>
              <w:right w:val="single" w:color="auto" w:sz="2" w:space="0"/>
            </w:tcBorders>
            <w:vAlign w:val="center"/>
          </w:tcPr>
          <w:p w14:paraId="3CA2AD45">
            <w:pPr>
              <w:spacing w:line="240" w:lineRule="exact"/>
              <w:jc w:val="right"/>
              <w:rPr>
                <w:rFonts w:ascii="Times New Roman" w:hAnsi="Times New Roman" w:cs="Times New Roman" w:eastAsiaTheme="majorEastAsia"/>
                <w:sz w:val="18"/>
                <w:szCs w:val="18"/>
              </w:rPr>
            </w:pPr>
          </w:p>
        </w:tc>
        <w:tc>
          <w:tcPr>
            <w:tcW w:w="589" w:type="pct"/>
            <w:tcBorders>
              <w:top w:val="single" w:color="auto" w:sz="2" w:space="0"/>
              <w:left w:val="single" w:color="auto" w:sz="2" w:space="0"/>
              <w:bottom w:val="single" w:color="auto" w:sz="2" w:space="0"/>
              <w:right w:val="single" w:color="auto" w:sz="2" w:space="0"/>
            </w:tcBorders>
            <w:vAlign w:val="center"/>
          </w:tcPr>
          <w:p w14:paraId="24BE082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1,506,630.45</w:t>
            </w:r>
          </w:p>
        </w:tc>
        <w:tc>
          <w:tcPr>
            <w:tcW w:w="322" w:type="pct"/>
            <w:tcBorders>
              <w:top w:val="single" w:color="auto" w:sz="2" w:space="0"/>
              <w:left w:val="single" w:color="auto" w:sz="2" w:space="0"/>
              <w:bottom w:val="single" w:color="auto" w:sz="2" w:space="0"/>
              <w:right w:val="single" w:color="auto" w:sz="2" w:space="0"/>
            </w:tcBorders>
            <w:vAlign w:val="center"/>
          </w:tcPr>
          <w:p w14:paraId="3BB01C4E">
            <w:pPr>
              <w:spacing w:line="240" w:lineRule="exact"/>
              <w:jc w:val="right"/>
              <w:rPr>
                <w:rFonts w:ascii="Times New Roman" w:hAnsi="Times New Roman" w:cs="Times New Roman" w:eastAsiaTheme="majorEastAsia"/>
                <w:sz w:val="18"/>
                <w:szCs w:val="18"/>
              </w:rPr>
            </w:pPr>
          </w:p>
        </w:tc>
        <w:tc>
          <w:tcPr>
            <w:tcW w:w="402" w:type="pct"/>
            <w:tcBorders>
              <w:top w:val="single" w:color="auto" w:sz="2" w:space="0"/>
              <w:left w:val="single" w:color="auto" w:sz="2" w:space="0"/>
              <w:bottom w:val="single" w:color="auto" w:sz="2" w:space="0"/>
              <w:right w:val="single" w:color="auto" w:sz="2" w:space="0"/>
            </w:tcBorders>
            <w:vAlign w:val="center"/>
          </w:tcPr>
          <w:p w14:paraId="635283E4">
            <w:pPr>
              <w:spacing w:line="240" w:lineRule="exact"/>
              <w:jc w:val="right"/>
              <w:rPr>
                <w:rFonts w:ascii="Times New Roman" w:hAnsi="Times New Roman" w:cs="Times New Roman" w:eastAsiaTheme="majorEastAsia"/>
                <w:sz w:val="18"/>
                <w:szCs w:val="18"/>
              </w:rPr>
            </w:pPr>
          </w:p>
        </w:tc>
        <w:tc>
          <w:tcPr>
            <w:tcW w:w="241" w:type="pct"/>
            <w:tcBorders>
              <w:top w:val="single" w:color="auto" w:sz="2" w:space="0"/>
              <w:left w:val="single" w:color="auto" w:sz="2" w:space="0"/>
              <w:bottom w:val="single" w:color="auto" w:sz="2" w:space="0"/>
              <w:right w:val="single" w:color="auto" w:sz="2" w:space="0"/>
            </w:tcBorders>
            <w:vAlign w:val="center"/>
          </w:tcPr>
          <w:p w14:paraId="00DB8329">
            <w:pPr>
              <w:spacing w:line="240" w:lineRule="exact"/>
              <w:jc w:val="right"/>
              <w:rPr>
                <w:rFonts w:ascii="Times New Roman" w:hAnsi="Times New Roman" w:cs="Times New Roman" w:eastAsiaTheme="majorEastAsia"/>
                <w:sz w:val="18"/>
                <w:szCs w:val="18"/>
              </w:rPr>
            </w:pPr>
          </w:p>
        </w:tc>
        <w:tc>
          <w:tcPr>
            <w:tcW w:w="832" w:type="pct"/>
            <w:tcBorders>
              <w:top w:val="single" w:color="auto" w:sz="2" w:space="0"/>
              <w:left w:val="single" w:color="auto" w:sz="2" w:space="0"/>
              <w:bottom w:val="single" w:color="auto" w:sz="2" w:space="0"/>
              <w:right w:val="single" w:color="auto" w:sz="2" w:space="0"/>
            </w:tcBorders>
            <w:vAlign w:val="center"/>
          </w:tcPr>
          <w:p w14:paraId="4151B31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197,034,286.92</w:t>
            </w:r>
          </w:p>
        </w:tc>
        <w:tc>
          <w:tcPr>
            <w:tcW w:w="483" w:type="pct"/>
            <w:tcBorders>
              <w:top w:val="single" w:color="auto" w:sz="2" w:space="0"/>
              <w:left w:val="single" w:color="auto" w:sz="2" w:space="0"/>
              <w:bottom w:val="single" w:color="auto" w:sz="2" w:space="0"/>
              <w:right w:val="single" w:color="auto" w:sz="2" w:space="0"/>
            </w:tcBorders>
            <w:vAlign w:val="center"/>
          </w:tcPr>
          <w:p w14:paraId="0BA46A36">
            <w:pPr>
              <w:spacing w:line="240" w:lineRule="exact"/>
              <w:jc w:val="right"/>
              <w:rPr>
                <w:rFonts w:ascii="Times New Roman" w:hAnsi="Times New Roman" w:cs="Times New Roman" w:eastAsiaTheme="majorEastAsia"/>
                <w:sz w:val="18"/>
                <w:szCs w:val="18"/>
              </w:rPr>
            </w:pPr>
          </w:p>
        </w:tc>
      </w:tr>
    </w:tbl>
    <w:p w14:paraId="75C35011">
      <w:pPr>
        <w:keepNext/>
        <w:keepLines/>
        <w:spacing w:before="300" w:after="300" w:line="280" w:lineRule="exact"/>
        <w:outlineLvl w:val="3"/>
        <w:rPr>
          <w:rFonts w:ascii="Times New Roman" w:hAnsi="Times New Roman" w:cs="Times New Roman" w:eastAsiaTheme="majorEastAsia"/>
          <w:b/>
          <w:bCs/>
          <w:szCs w:val="21"/>
        </w:rPr>
      </w:pPr>
      <w:bookmarkStart w:id="514" w:name="_Toc989406"/>
      <w:r>
        <w:rPr>
          <w:rFonts w:ascii="Times New Roman" w:hAnsi="Times New Roman" w:cs="Times New Roman" w:eastAsiaTheme="majorEastAsia"/>
          <w:b/>
          <w:bCs/>
          <w:szCs w:val="21"/>
        </w:rPr>
        <w:t>（2） 对联营、合营企业投资</w:t>
      </w:r>
      <w:bookmarkEnd w:id="514"/>
    </w:p>
    <w:p w14:paraId="74F93B86">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756"/>
        <w:gridCol w:w="756"/>
        <w:gridCol w:w="756"/>
        <w:gridCol w:w="756"/>
        <w:gridCol w:w="757"/>
        <w:gridCol w:w="757"/>
        <w:gridCol w:w="757"/>
        <w:gridCol w:w="757"/>
        <w:gridCol w:w="757"/>
        <w:gridCol w:w="757"/>
        <w:gridCol w:w="767"/>
        <w:gridCol w:w="757"/>
        <w:gridCol w:w="763"/>
      </w:tblGrid>
      <w:tr w14:paraId="4829B8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53627DF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被投资单位</w:t>
            </w:r>
          </w:p>
        </w:tc>
        <w:tc>
          <w:tcPr>
            <w:tcW w:w="38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29BCDD3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期初余额（账面价值）</w:t>
            </w:r>
          </w:p>
        </w:tc>
        <w:tc>
          <w:tcPr>
            <w:tcW w:w="38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6E4066C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减值准备期初余额</w:t>
            </w:r>
          </w:p>
        </w:tc>
        <w:tc>
          <w:tcPr>
            <w:tcW w:w="3077" w:type="pct"/>
            <w:gridSpan w:val="8"/>
            <w:tcBorders>
              <w:top w:val="single" w:color="auto" w:sz="2" w:space="0"/>
              <w:left w:val="single" w:color="auto" w:sz="2" w:space="0"/>
              <w:bottom w:val="single" w:color="auto" w:sz="2" w:space="0"/>
              <w:right w:val="single" w:color="auto" w:sz="2" w:space="0"/>
            </w:tcBorders>
            <w:shd w:val="clear" w:color="auto" w:fill="D3D3D3"/>
            <w:vAlign w:val="center"/>
          </w:tcPr>
          <w:p w14:paraId="7C7BA88D">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本期增减变动</w:t>
            </w:r>
          </w:p>
        </w:tc>
        <w:tc>
          <w:tcPr>
            <w:tcW w:w="384"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6B3C1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期末余额（账面价值）</w:t>
            </w:r>
          </w:p>
        </w:tc>
        <w:tc>
          <w:tcPr>
            <w:tcW w:w="385"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08CAE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减值准备期末余额</w:t>
            </w:r>
          </w:p>
        </w:tc>
      </w:tr>
      <w:tr w14:paraId="5F6930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8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2B19EBC">
            <w:pPr>
              <w:rPr>
                <w:rFonts w:ascii="Times New Roman" w:hAnsi="Times New Roman" w:cs="Times New Roman" w:eastAsiaTheme="majorEastAsia"/>
              </w:rPr>
            </w:pPr>
          </w:p>
        </w:tc>
        <w:tc>
          <w:tcPr>
            <w:tcW w:w="38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B6287B">
            <w:pPr>
              <w:rPr>
                <w:rFonts w:ascii="Times New Roman" w:hAnsi="Times New Roman" w:cs="Times New Roman" w:eastAsiaTheme="majorEastAsia"/>
              </w:rPr>
            </w:pPr>
          </w:p>
        </w:tc>
        <w:tc>
          <w:tcPr>
            <w:tcW w:w="38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7EEFC41">
            <w:pPr>
              <w:rPr>
                <w:rFonts w:ascii="Times New Roman" w:hAnsi="Times New Roman" w:cs="Times New Roman" w:eastAsiaTheme="majorEastAsia"/>
              </w:rPr>
            </w:pP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4D14C5C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追加投资</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10E7B36B">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减少投资</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338B5D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权益法下确认的投资损益</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2F96AF2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其他综合收益调整</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690A9A0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其他权益变动</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3E35318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宣告发放现金股利或利润</w:t>
            </w:r>
          </w:p>
        </w:tc>
        <w:tc>
          <w:tcPr>
            <w:tcW w:w="384" w:type="pct"/>
            <w:tcBorders>
              <w:top w:val="single" w:color="auto" w:sz="2" w:space="0"/>
              <w:left w:val="single" w:color="auto" w:sz="2" w:space="0"/>
              <w:bottom w:val="single" w:color="auto" w:sz="2" w:space="0"/>
              <w:right w:val="single" w:color="auto" w:sz="2" w:space="0"/>
            </w:tcBorders>
            <w:shd w:val="clear" w:color="auto" w:fill="D3D3D3"/>
            <w:vAlign w:val="center"/>
          </w:tcPr>
          <w:p w14:paraId="0AA4FDF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计提减值准备</w:t>
            </w:r>
          </w:p>
        </w:tc>
        <w:tc>
          <w:tcPr>
            <w:tcW w:w="386" w:type="pct"/>
            <w:tcBorders>
              <w:top w:val="single" w:color="auto" w:sz="2" w:space="0"/>
              <w:left w:val="single" w:color="auto" w:sz="2" w:space="0"/>
              <w:bottom w:val="single" w:color="auto" w:sz="2" w:space="0"/>
              <w:right w:val="single" w:color="auto" w:sz="2" w:space="0"/>
            </w:tcBorders>
            <w:shd w:val="clear" w:color="auto" w:fill="D3D3D3"/>
            <w:vAlign w:val="center"/>
          </w:tcPr>
          <w:p w14:paraId="01892A2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w:t>
            </w:r>
          </w:p>
        </w:tc>
        <w:tc>
          <w:tcPr>
            <w:tcW w:w="384"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1684BA17">
            <w:pPr>
              <w:rPr>
                <w:rFonts w:ascii="Times New Roman" w:hAnsi="Times New Roman" w:cs="Times New Roman" w:eastAsiaTheme="majorEastAsia"/>
              </w:rPr>
            </w:pPr>
          </w:p>
        </w:tc>
        <w:tc>
          <w:tcPr>
            <w:tcW w:w="385"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5D559259">
            <w:pPr>
              <w:rPr>
                <w:rFonts w:ascii="Times New Roman" w:hAnsi="Times New Roman" w:cs="Times New Roman" w:eastAsiaTheme="majorEastAsia"/>
              </w:rPr>
            </w:pPr>
          </w:p>
        </w:tc>
      </w:tr>
      <w:tr w14:paraId="16DE28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29BC8F6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一、合营企业</w:t>
            </w:r>
          </w:p>
        </w:tc>
      </w:tr>
      <w:tr w14:paraId="506237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5000" w:type="pct"/>
            <w:gridSpan w:val="13"/>
            <w:tcBorders>
              <w:top w:val="single" w:color="auto" w:sz="2" w:space="0"/>
              <w:left w:val="single" w:color="auto" w:sz="2" w:space="0"/>
              <w:bottom w:val="single" w:color="auto" w:sz="2" w:space="0"/>
              <w:right w:val="single" w:color="auto" w:sz="2" w:space="0"/>
            </w:tcBorders>
            <w:shd w:val="clear" w:color="auto" w:fill="D3D3D3"/>
            <w:vAlign w:val="center"/>
          </w:tcPr>
          <w:p w14:paraId="2512424B">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二、联营企业</w:t>
            </w:r>
          </w:p>
        </w:tc>
      </w:tr>
    </w:tbl>
    <w:p w14:paraId="3DE52661">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可收回金额按公允价值减去处置费用后的净额确定</w:t>
      </w:r>
    </w:p>
    <w:p w14:paraId="22D904C1">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81CA019">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可收回金额按预计未来现金流量的现值确定</w:t>
      </w:r>
    </w:p>
    <w:p w14:paraId="07E9567E">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5463FA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前述信息与以前年度减值测试采用的信息或外部信息明显不一致的差异原因</w:t>
      </w:r>
      <w:r>
        <w:rPr>
          <w:rFonts w:hint="eastAsia" w:ascii="Times New Roman" w:hAnsi="Times New Roman" w:cs="Times New Roman" w:eastAsiaTheme="majorEastAsia"/>
          <w:sz w:val="18"/>
          <w:szCs w:val="18"/>
        </w:rPr>
        <w:t>：不适用。</w:t>
      </w:r>
    </w:p>
    <w:p w14:paraId="71B70382">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公司以前年度减值测试采用信息与当年实际情况明显不一致的差异原因</w:t>
      </w:r>
      <w:r>
        <w:rPr>
          <w:rFonts w:hint="eastAsia" w:ascii="Times New Roman" w:hAnsi="Times New Roman" w:cs="Times New Roman" w:eastAsiaTheme="majorEastAsia"/>
          <w:sz w:val="18"/>
          <w:szCs w:val="18"/>
        </w:rPr>
        <w:t>：不适用。</w:t>
      </w:r>
    </w:p>
    <w:p w14:paraId="61158D7F">
      <w:pPr>
        <w:keepNext/>
        <w:keepLines/>
        <w:spacing w:before="300" w:after="300" w:line="280" w:lineRule="exact"/>
        <w:outlineLvl w:val="3"/>
        <w:rPr>
          <w:rFonts w:ascii="Times New Roman" w:hAnsi="Times New Roman" w:cs="Times New Roman" w:eastAsiaTheme="majorEastAsia"/>
          <w:b/>
          <w:bCs/>
          <w:szCs w:val="21"/>
        </w:rPr>
      </w:pPr>
      <w:bookmarkStart w:id="515" w:name="_Toc989407"/>
      <w:r>
        <w:rPr>
          <w:rFonts w:ascii="Times New Roman" w:hAnsi="Times New Roman" w:cs="Times New Roman" w:eastAsiaTheme="majorEastAsia"/>
          <w:b/>
          <w:bCs/>
          <w:szCs w:val="21"/>
        </w:rPr>
        <w:t>（3） 其他说明</w:t>
      </w:r>
      <w:bookmarkEnd w:id="515"/>
    </w:p>
    <w:p w14:paraId="79E23D75">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1D44AB0C">
      <w:pPr>
        <w:pStyle w:val="3"/>
        <w:spacing w:line="280" w:lineRule="exact"/>
        <w:jc w:val="left"/>
        <w:rPr>
          <w:rFonts w:ascii="Times New Roman" w:hAnsi="Times New Roman" w:cs="Times New Roman" w:eastAsiaTheme="majorEastAsia"/>
          <w:b/>
          <w:bCs/>
        </w:rPr>
      </w:pPr>
      <w:bookmarkStart w:id="516" w:name="_Toc989408"/>
      <w:r>
        <w:rPr>
          <w:rFonts w:ascii="Times New Roman" w:hAnsi="Times New Roman" w:cs="Times New Roman" w:eastAsiaTheme="majorEastAsia"/>
          <w:b/>
          <w:bCs/>
        </w:rPr>
        <w:t>4、营业收入和营业成本</w:t>
      </w:r>
      <w:bookmarkEnd w:id="516"/>
    </w:p>
    <w:p w14:paraId="47BDE153">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7"/>
        <w:gridCol w:w="1928"/>
        <w:gridCol w:w="1928"/>
        <w:gridCol w:w="1928"/>
        <w:gridCol w:w="1928"/>
      </w:tblGrid>
      <w:tr w14:paraId="497985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C78F3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5072EB45">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856"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4D0D12A">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3494629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06A7E646">
            <w:pPr>
              <w:rPr>
                <w:rFonts w:ascii="Times New Roman" w:hAnsi="Times New Roman" w:cs="Times New Roman" w:eastAsiaTheme="majorEastAsia"/>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BED756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41996F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成本</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3DF10AF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收入</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06587DB9">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成本</w:t>
            </w:r>
          </w:p>
        </w:tc>
      </w:tr>
      <w:tr w14:paraId="6AB914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650FD02E">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主营业务</w:t>
            </w:r>
          </w:p>
        </w:tc>
        <w:tc>
          <w:tcPr>
            <w:tcW w:w="1928" w:type="dxa"/>
            <w:tcBorders>
              <w:top w:val="single" w:color="auto" w:sz="2" w:space="0"/>
              <w:left w:val="single" w:color="auto" w:sz="2" w:space="0"/>
              <w:bottom w:val="single" w:color="auto" w:sz="2" w:space="0"/>
              <w:right w:val="single" w:color="auto" w:sz="2" w:space="0"/>
            </w:tcBorders>
            <w:vAlign w:val="center"/>
          </w:tcPr>
          <w:p w14:paraId="08C6CA5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96,909,821.27</w:t>
            </w:r>
          </w:p>
        </w:tc>
        <w:tc>
          <w:tcPr>
            <w:tcW w:w="1928" w:type="dxa"/>
            <w:tcBorders>
              <w:top w:val="single" w:color="auto" w:sz="2" w:space="0"/>
              <w:left w:val="single" w:color="auto" w:sz="2" w:space="0"/>
              <w:bottom w:val="single" w:color="auto" w:sz="2" w:space="0"/>
              <w:right w:val="single" w:color="auto" w:sz="2" w:space="0"/>
            </w:tcBorders>
            <w:vAlign w:val="center"/>
          </w:tcPr>
          <w:p w14:paraId="50AD2EEF">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85,162,386.72</w:t>
            </w:r>
          </w:p>
        </w:tc>
        <w:tc>
          <w:tcPr>
            <w:tcW w:w="1928" w:type="dxa"/>
            <w:tcBorders>
              <w:top w:val="single" w:color="auto" w:sz="2" w:space="0"/>
              <w:left w:val="single" w:color="auto" w:sz="2" w:space="0"/>
              <w:bottom w:val="single" w:color="auto" w:sz="2" w:space="0"/>
              <w:right w:val="single" w:color="auto" w:sz="2" w:space="0"/>
            </w:tcBorders>
            <w:vAlign w:val="center"/>
          </w:tcPr>
          <w:p w14:paraId="46815B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174,147,262.46</w:t>
            </w:r>
          </w:p>
        </w:tc>
        <w:tc>
          <w:tcPr>
            <w:tcW w:w="1928" w:type="dxa"/>
            <w:tcBorders>
              <w:top w:val="single" w:color="auto" w:sz="2" w:space="0"/>
              <w:left w:val="single" w:color="auto" w:sz="2" w:space="0"/>
              <w:bottom w:val="single" w:color="auto" w:sz="2" w:space="0"/>
              <w:right w:val="single" w:color="auto" w:sz="2" w:space="0"/>
            </w:tcBorders>
            <w:vAlign w:val="center"/>
          </w:tcPr>
          <w:p w14:paraId="1A9A2A5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131,950,473.20</w:t>
            </w:r>
          </w:p>
        </w:tc>
      </w:tr>
      <w:tr w14:paraId="6CB93F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792CDCB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其他业务</w:t>
            </w:r>
          </w:p>
        </w:tc>
        <w:tc>
          <w:tcPr>
            <w:tcW w:w="1928" w:type="dxa"/>
            <w:tcBorders>
              <w:top w:val="single" w:color="auto" w:sz="2" w:space="0"/>
              <w:left w:val="single" w:color="auto" w:sz="2" w:space="0"/>
              <w:bottom w:val="single" w:color="auto" w:sz="2" w:space="0"/>
              <w:right w:val="single" w:color="auto" w:sz="2" w:space="0"/>
            </w:tcBorders>
            <w:vAlign w:val="center"/>
          </w:tcPr>
          <w:p w14:paraId="04EA8513">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1121FA60">
            <w:pPr>
              <w:spacing w:line="240" w:lineRule="exact"/>
              <w:jc w:val="right"/>
              <w:rPr>
                <w:rFonts w:ascii="Times New Roman" w:hAnsi="Times New Roman" w:cs="Times New Roman" w:eastAsiaTheme="majorEastAsia"/>
                <w:sz w:val="18"/>
                <w:szCs w:val="18"/>
              </w:rPr>
            </w:pPr>
          </w:p>
        </w:tc>
        <w:tc>
          <w:tcPr>
            <w:tcW w:w="1928" w:type="dxa"/>
            <w:tcBorders>
              <w:top w:val="single" w:color="auto" w:sz="2" w:space="0"/>
              <w:left w:val="single" w:color="auto" w:sz="2" w:space="0"/>
              <w:bottom w:val="single" w:color="auto" w:sz="2" w:space="0"/>
              <w:right w:val="single" w:color="auto" w:sz="2" w:space="0"/>
            </w:tcBorders>
            <w:vAlign w:val="center"/>
          </w:tcPr>
          <w:p w14:paraId="5689D0E6">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4,716,981.15</w:t>
            </w:r>
          </w:p>
        </w:tc>
        <w:tc>
          <w:tcPr>
            <w:tcW w:w="1928" w:type="dxa"/>
            <w:tcBorders>
              <w:top w:val="single" w:color="auto" w:sz="2" w:space="0"/>
              <w:left w:val="single" w:color="auto" w:sz="2" w:space="0"/>
              <w:bottom w:val="single" w:color="auto" w:sz="2" w:space="0"/>
              <w:right w:val="single" w:color="auto" w:sz="2" w:space="0"/>
            </w:tcBorders>
            <w:vAlign w:val="center"/>
          </w:tcPr>
          <w:p w14:paraId="4FB49201">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495,102.98</w:t>
            </w:r>
          </w:p>
        </w:tc>
      </w:tr>
      <w:tr w14:paraId="0573F8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14:paraId="12997DA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1928" w:type="dxa"/>
            <w:tcBorders>
              <w:top w:val="single" w:color="auto" w:sz="2" w:space="0"/>
              <w:left w:val="single" w:color="auto" w:sz="2" w:space="0"/>
              <w:bottom w:val="single" w:color="auto" w:sz="2" w:space="0"/>
              <w:right w:val="single" w:color="auto" w:sz="2" w:space="0"/>
            </w:tcBorders>
            <w:vAlign w:val="center"/>
          </w:tcPr>
          <w:p w14:paraId="22B555A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96,909,821.27</w:t>
            </w:r>
          </w:p>
        </w:tc>
        <w:tc>
          <w:tcPr>
            <w:tcW w:w="1928" w:type="dxa"/>
            <w:tcBorders>
              <w:top w:val="single" w:color="auto" w:sz="2" w:space="0"/>
              <w:left w:val="single" w:color="auto" w:sz="2" w:space="0"/>
              <w:bottom w:val="single" w:color="auto" w:sz="2" w:space="0"/>
              <w:right w:val="single" w:color="auto" w:sz="2" w:space="0"/>
            </w:tcBorders>
            <w:vAlign w:val="center"/>
          </w:tcPr>
          <w:p w14:paraId="06CC14A3">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85,162,386.72</w:t>
            </w:r>
          </w:p>
        </w:tc>
        <w:tc>
          <w:tcPr>
            <w:tcW w:w="1928" w:type="dxa"/>
            <w:tcBorders>
              <w:top w:val="single" w:color="auto" w:sz="2" w:space="0"/>
              <w:left w:val="single" w:color="auto" w:sz="2" w:space="0"/>
              <w:bottom w:val="single" w:color="auto" w:sz="2" w:space="0"/>
              <w:right w:val="single" w:color="auto" w:sz="2" w:space="0"/>
            </w:tcBorders>
            <w:vAlign w:val="center"/>
          </w:tcPr>
          <w:p w14:paraId="33AD077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178,864,243.61</w:t>
            </w:r>
          </w:p>
        </w:tc>
        <w:tc>
          <w:tcPr>
            <w:tcW w:w="1928" w:type="dxa"/>
            <w:tcBorders>
              <w:top w:val="single" w:color="auto" w:sz="2" w:space="0"/>
              <w:left w:val="single" w:color="auto" w:sz="2" w:space="0"/>
              <w:bottom w:val="single" w:color="auto" w:sz="2" w:space="0"/>
              <w:right w:val="single" w:color="auto" w:sz="2" w:space="0"/>
            </w:tcBorders>
            <w:vAlign w:val="center"/>
          </w:tcPr>
          <w:p w14:paraId="474A2AA2">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132,445,576.18</w:t>
            </w:r>
          </w:p>
        </w:tc>
      </w:tr>
    </w:tbl>
    <w:p w14:paraId="1CE603D4">
      <w:pPr>
        <w:spacing w:before="100" w:after="100" w:line="240" w:lineRule="exact"/>
        <w:rPr>
          <w:rFonts w:ascii="宋体" w:hAnsi="宋体" w:eastAsia="宋体" w:cs="宋体"/>
          <w:sz w:val="18"/>
          <w:szCs w:val="18"/>
        </w:rPr>
      </w:pPr>
      <w:r>
        <w:rPr>
          <w:rFonts w:ascii="宋体" w:hAnsi="宋体" w:eastAsia="宋体" w:cs="宋体"/>
          <w:sz w:val="18"/>
          <w:szCs w:val="18"/>
        </w:rPr>
        <w:t>营业收入、营业成本的分解信息：</w:t>
      </w:r>
    </w:p>
    <w:p w14:paraId="04E7C3C6">
      <w:pPr>
        <w:spacing w:before="40" w:after="4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1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70"/>
        <w:gridCol w:w="1970"/>
        <w:gridCol w:w="1971"/>
        <w:gridCol w:w="1971"/>
        <w:gridCol w:w="1971"/>
      </w:tblGrid>
      <w:tr w14:paraId="3695DE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00" w:type="pct"/>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7FA3B5C8">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合同分类</w:t>
            </w:r>
          </w:p>
        </w:tc>
        <w:tc>
          <w:tcPr>
            <w:tcW w:w="2000"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4EDBE83F">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分部1</w:t>
            </w:r>
          </w:p>
        </w:tc>
        <w:tc>
          <w:tcPr>
            <w:tcW w:w="2000" w:type="pct"/>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7816E8D">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合计</w:t>
            </w:r>
          </w:p>
        </w:tc>
      </w:tr>
      <w:tr w14:paraId="768E9B4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1000" w:type="pct"/>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47032EA4">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F7EA949">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营业收入</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7A70DEE">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营业成本</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77F929E0">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营业收入</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FEB71CC">
            <w:pPr>
              <w:spacing w:before="40" w:after="40" w:line="24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营业成本</w:t>
            </w:r>
          </w:p>
        </w:tc>
      </w:tr>
      <w:tr w14:paraId="703109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E48D2E8">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业务类型</w:t>
            </w:r>
          </w:p>
        </w:tc>
        <w:tc>
          <w:tcPr>
            <w:tcW w:w="1000" w:type="pct"/>
            <w:tcBorders>
              <w:top w:val="single" w:color="auto" w:sz="2" w:space="0"/>
              <w:left w:val="single" w:color="auto" w:sz="2" w:space="0"/>
              <w:bottom w:val="single" w:color="auto" w:sz="2" w:space="0"/>
              <w:right w:val="single" w:color="auto" w:sz="2" w:space="0"/>
            </w:tcBorders>
            <w:vAlign w:val="center"/>
          </w:tcPr>
          <w:p w14:paraId="3DEFCFB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6B2ACD9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c>
          <w:tcPr>
            <w:tcW w:w="1000" w:type="pct"/>
            <w:tcBorders>
              <w:top w:val="single" w:color="auto" w:sz="2" w:space="0"/>
              <w:left w:val="single" w:color="auto" w:sz="2" w:space="0"/>
              <w:bottom w:val="single" w:color="auto" w:sz="2" w:space="0"/>
              <w:right w:val="single" w:color="auto" w:sz="2" w:space="0"/>
            </w:tcBorders>
            <w:vAlign w:val="center"/>
          </w:tcPr>
          <w:p w14:paraId="193A0AB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4800EB9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r>
      <w:tr w14:paraId="6F4CC6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5BD2B58">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20FDA01">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8050F45">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99DC436">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69E6E4E">
            <w:pPr>
              <w:rPr>
                <w:rFonts w:ascii="Times New Roman" w:hAnsi="Times New Roman" w:cs="Times New Roman"/>
              </w:rPr>
            </w:pPr>
          </w:p>
        </w:tc>
      </w:tr>
      <w:tr w14:paraId="6DCB19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6B0BE04B">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信息系统集成</w:t>
            </w:r>
          </w:p>
        </w:tc>
        <w:tc>
          <w:tcPr>
            <w:tcW w:w="1000" w:type="pct"/>
            <w:tcBorders>
              <w:top w:val="single" w:color="auto" w:sz="2" w:space="0"/>
              <w:left w:val="single" w:color="auto" w:sz="2" w:space="0"/>
              <w:bottom w:val="single" w:color="auto" w:sz="2" w:space="0"/>
              <w:right w:val="single" w:color="auto" w:sz="2" w:space="0"/>
            </w:tcBorders>
            <w:vAlign w:val="center"/>
          </w:tcPr>
          <w:p w14:paraId="083252F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41,673,897.26</w:t>
            </w:r>
          </w:p>
        </w:tc>
        <w:tc>
          <w:tcPr>
            <w:tcW w:w="1000" w:type="pct"/>
            <w:tcBorders>
              <w:top w:val="single" w:color="auto" w:sz="2" w:space="0"/>
              <w:left w:val="single" w:color="auto" w:sz="2" w:space="0"/>
              <w:bottom w:val="single" w:color="auto" w:sz="2" w:space="0"/>
              <w:right w:val="single" w:color="auto" w:sz="2" w:space="0"/>
            </w:tcBorders>
            <w:vAlign w:val="center"/>
          </w:tcPr>
          <w:p w14:paraId="1C9B9B2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43,072,389.85</w:t>
            </w:r>
          </w:p>
        </w:tc>
        <w:tc>
          <w:tcPr>
            <w:tcW w:w="1000" w:type="pct"/>
            <w:tcBorders>
              <w:top w:val="single" w:color="auto" w:sz="2" w:space="0"/>
              <w:left w:val="single" w:color="auto" w:sz="2" w:space="0"/>
              <w:bottom w:val="single" w:color="auto" w:sz="2" w:space="0"/>
              <w:right w:val="single" w:color="auto" w:sz="2" w:space="0"/>
            </w:tcBorders>
            <w:vAlign w:val="center"/>
          </w:tcPr>
          <w:p w14:paraId="06C4950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41,673,897.26</w:t>
            </w:r>
          </w:p>
        </w:tc>
        <w:tc>
          <w:tcPr>
            <w:tcW w:w="1000" w:type="pct"/>
            <w:tcBorders>
              <w:top w:val="single" w:color="auto" w:sz="2" w:space="0"/>
              <w:left w:val="single" w:color="auto" w:sz="2" w:space="0"/>
              <w:bottom w:val="single" w:color="auto" w:sz="2" w:space="0"/>
              <w:right w:val="single" w:color="auto" w:sz="2" w:space="0"/>
            </w:tcBorders>
            <w:vAlign w:val="center"/>
          </w:tcPr>
          <w:p w14:paraId="1C6DBA1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43,072,389.85</w:t>
            </w:r>
          </w:p>
        </w:tc>
      </w:tr>
      <w:tr w14:paraId="19809D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22BBF1FB">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软件及技术服务</w:t>
            </w:r>
          </w:p>
        </w:tc>
        <w:tc>
          <w:tcPr>
            <w:tcW w:w="1000" w:type="pct"/>
            <w:tcBorders>
              <w:top w:val="single" w:color="auto" w:sz="2" w:space="0"/>
              <w:left w:val="single" w:color="auto" w:sz="2" w:space="0"/>
              <w:bottom w:val="single" w:color="auto" w:sz="2" w:space="0"/>
              <w:right w:val="single" w:color="auto" w:sz="2" w:space="0"/>
            </w:tcBorders>
            <w:vAlign w:val="center"/>
          </w:tcPr>
          <w:p w14:paraId="11D2882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30,191,266.00</w:t>
            </w:r>
          </w:p>
        </w:tc>
        <w:tc>
          <w:tcPr>
            <w:tcW w:w="1000" w:type="pct"/>
            <w:tcBorders>
              <w:top w:val="single" w:color="auto" w:sz="2" w:space="0"/>
              <w:left w:val="single" w:color="auto" w:sz="2" w:space="0"/>
              <w:bottom w:val="single" w:color="auto" w:sz="2" w:space="0"/>
              <w:right w:val="single" w:color="auto" w:sz="2" w:space="0"/>
            </w:tcBorders>
            <w:vAlign w:val="center"/>
          </w:tcPr>
          <w:p w14:paraId="0C261941">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22,226,558.61</w:t>
            </w:r>
          </w:p>
        </w:tc>
        <w:tc>
          <w:tcPr>
            <w:tcW w:w="1000" w:type="pct"/>
            <w:tcBorders>
              <w:top w:val="single" w:color="auto" w:sz="2" w:space="0"/>
              <w:left w:val="single" w:color="auto" w:sz="2" w:space="0"/>
              <w:bottom w:val="single" w:color="auto" w:sz="2" w:space="0"/>
              <w:right w:val="single" w:color="auto" w:sz="2" w:space="0"/>
            </w:tcBorders>
            <w:vAlign w:val="center"/>
          </w:tcPr>
          <w:p w14:paraId="3B009FA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30,191,266.00</w:t>
            </w:r>
          </w:p>
        </w:tc>
        <w:tc>
          <w:tcPr>
            <w:tcW w:w="1000" w:type="pct"/>
            <w:tcBorders>
              <w:top w:val="single" w:color="auto" w:sz="2" w:space="0"/>
              <w:left w:val="single" w:color="auto" w:sz="2" w:space="0"/>
              <w:bottom w:val="single" w:color="auto" w:sz="2" w:space="0"/>
              <w:right w:val="single" w:color="auto" w:sz="2" w:space="0"/>
            </w:tcBorders>
            <w:vAlign w:val="center"/>
          </w:tcPr>
          <w:p w14:paraId="7C9EE0A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22,226,558.61</w:t>
            </w:r>
          </w:p>
        </w:tc>
      </w:tr>
      <w:tr w14:paraId="7E3CD5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0240EE3B">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信息系统运维服务</w:t>
            </w:r>
          </w:p>
        </w:tc>
        <w:tc>
          <w:tcPr>
            <w:tcW w:w="1000" w:type="pct"/>
            <w:tcBorders>
              <w:top w:val="single" w:color="auto" w:sz="2" w:space="0"/>
              <w:left w:val="single" w:color="auto" w:sz="2" w:space="0"/>
              <w:bottom w:val="single" w:color="auto" w:sz="2" w:space="0"/>
              <w:right w:val="single" w:color="auto" w:sz="2" w:space="0"/>
            </w:tcBorders>
            <w:vAlign w:val="center"/>
          </w:tcPr>
          <w:p w14:paraId="2377AD9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5,763,502.08</w:t>
            </w:r>
          </w:p>
        </w:tc>
        <w:tc>
          <w:tcPr>
            <w:tcW w:w="1000" w:type="pct"/>
            <w:tcBorders>
              <w:top w:val="single" w:color="auto" w:sz="2" w:space="0"/>
              <w:left w:val="single" w:color="auto" w:sz="2" w:space="0"/>
              <w:bottom w:val="single" w:color="auto" w:sz="2" w:space="0"/>
              <w:right w:val="single" w:color="auto" w:sz="2" w:space="0"/>
            </w:tcBorders>
            <w:vAlign w:val="center"/>
          </w:tcPr>
          <w:p w14:paraId="10CD2D0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2,873,784.82</w:t>
            </w:r>
          </w:p>
        </w:tc>
        <w:tc>
          <w:tcPr>
            <w:tcW w:w="1000" w:type="pct"/>
            <w:tcBorders>
              <w:top w:val="single" w:color="auto" w:sz="2" w:space="0"/>
              <w:left w:val="single" w:color="auto" w:sz="2" w:space="0"/>
              <w:bottom w:val="single" w:color="auto" w:sz="2" w:space="0"/>
              <w:right w:val="single" w:color="auto" w:sz="2" w:space="0"/>
            </w:tcBorders>
            <w:vAlign w:val="center"/>
          </w:tcPr>
          <w:p w14:paraId="291A6DD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5,763,502.08</w:t>
            </w:r>
          </w:p>
        </w:tc>
        <w:tc>
          <w:tcPr>
            <w:tcW w:w="1000" w:type="pct"/>
            <w:tcBorders>
              <w:top w:val="single" w:color="auto" w:sz="2" w:space="0"/>
              <w:left w:val="single" w:color="auto" w:sz="2" w:space="0"/>
              <w:bottom w:val="single" w:color="auto" w:sz="2" w:space="0"/>
              <w:right w:val="single" w:color="auto" w:sz="2" w:space="0"/>
            </w:tcBorders>
            <w:vAlign w:val="center"/>
          </w:tcPr>
          <w:p w14:paraId="62D9A66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2,873,784.82</w:t>
            </w:r>
          </w:p>
        </w:tc>
      </w:tr>
      <w:tr w14:paraId="4F4420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0B0ED08A">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硬件销售</w:t>
            </w:r>
          </w:p>
        </w:tc>
        <w:tc>
          <w:tcPr>
            <w:tcW w:w="1000" w:type="pct"/>
            <w:tcBorders>
              <w:top w:val="single" w:color="auto" w:sz="2" w:space="0"/>
              <w:left w:val="single" w:color="auto" w:sz="2" w:space="0"/>
              <w:bottom w:val="single" w:color="auto" w:sz="2" w:space="0"/>
              <w:right w:val="single" w:color="auto" w:sz="2" w:space="0"/>
            </w:tcBorders>
            <w:vAlign w:val="center"/>
          </w:tcPr>
          <w:p w14:paraId="2B38235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19,281,155.93</w:t>
            </w:r>
          </w:p>
        </w:tc>
        <w:tc>
          <w:tcPr>
            <w:tcW w:w="1000" w:type="pct"/>
            <w:tcBorders>
              <w:top w:val="single" w:color="auto" w:sz="2" w:space="0"/>
              <w:left w:val="single" w:color="auto" w:sz="2" w:space="0"/>
              <w:bottom w:val="single" w:color="auto" w:sz="2" w:space="0"/>
              <w:right w:val="single" w:color="auto" w:sz="2" w:space="0"/>
            </w:tcBorders>
            <w:vAlign w:val="center"/>
          </w:tcPr>
          <w:p w14:paraId="408DFA8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16,989,653.44</w:t>
            </w:r>
          </w:p>
        </w:tc>
        <w:tc>
          <w:tcPr>
            <w:tcW w:w="1000" w:type="pct"/>
            <w:tcBorders>
              <w:top w:val="single" w:color="auto" w:sz="2" w:space="0"/>
              <w:left w:val="single" w:color="auto" w:sz="2" w:space="0"/>
              <w:bottom w:val="single" w:color="auto" w:sz="2" w:space="0"/>
              <w:right w:val="single" w:color="auto" w:sz="2" w:space="0"/>
            </w:tcBorders>
            <w:vAlign w:val="center"/>
          </w:tcPr>
          <w:p w14:paraId="31F92DD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19,281,155.93</w:t>
            </w:r>
          </w:p>
        </w:tc>
        <w:tc>
          <w:tcPr>
            <w:tcW w:w="1000" w:type="pct"/>
            <w:tcBorders>
              <w:top w:val="single" w:color="auto" w:sz="2" w:space="0"/>
              <w:left w:val="single" w:color="auto" w:sz="2" w:space="0"/>
              <w:bottom w:val="single" w:color="auto" w:sz="2" w:space="0"/>
              <w:right w:val="single" w:color="auto" w:sz="2" w:space="0"/>
            </w:tcBorders>
            <w:vAlign w:val="center"/>
          </w:tcPr>
          <w:p w14:paraId="379D131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16,989,653.44</w:t>
            </w:r>
          </w:p>
        </w:tc>
      </w:tr>
      <w:tr w14:paraId="1C53F9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9F2A802">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按经营地区分类</w:t>
            </w:r>
          </w:p>
        </w:tc>
        <w:tc>
          <w:tcPr>
            <w:tcW w:w="1000" w:type="pct"/>
            <w:tcBorders>
              <w:top w:val="single" w:color="auto" w:sz="2" w:space="0"/>
              <w:left w:val="single" w:color="auto" w:sz="2" w:space="0"/>
              <w:bottom w:val="single" w:color="auto" w:sz="2" w:space="0"/>
              <w:right w:val="single" w:color="auto" w:sz="2" w:space="0"/>
            </w:tcBorders>
            <w:vAlign w:val="center"/>
          </w:tcPr>
          <w:p w14:paraId="1B141DE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42C4CF1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c>
          <w:tcPr>
            <w:tcW w:w="1000" w:type="pct"/>
            <w:tcBorders>
              <w:top w:val="single" w:color="auto" w:sz="2" w:space="0"/>
              <w:left w:val="single" w:color="auto" w:sz="2" w:space="0"/>
              <w:bottom w:val="single" w:color="auto" w:sz="2" w:space="0"/>
              <w:right w:val="single" w:color="auto" w:sz="2" w:space="0"/>
            </w:tcBorders>
            <w:vAlign w:val="center"/>
          </w:tcPr>
          <w:p w14:paraId="33F68D9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29594AF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r>
      <w:tr w14:paraId="7CF45F9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9A97B6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992DAF8">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B903A88">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F50F0B6">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54CE850">
            <w:pPr>
              <w:rPr>
                <w:rFonts w:ascii="Times New Roman" w:hAnsi="Times New Roman" w:cs="Times New Roman"/>
              </w:rPr>
            </w:pPr>
          </w:p>
        </w:tc>
      </w:tr>
      <w:tr w14:paraId="7772EC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42C16A24">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华南地区</w:t>
            </w:r>
          </w:p>
        </w:tc>
        <w:tc>
          <w:tcPr>
            <w:tcW w:w="1000" w:type="pct"/>
            <w:tcBorders>
              <w:top w:val="single" w:color="auto" w:sz="2" w:space="0"/>
              <w:left w:val="single" w:color="auto" w:sz="2" w:space="0"/>
              <w:bottom w:val="single" w:color="auto" w:sz="2" w:space="0"/>
              <w:right w:val="single" w:color="auto" w:sz="2" w:space="0"/>
            </w:tcBorders>
            <w:vAlign w:val="center"/>
          </w:tcPr>
          <w:p w14:paraId="41F8764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58,558,719.51</w:t>
            </w:r>
          </w:p>
        </w:tc>
        <w:tc>
          <w:tcPr>
            <w:tcW w:w="1000" w:type="pct"/>
            <w:tcBorders>
              <w:top w:val="single" w:color="auto" w:sz="2" w:space="0"/>
              <w:left w:val="single" w:color="auto" w:sz="2" w:space="0"/>
              <w:bottom w:val="single" w:color="auto" w:sz="2" w:space="0"/>
              <w:right w:val="single" w:color="auto" w:sz="2" w:space="0"/>
            </w:tcBorders>
            <w:vAlign w:val="center"/>
          </w:tcPr>
          <w:p w14:paraId="0635820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53,520,946.12</w:t>
            </w:r>
          </w:p>
        </w:tc>
        <w:tc>
          <w:tcPr>
            <w:tcW w:w="1000" w:type="pct"/>
            <w:tcBorders>
              <w:top w:val="single" w:color="auto" w:sz="2" w:space="0"/>
              <w:left w:val="single" w:color="auto" w:sz="2" w:space="0"/>
              <w:bottom w:val="single" w:color="auto" w:sz="2" w:space="0"/>
              <w:right w:val="single" w:color="auto" w:sz="2" w:space="0"/>
            </w:tcBorders>
            <w:vAlign w:val="center"/>
          </w:tcPr>
          <w:p w14:paraId="726A258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58,558,719.51</w:t>
            </w:r>
          </w:p>
        </w:tc>
        <w:tc>
          <w:tcPr>
            <w:tcW w:w="1000" w:type="pct"/>
            <w:tcBorders>
              <w:top w:val="single" w:color="auto" w:sz="2" w:space="0"/>
              <w:left w:val="single" w:color="auto" w:sz="2" w:space="0"/>
              <w:bottom w:val="single" w:color="auto" w:sz="2" w:space="0"/>
              <w:right w:val="single" w:color="auto" w:sz="2" w:space="0"/>
            </w:tcBorders>
            <w:vAlign w:val="center"/>
          </w:tcPr>
          <w:p w14:paraId="268250F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53,520,946.12</w:t>
            </w:r>
          </w:p>
        </w:tc>
      </w:tr>
      <w:tr w14:paraId="7DC540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754B0694">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华中地区</w:t>
            </w:r>
          </w:p>
        </w:tc>
        <w:tc>
          <w:tcPr>
            <w:tcW w:w="1000" w:type="pct"/>
            <w:tcBorders>
              <w:top w:val="single" w:color="auto" w:sz="2" w:space="0"/>
              <w:left w:val="single" w:color="auto" w:sz="2" w:space="0"/>
              <w:bottom w:val="single" w:color="auto" w:sz="2" w:space="0"/>
              <w:right w:val="single" w:color="auto" w:sz="2" w:space="0"/>
            </w:tcBorders>
            <w:vAlign w:val="center"/>
          </w:tcPr>
          <w:p w14:paraId="77C3D0F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814,162.87</w:t>
            </w:r>
          </w:p>
        </w:tc>
        <w:tc>
          <w:tcPr>
            <w:tcW w:w="1000" w:type="pct"/>
            <w:tcBorders>
              <w:top w:val="single" w:color="auto" w:sz="2" w:space="0"/>
              <w:left w:val="single" w:color="auto" w:sz="2" w:space="0"/>
              <w:bottom w:val="single" w:color="auto" w:sz="2" w:space="0"/>
              <w:right w:val="single" w:color="auto" w:sz="2" w:space="0"/>
            </w:tcBorders>
            <w:vAlign w:val="center"/>
          </w:tcPr>
          <w:p w14:paraId="0B71C2C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409,479.17</w:t>
            </w:r>
          </w:p>
        </w:tc>
        <w:tc>
          <w:tcPr>
            <w:tcW w:w="1000" w:type="pct"/>
            <w:tcBorders>
              <w:top w:val="single" w:color="auto" w:sz="2" w:space="0"/>
              <w:left w:val="single" w:color="auto" w:sz="2" w:space="0"/>
              <w:bottom w:val="single" w:color="auto" w:sz="2" w:space="0"/>
              <w:right w:val="single" w:color="auto" w:sz="2" w:space="0"/>
            </w:tcBorders>
            <w:vAlign w:val="center"/>
          </w:tcPr>
          <w:p w14:paraId="4764B99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814,162.87</w:t>
            </w:r>
          </w:p>
        </w:tc>
        <w:tc>
          <w:tcPr>
            <w:tcW w:w="1000" w:type="pct"/>
            <w:tcBorders>
              <w:top w:val="single" w:color="auto" w:sz="2" w:space="0"/>
              <w:left w:val="single" w:color="auto" w:sz="2" w:space="0"/>
              <w:bottom w:val="single" w:color="auto" w:sz="2" w:space="0"/>
              <w:right w:val="single" w:color="auto" w:sz="2" w:space="0"/>
            </w:tcBorders>
            <w:vAlign w:val="center"/>
          </w:tcPr>
          <w:p w14:paraId="0349B7A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409,479.17</w:t>
            </w:r>
          </w:p>
        </w:tc>
      </w:tr>
      <w:tr w14:paraId="5260479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6476A186">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华东地区</w:t>
            </w:r>
          </w:p>
        </w:tc>
        <w:tc>
          <w:tcPr>
            <w:tcW w:w="1000" w:type="pct"/>
            <w:tcBorders>
              <w:top w:val="single" w:color="auto" w:sz="2" w:space="0"/>
              <w:left w:val="single" w:color="auto" w:sz="2" w:space="0"/>
              <w:bottom w:val="single" w:color="auto" w:sz="2" w:space="0"/>
              <w:right w:val="single" w:color="auto" w:sz="2" w:space="0"/>
            </w:tcBorders>
            <w:vAlign w:val="center"/>
          </w:tcPr>
          <w:p w14:paraId="3391B21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7,023,745.47</w:t>
            </w:r>
          </w:p>
        </w:tc>
        <w:tc>
          <w:tcPr>
            <w:tcW w:w="1000" w:type="pct"/>
            <w:tcBorders>
              <w:top w:val="single" w:color="auto" w:sz="2" w:space="0"/>
              <w:left w:val="single" w:color="auto" w:sz="2" w:space="0"/>
              <w:bottom w:val="single" w:color="auto" w:sz="2" w:space="0"/>
              <w:right w:val="single" w:color="auto" w:sz="2" w:space="0"/>
            </w:tcBorders>
            <w:vAlign w:val="center"/>
          </w:tcPr>
          <w:p w14:paraId="0A919E1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5,470,474.46</w:t>
            </w:r>
          </w:p>
        </w:tc>
        <w:tc>
          <w:tcPr>
            <w:tcW w:w="1000" w:type="pct"/>
            <w:tcBorders>
              <w:top w:val="single" w:color="auto" w:sz="2" w:space="0"/>
              <w:left w:val="single" w:color="auto" w:sz="2" w:space="0"/>
              <w:bottom w:val="single" w:color="auto" w:sz="2" w:space="0"/>
              <w:right w:val="single" w:color="auto" w:sz="2" w:space="0"/>
            </w:tcBorders>
            <w:vAlign w:val="center"/>
          </w:tcPr>
          <w:p w14:paraId="056B138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7,023,745.47</w:t>
            </w:r>
          </w:p>
        </w:tc>
        <w:tc>
          <w:tcPr>
            <w:tcW w:w="1000" w:type="pct"/>
            <w:tcBorders>
              <w:top w:val="single" w:color="auto" w:sz="2" w:space="0"/>
              <w:left w:val="single" w:color="auto" w:sz="2" w:space="0"/>
              <w:bottom w:val="single" w:color="auto" w:sz="2" w:space="0"/>
              <w:right w:val="single" w:color="auto" w:sz="2" w:space="0"/>
            </w:tcBorders>
            <w:vAlign w:val="center"/>
          </w:tcPr>
          <w:p w14:paraId="29B58B2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5,470,474.46</w:t>
            </w:r>
          </w:p>
        </w:tc>
      </w:tr>
      <w:tr w14:paraId="27199F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7C65CB6B">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华北地区</w:t>
            </w:r>
          </w:p>
        </w:tc>
        <w:tc>
          <w:tcPr>
            <w:tcW w:w="1000" w:type="pct"/>
            <w:tcBorders>
              <w:top w:val="single" w:color="auto" w:sz="2" w:space="0"/>
              <w:left w:val="single" w:color="auto" w:sz="2" w:space="0"/>
              <w:bottom w:val="single" w:color="auto" w:sz="2" w:space="0"/>
              <w:right w:val="single" w:color="auto" w:sz="2" w:space="0"/>
            </w:tcBorders>
            <w:vAlign w:val="center"/>
          </w:tcPr>
          <w:p w14:paraId="09FED3D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175,066.35</w:t>
            </w:r>
          </w:p>
        </w:tc>
        <w:tc>
          <w:tcPr>
            <w:tcW w:w="1000" w:type="pct"/>
            <w:tcBorders>
              <w:top w:val="single" w:color="auto" w:sz="2" w:space="0"/>
              <w:left w:val="single" w:color="auto" w:sz="2" w:space="0"/>
              <w:bottom w:val="single" w:color="auto" w:sz="2" w:space="0"/>
              <w:right w:val="single" w:color="auto" w:sz="2" w:space="0"/>
            </w:tcBorders>
            <w:vAlign w:val="center"/>
          </w:tcPr>
          <w:p w14:paraId="0284956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142,032.26</w:t>
            </w:r>
          </w:p>
        </w:tc>
        <w:tc>
          <w:tcPr>
            <w:tcW w:w="1000" w:type="pct"/>
            <w:tcBorders>
              <w:top w:val="single" w:color="auto" w:sz="2" w:space="0"/>
              <w:left w:val="single" w:color="auto" w:sz="2" w:space="0"/>
              <w:bottom w:val="single" w:color="auto" w:sz="2" w:space="0"/>
              <w:right w:val="single" w:color="auto" w:sz="2" w:space="0"/>
            </w:tcBorders>
            <w:vAlign w:val="center"/>
          </w:tcPr>
          <w:p w14:paraId="6411FDE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175,066.35</w:t>
            </w:r>
          </w:p>
        </w:tc>
        <w:tc>
          <w:tcPr>
            <w:tcW w:w="1000" w:type="pct"/>
            <w:tcBorders>
              <w:top w:val="single" w:color="auto" w:sz="2" w:space="0"/>
              <w:left w:val="single" w:color="auto" w:sz="2" w:space="0"/>
              <w:bottom w:val="single" w:color="auto" w:sz="2" w:space="0"/>
              <w:right w:val="single" w:color="auto" w:sz="2" w:space="0"/>
            </w:tcBorders>
            <w:vAlign w:val="center"/>
          </w:tcPr>
          <w:p w14:paraId="777D489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142,032.26</w:t>
            </w:r>
          </w:p>
        </w:tc>
      </w:tr>
      <w:tr w14:paraId="6E8FFE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04BA79F7">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西南地区</w:t>
            </w:r>
          </w:p>
        </w:tc>
        <w:tc>
          <w:tcPr>
            <w:tcW w:w="1000" w:type="pct"/>
            <w:tcBorders>
              <w:top w:val="single" w:color="auto" w:sz="2" w:space="0"/>
              <w:left w:val="single" w:color="auto" w:sz="2" w:space="0"/>
              <w:bottom w:val="single" w:color="auto" w:sz="2" w:space="0"/>
              <w:right w:val="single" w:color="auto" w:sz="2" w:space="0"/>
            </w:tcBorders>
            <w:vAlign w:val="center"/>
          </w:tcPr>
          <w:p w14:paraId="5F90C01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30,338,127.07</w:t>
            </w:r>
          </w:p>
        </w:tc>
        <w:tc>
          <w:tcPr>
            <w:tcW w:w="1000" w:type="pct"/>
            <w:tcBorders>
              <w:top w:val="single" w:color="auto" w:sz="2" w:space="0"/>
              <w:left w:val="single" w:color="auto" w:sz="2" w:space="0"/>
              <w:bottom w:val="single" w:color="auto" w:sz="2" w:space="0"/>
              <w:right w:val="single" w:color="auto" w:sz="2" w:space="0"/>
            </w:tcBorders>
            <w:vAlign w:val="center"/>
          </w:tcPr>
          <w:p w14:paraId="60D4E05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25,619,454.71</w:t>
            </w:r>
          </w:p>
        </w:tc>
        <w:tc>
          <w:tcPr>
            <w:tcW w:w="1000" w:type="pct"/>
            <w:tcBorders>
              <w:top w:val="single" w:color="auto" w:sz="2" w:space="0"/>
              <w:left w:val="single" w:color="auto" w:sz="2" w:space="0"/>
              <w:bottom w:val="single" w:color="auto" w:sz="2" w:space="0"/>
              <w:right w:val="single" w:color="auto" w:sz="2" w:space="0"/>
            </w:tcBorders>
            <w:vAlign w:val="center"/>
          </w:tcPr>
          <w:p w14:paraId="62D59DA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30,338,127.07</w:t>
            </w:r>
          </w:p>
        </w:tc>
        <w:tc>
          <w:tcPr>
            <w:tcW w:w="1000" w:type="pct"/>
            <w:tcBorders>
              <w:top w:val="single" w:color="auto" w:sz="2" w:space="0"/>
              <w:left w:val="single" w:color="auto" w:sz="2" w:space="0"/>
              <w:bottom w:val="single" w:color="auto" w:sz="2" w:space="0"/>
              <w:right w:val="single" w:color="auto" w:sz="2" w:space="0"/>
            </w:tcBorders>
            <w:vAlign w:val="center"/>
          </w:tcPr>
          <w:p w14:paraId="73F261C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25,619,454.71</w:t>
            </w:r>
          </w:p>
        </w:tc>
      </w:tr>
      <w:tr w14:paraId="626833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F8E405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市场或客户类型</w:t>
            </w:r>
          </w:p>
        </w:tc>
        <w:tc>
          <w:tcPr>
            <w:tcW w:w="1000" w:type="pct"/>
            <w:tcBorders>
              <w:top w:val="single" w:color="auto" w:sz="2" w:space="0"/>
              <w:left w:val="single" w:color="auto" w:sz="2" w:space="0"/>
              <w:bottom w:val="single" w:color="auto" w:sz="2" w:space="0"/>
              <w:right w:val="single" w:color="auto" w:sz="2" w:space="0"/>
            </w:tcBorders>
            <w:vAlign w:val="center"/>
          </w:tcPr>
          <w:p w14:paraId="3946049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08FE8EF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c>
          <w:tcPr>
            <w:tcW w:w="1000" w:type="pct"/>
            <w:tcBorders>
              <w:top w:val="single" w:color="auto" w:sz="2" w:space="0"/>
              <w:left w:val="single" w:color="auto" w:sz="2" w:space="0"/>
              <w:bottom w:val="single" w:color="auto" w:sz="2" w:space="0"/>
              <w:right w:val="single" w:color="auto" w:sz="2" w:space="0"/>
            </w:tcBorders>
            <w:vAlign w:val="center"/>
          </w:tcPr>
          <w:p w14:paraId="7DA2CBC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2B7C2A4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r>
      <w:tr w14:paraId="7632C1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B3DA3BB">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DF721D9">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34761EB">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2C8F09D">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690EA70B">
            <w:pPr>
              <w:rPr>
                <w:rFonts w:ascii="Times New Roman" w:hAnsi="Times New Roman" w:cs="Times New Roman"/>
              </w:rPr>
            </w:pPr>
          </w:p>
        </w:tc>
      </w:tr>
      <w:tr w14:paraId="5585516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40FE5A1D">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智慧政务</w:t>
            </w:r>
          </w:p>
        </w:tc>
        <w:tc>
          <w:tcPr>
            <w:tcW w:w="1000" w:type="pct"/>
            <w:tcBorders>
              <w:top w:val="single" w:color="auto" w:sz="2" w:space="0"/>
              <w:left w:val="single" w:color="auto" w:sz="2" w:space="0"/>
              <w:bottom w:val="single" w:color="auto" w:sz="2" w:space="0"/>
              <w:right w:val="single" w:color="auto" w:sz="2" w:space="0"/>
            </w:tcBorders>
            <w:vAlign w:val="center"/>
          </w:tcPr>
          <w:p w14:paraId="180DD70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20,106,181.16</w:t>
            </w:r>
          </w:p>
        </w:tc>
        <w:tc>
          <w:tcPr>
            <w:tcW w:w="1000" w:type="pct"/>
            <w:tcBorders>
              <w:top w:val="single" w:color="auto" w:sz="2" w:space="0"/>
              <w:left w:val="single" w:color="auto" w:sz="2" w:space="0"/>
              <w:bottom w:val="single" w:color="auto" w:sz="2" w:space="0"/>
              <w:right w:val="single" w:color="auto" w:sz="2" w:space="0"/>
            </w:tcBorders>
            <w:vAlign w:val="center"/>
          </w:tcPr>
          <w:p w14:paraId="432F8609">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24,219,049.02</w:t>
            </w:r>
          </w:p>
        </w:tc>
        <w:tc>
          <w:tcPr>
            <w:tcW w:w="1000" w:type="pct"/>
            <w:tcBorders>
              <w:top w:val="single" w:color="auto" w:sz="2" w:space="0"/>
              <w:left w:val="single" w:color="auto" w:sz="2" w:space="0"/>
              <w:bottom w:val="single" w:color="auto" w:sz="2" w:space="0"/>
              <w:right w:val="single" w:color="auto" w:sz="2" w:space="0"/>
            </w:tcBorders>
            <w:vAlign w:val="center"/>
          </w:tcPr>
          <w:p w14:paraId="1AEB9EF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20,106,181.16</w:t>
            </w:r>
          </w:p>
        </w:tc>
        <w:tc>
          <w:tcPr>
            <w:tcW w:w="1000" w:type="pct"/>
            <w:tcBorders>
              <w:top w:val="single" w:color="auto" w:sz="2" w:space="0"/>
              <w:left w:val="single" w:color="auto" w:sz="2" w:space="0"/>
              <w:bottom w:val="single" w:color="auto" w:sz="2" w:space="0"/>
              <w:right w:val="single" w:color="auto" w:sz="2" w:space="0"/>
            </w:tcBorders>
            <w:vAlign w:val="center"/>
          </w:tcPr>
          <w:p w14:paraId="5B447235">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24,219,049.02</w:t>
            </w:r>
          </w:p>
        </w:tc>
      </w:tr>
      <w:tr w14:paraId="22744B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370A2BF9">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智慧教育</w:t>
            </w:r>
          </w:p>
        </w:tc>
        <w:tc>
          <w:tcPr>
            <w:tcW w:w="1000" w:type="pct"/>
            <w:tcBorders>
              <w:top w:val="single" w:color="auto" w:sz="2" w:space="0"/>
              <w:left w:val="single" w:color="auto" w:sz="2" w:space="0"/>
              <w:bottom w:val="single" w:color="auto" w:sz="2" w:space="0"/>
              <w:right w:val="single" w:color="auto" w:sz="2" w:space="0"/>
            </w:tcBorders>
            <w:vAlign w:val="center"/>
          </w:tcPr>
          <w:p w14:paraId="6DC2BDD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16,894,682.15</w:t>
            </w:r>
          </w:p>
        </w:tc>
        <w:tc>
          <w:tcPr>
            <w:tcW w:w="1000" w:type="pct"/>
            <w:tcBorders>
              <w:top w:val="single" w:color="auto" w:sz="2" w:space="0"/>
              <w:left w:val="single" w:color="auto" w:sz="2" w:space="0"/>
              <w:bottom w:val="single" w:color="auto" w:sz="2" w:space="0"/>
              <w:right w:val="single" w:color="auto" w:sz="2" w:space="0"/>
            </w:tcBorders>
            <w:vAlign w:val="center"/>
          </w:tcPr>
          <w:p w14:paraId="17D4B7E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14,330,059.85</w:t>
            </w:r>
          </w:p>
        </w:tc>
        <w:tc>
          <w:tcPr>
            <w:tcW w:w="1000" w:type="pct"/>
            <w:tcBorders>
              <w:top w:val="single" w:color="auto" w:sz="2" w:space="0"/>
              <w:left w:val="single" w:color="auto" w:sz="2" w:space="0"/>
              <w:bottom w:val="single" w:color="auto" w:sz="2" w:space="0"/>
              <w:right w:val="single" w:color="auto" w:sz="2" w:space="0"/>
            </w:tcBorders>
            <w:vAlign w:val="center"/>
          </w:tcPr>
          <w:p w14:paraId="245A420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16,894,682.15</w:t>
            </w:r>
          </w:p>
        </w:tc>
        <w:tc>
          <w:tcPr>
            <w:tcW w:w="1000" w:type="pct"/>
            <w:tcBorders>
              <w:top w:val="single" w:color="auto" w:sz="2" w:space="0"/>
              <w:left w:val="single" w:color="auto" w:sz="2" w:space="0"/>
              <w:bottom w:val="single" w:color="auto" w:sz="2" w:space="0"/>
              <w:right w:val="single" w:color="auto" w:sz="2" w:space="0"/>
            </w:tcBorders>
            <w:vAlign w:val="center"/>
          </w:tcPr>
          <w:p w14:paraId="60C5D1E4">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14,330,059.85</w:t>
            </w:r>
          </w:p>
        </w:tc>
      </w:tr>
      <w:tr w14:paraId="29B4D9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5EBA9CD8">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智慧医疗</w:t>
            </w:r>
          </w:p>
        </w:tc>
        <w:tc>
          <w:tcPr>
            <w:tcW w:w="1000" w:type="pct"/>
            <w:tcBorders>
              <w:top w:val="single" w:color="auto" w:sz="2" w:space="0"/>
              <w:left w:val="single" w:color="auto" w:sz="2" w:space="0"/>
              <w:bottom w:val="single" w:color="auto" w:sz="2" w:space="0"/>
              <w:right w:val="single" w:color="auto" w:sz="2" w:space="0"/>
            </w:tcBorders>
            <w:vAlign w:val="center"/>
          </w:tcPr>
          <w:p w14:paraId="057E016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3,848,167.42</w:t>
            </w:r>
          </w:p>
        </w:tc>
        <w:tc>
          <w:tcPr>
            <w:tcW w:w="1000" w:type="pct"/>
            <w:tcBorders>
              <w:top w:val="single" w:color="auto" w:sz="2" w:space="0"/>
              <w:left w:val="single" w:color="auto" w:sz="2" w:space="0"/>
              <w:bottom w:val="single" w:color="auto" w:sz="2" w:space="0"/>
              <w:right w:val="single" w:color="auto" w:sz="2" w:space="0"/>
            </w:tcBorders>
            <w:vAlign w:val="center"/>
          </w:tcPr>
          <w:p w14:paraId="1817B24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3,230,447.86</w:t>
            </w:r>
          </w:p>
        </w:tc>
        <w:tc>
          <w:tcPr>
            <w:tcW w:w="1000" w:type="pct"/>
            <w:tcBorders>
              <w:top w:val="single" w:color="auto" w:sz="2" w:space="0"/>
              <w:left w:val="single" w:color="auto" w:sz="2" w:space="0"/>
              <w:bottom w:val="single" w:color="auto" w:sz="2" w:space="0"/>
              <w:right w:val="single" w:color="auto" w:sz="2" w:space="0"/>
            </w:tcBorders>
            <w:vAlign w:val="center"/>
          </w:tcPr>
          <w:p w14:paraId="6BE5294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3,848,167.42</w:t>
            </w:r>
          </w:p>
        </w:tc>
        <w:tc>
          <w:tcPr>
            <w:tcW w:w="1000" w:type="pct"/>
            <w:tcBorders>
              <w:top w:val="single" w:color="auto" w:sz="2" w:space="0"/>
              <w:left w:val="single" w:color="auto" w:sz="2" w:space="0"/>
              <w:bottom w:val="single" w:color="auto" w:sz="2" w:space="0"/>
              <w:right w:val="single" w:color="auto" w:sz="2" w:space="0"/>
            </w:tcBorders>
            <w:vAlign w:val="center"/>
          </w:tcPr>
          <w:p w14:paraId="6539B5B2">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3,230,447.86</w:t>
            </w:r>
          </w:p>
        </w:tc>
      </w:tr>
      <w:tr w14:paraId="6A01D7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70EA8D35">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智慧企业</w:t>
            </w:r>
          </w:p>
        </w:tc>
        <w:tc>
          <w:tcPr>
            <w:tcW w:w="1000" w:type="pct"/>
            <w:tcBorders>
              <w:top w:val="single" w:color="auto" w:sz="2" w:space="0"/>
              <w:left w:val="single" w:color="auto" w:sz="2" w:space="0"/>
              <w:bottom w:val="single" w:color="auto" w:sz="2" w:space="0"/>
              <w:right w:val="single" w:color="auto" w:sz="2" w:space="0"/>
            </w:tcBorders>
            <w:vAlign w:val="center"/>
          </w:tcPr>
          <w:p w14:paraId="1351A5EE">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33,935,534.01</w:t>
            </w:r>
          </w:p>
        </w:tc>
        <w:tc>
          <w:tcPr>
            <w:tcW w:w="1000" w:type="pct"/>
            <w:tcBorders>
              <w:top w:val="single" w:color="auto" w:sz="2" w:space="0"/>
              <w:left w:val="single" w:color="auto" w:sz="2" w:space="0"/>
              <w:bottom w:val="single" w:color="auto" w:sz="2" w:space="0"/>
              <w:right w:val="single" w:color="auto" w:sz="2" w:space="0"/>
            </w:tcBorders>
            <w:vAlign w:val="center"/>
          </w:tcPr>
          <w:p w14:paraId="4AEE411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23,571,692.72</w:t>
            </w:r>
          </w:p>
        </w:tc>
        <w:tc>
          <w:tcPr>
            <w:tcW w:w="1000" w:type="pct"/>
            <w:tcBorders>
              <w:top w:val="single" w:color="auto" w:sz="2" w:space="0"/>
              <w:left w:val="single" w:color="auto" w:sz="2" w:space="0"/>
              <w:bottom w:val="single" w:color="auto" w:sz="2" w:space="0"/>
              <w:right w:val="single" w:color="auto" w:sz="2" w:space="0"/>
            </w:tcBorders>
            <w:vAlign w:val="center"/>
          </w:tcPr>
          <w:p w14:paraId="132359D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33,935,534.01</w:t>
            </w:r>
          </w:p>
        </w:tc>
        <w:tc>
          <w:tcPr>
            <w:tcW w:w="1000" w:type="pct"/>
            <w:tcBorders>
              <w:top w:val="single" w:color="auto" w:sz="2" w:space="0"/>
              <w:left w:val="single" w:color="auto" w:sz="2" w:space="0"/>
              <w:bottom w:val="single" w:color="auto" w:sz="2" w:space="0"/>
              <w:right w:val="single" w:color="auto" w:sz="2" w:space="0"/>
            </w:tcBorders>
            <w:vAlign w:val="center"/>
          </w:tcPr>
          <w:p w14:paraId="2D9691A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23,571,692.72</w:t>
            </w:r>
          </w:p>
        </w:tc>
      </w:tr>
      <w:tr w14:paraId="5780FC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261F77ED">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轨道交通</w:t>
            </w:r>
          </w:p>
        </w:tc>
        <w:tc>
          <w:tcPr>
            <w:tcW w:w="1000" w:type="pct"/>
            <w:tcBorders>
              <w:top w:val="single" w:color="auto" w:sz="2" w:space="0"/>
              <w:left w:val="single" w:color="auto" w:sz="2" w:space="0"/>
              <w:bottom w:val="single" w:color="auto" w:sz="2" w:space="0"/>
              <w:right w:val="single" w:color="auto" w:sz="2" w:space="0"/>
            </w:tcBorders>
            <w:vAlign w:val="center"/>
          </w:tcPr>
          <w:p w14:paraId="256BE9E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22,125,256.53</w:t>
            </w:r>
          </w:p>
        </w:tc>
        <w:tc>
          <w:tcPr>
            <w:tcW w:w="1000" w:type="pct"/>
            <w:tcBorders>
              <w:top w:val="single" w:color="auto" w:sz="2" w:space="0"/>
              <w:left w:val="single" w:color="auto" w:sz="2" w:space="0"/>
              <w:bottom w:val="single" w:color="auto" w:sz="2" w:space="0"/>
              <w:right w:val="single" w:color="auto" w:sz="2" w:space="0"/>
            </w:tcBorders>
            <w:vAlign w:val="center"/>
          </w:tcPr>
          <w:p w14:paraId="372C721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19,811,137.27</w:t>
            </w:r>
          </w:p>
        </w:tc>
        <w:tc>
          <w:tcPr>
            <w:tcW w:w="1000" w:type="pct"/>
            <w:tcBorders>
              <w:top w:val="single" w:color="auto" w:sz="2" w:space="0"/>
              <w:left w:val="single" w:color="auto" w:sz="2" w:space="0"/>
              <w:bottom w:val="single" w:color="auto" w:sz="2" w:space="0"/>
              <w:right w:val="single" w:color="auto" w:sz="2" w:space="0"/>
            </w:tcBorders>
            <w:vAlign w:val="center"/>
          </w:tcPr>
          <w:p w14:paraId="1D44DDF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22,125,256.53</w:t>
            </w:r>
          </w:p>
        </w:tc>
        <w:tc>
          <w:tcPr>
            <w:tcW w:w="1000" w:type="pct"/>
            <w:tcBorders>
              <w:top w:val="single" w:color="auto" w:sz="2" w:space="0"/>
              <w:left w:val="single" w:color="auto" w:sz="2" w:space="0"/>
              <w:bottom w:val="single" w:color="auto" w:sz="2" w:space="0"/>
              <w:right w:val="single" w:color="auto" w:sz="2" w:space="0"/>
            </w:tcBorders>
            <w:vAlign w:val="center"/>
          </w:tcPr>
          <w:p w14:paraId="3127034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19,811,137.27</w:t>
            </w:r>
          </w:p>
        </w:tc>
      </w:tr>
      <w:tr w14:paraId="06B66C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EF755CB">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合同类型</w:t>
            </w:r>
          </w:p>
        </w:tc>
        <w:tc>
          <w:tcPr>
            <w:tcW w:w="1000" w:type="pct"/>
            <w:tcBorders>
              <w:top w:val="single" w:color="auto" w:sz="2" w:space="0"/>
              <w:left w:val="single" w:color="auto" w:sz="2" w:space="0"/>
              <w:bottom w:val="single" w:color="auto" w:sz="2" w:space="0"/>
              <w:right w:val="single" w:color="auto" w:sz="2" w:space="0"/>
            </w:tcBorders>
            <w:vAlign w:val="center"/>
          </w:tcPr>
          <w:p w14:paraId="5F7342ED">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227FFC43">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7C40BE96">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43910F12">
            <w:pPr>
              <w:spacing w:line="240" w:lineRule="exact"/>
              <w:jc w:val="right"/>
              <w:rPr>
                <w:rFonts w:ascii="Times New Roman" w:hAnsi="Times New Roman" w:eastAsia="宋体" w:cs="Times New Roman"/>
                <w:sz w:val="18"/>
                <w:szCs w:val="18"/>
              </w:rPr>
            </w:pPr>
          </w:p>
        </w:tc>
      </w:tr>
      <w:tr w14:paraId="04A17F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2EDAD2E">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8803FA2">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F448D67">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482B97A">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82696C8">
            <w:pPr>
              <w:rPr>
                <w:rFonts w:ascii="Times New Roman" w:hAnsi="Times New Roman" w:cs="Times New Roman"/>
              </w:rPr>
            </w:pPr>
          </w:p>
        </w:tc>
      </w:tr>
      <w:tr w14:paraId="46BD58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6B4B6DB">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按商品转让的时间分类</w:t>
            </w:r>
          </w:p>
        </w:tc>
        <w:tc>
          <w:tcPr>
            <w:tcW w:w="1000" w:type="pct"/>
            <w:tcBorders>
              <w:top w:val="single" w:color="auto" w:sz="2" w:space="0"/>
              <w:left w:val="single" w:color="auto" w:sz="2" w:space="0"/>
              <w:bottom w:val="single" w:color="auto" w:sz="2" w:space="0"/>
              <w:right w:val="single" w:color="auto" w:sz="2" w:space="0"/>
            </w:tcBorders>
            <w:vAlign w:val="center"/>
          </w:tcPr>
          <w:p w14:paraId="765CEEBB">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57B0295F">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c>
          <w:tcPr>
            <w:tcW w:w="1000" w:type="pct"/>
            <w:tcBorders>
              <w:top w:val="single" w:color="auto" w:sz="2" w:space="0"/>
              <w:left w:val="single" w:color="auto" w:sz="2" w:space="0"/>
              <w:bottom w:val="single" w:color="auto" w:sz="2" w:space="0"/>
              <w:right w:val="single" w:color="auto" w:sz="2" w:space="0"/>
            </w:tcBorders>
            <w:vAlign w:val="center"/>
          </w:tcPr>
          <w:p w14:paraId="76EA484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2657A54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r>
      <w:tr w14:paraId="005240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34C5FA1">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D88DE25">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004840E">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5D9A65B">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2AA800E">
            <w:pPr>
              <w:rPr>
                <w:rFonts w:ascii="Times New Roman" w:hAnsi="Times New Roman" w:cs="Times New Roman"/>
              </w:rPr>
            </w:pPr>
          </w:p>
        </w:tc>
      </w:tr>
      <w:tr w14:paraId="2958E9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304FD949">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在某一时点</w:t>
            </w:r>
          </w:p>
        </w:tc>
        <w:tc>
          <w:tcPr>
            <w:tcW w:w="1000" w:type="pct"/>
            <w:tcBorders>
              <w:top w:val="single" w:color="auto" w:sz="2" w:space="0"/>
              <w:left w:val="single" w:color="auto" w:sz="2" w:space="0"/>
              <w:bottom w:val="single" w:color="auto" w:sz="2" w:space="0"/>
              <w:right w:val="single" w:color="auto" w:sz="2" w:space="0"/>
            </w:tcBorders>
            <w:vAlign w:val="center"/>
          </w:tcPr>
          <w:p w14:paraId="4BBDEEB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91,241,072.28</w:t>
            </w:r>
          </w:p>
        </w:tc>
        <w:tc>
          <w:tcPr>
            <w:tcW w:w="1000" w:type="pct"/>
            <w:tcBorders>
              <w:top w:val="single" w:color="auto" w:sz="2" w:space="0"/>
              <w:left w:val="single" w:color="auto" w:sz="2" w:space="0"/>
              <w:bottom w:val="single" w:color="auto" w:sz="2" w:space="0"/>
              <w:right w:val="single" w:color="auto" w:sz="2" w:space="0"/>
            </w:tcBorders>
            <w:vAlign w:val="center"/>
          </w:tcPr>
          <w:p w14:paraId="30711D0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82,467,680.42</w:t>
            </w:r>
          </w:p>
        </w:tc>
        <w:tc>
          <w:tcPr>
            <w:tcW w:w="1000" w:type="pct"/>
            <w:tcBorders>
              <w:top w:val="single" w:color="auto" w:sz="2" w:space="0"/>
              <w:left w:val="single" w:color="auto" w:sz="2" w:space="0"/>
              <w:bottom w:val="single" w:color="auto" w:sz="2" w:space="0"/>
              <w:right w:val="single" w:color="auto" w:sz="2" w:space="0"/>
            </w:tcBorders>
            <w:vAlign w:val="center"/>
          </w:tcPr>
          <w:p w14:paraId="647A9C3D">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91,241,072.28</w:t>
            </w:r>
          </w:p>
        </w:tc>
        <w:tc>
          <w:tcPr>
            <w:tcW w:w="1000" w:type="pct"/>
            <w:tcBorders>
              <w:top w:val="single" w:color="auto" w:sz="2" w:space="0"/>
              <w:left w:val="single" w:color="auto" w:sz="2" w:space="0"/>
              <w:bottom w:val="single" w:color="auto" w:sz="2" w:space="0"/>
              <w:right w:val="single" w:color="auto" w:sz="2" w:space="0"/>
            </w:tcBorders>
            <w:vAlign w:val="center"/>
          </w:tcPr>
          <w:p w14:paraId="06FDF44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82,467,680.42</w:t>
            </w:r>
          </w:p>
        </w:tc>
      </w:tr>
      <w:tr w14:paraId="59A758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vAlign w:val="center"/>
          </w:tcPr>
          <w:p w14:paraId="59A79EF9">
            <w:pPr>
              <w:spacing w:line="240" w:lineRule="exact"/>
              <w:rPr>
                <w:rFonts w:ascii="Times New Roman" w:hAnsi="Times New Roman" w:eastAsia="宋体" w:cs="Times New Roman"/>
                <w:sz w:val="18"/>
                <w:szCs w:val="18"/>
              </w:rPr>
            </w:pPr>
            <w:r>
              <w:rPr>
                <w:rFonts w:ascii="Times New Roman" w:hAnsi="Times New Roman" w:eastAsia="宋体" w:cs="Times New Roman"/>
                <w:sz w:val="18"/>
                <w:szCs w:val="18"/>
              </w:rPr>
              <w:t>在某一时间段</w:t>
            </w:r>
          </w:p>
        </w:tc>
        <w:tc>
          <w:tcPr>
            <w:tcW w:w="1000" w:type="pct"/>
            <w:tcBorders>
              <w:top w:val="single" w:color="auto" w:sz="2" w:space="0"/>
              <w:left w:val="single" w:color="auto" w:sz="2" w:space="0"/>
              <w:bottom w:val="single" w:color="auto" w:sz="2" w:space="0"/>
              <w:right w:val="single" w:color="auto" w:sz="2" w:space="0"/>
            </w:tcBorders>
            <w:vAlign w:val="center"/>
          </w:tcPr>
          <w:p w14:paraId="31B98D80">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5,668,748.99</w:t>
            </w:r>
          </w:p>
        </w:tc>
        <w:tc>
          <w:tcPr>
            <w:tcW w:w="1000" w:type="pct"/>
            <w:tcBorders>
              <w:top w:val="single" w:color="auto" w:sz="2" w:space="0"/>
              <w:left w:val="single" w:color="auto" w:sz="2" w:space="0"/>
              <w:bottom w:val="single" w:color="auto" w:sz="2" w:space="0"/>
              <w:right w:val="single" w:color="auto" w:sz="2" w:space="0"/>
            </w:tcBorders>
            <w:vAlign w:val="center"/>
          </w:tcPr>
          <w:p w14:paraId="34FE8D47">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2,694,706.30</w:t>
            </w:r>
          </w:p>
        </w:tc>
        <w:tc>
          <w:tcPr>
            <w:tcW w:w="1000" w:type="pct"/>
            <w:tcBorders>
              <w:top w:val="single" w:color="auto" w:sz="2" w:space="0"/>
              <w:left w:val="single" w:color="auto" w:sz="2" w:space="0"/>
              <w:bottom w:val="single" w:color="auto" w:sz="2" w:space="0"/>
              <w:right w:val="single" w:color="auto" w:sz="2" w:space="0"/>
            </w:tcBorders>
            <w:vAlign w:val="center"/>
          </w:tcPr>
          <w:p w14:paraId="03E047A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5,668,748.99</w:t>
            </w:r>
          </w:p>
        </w:tc>
        <w:tc>
          <w:tcPr>
            <w:tcW w:w="1000" w:type="pct"/>
            <w:tcBorders>
              <w:top w:val="single" w:color="auto" w:sz="2" w:space="0"/>
              <w:left w:val="single" w:color="auto" w:sz="2" w:space="0"/>
              <w:bottom w:val="single" w:color="auto" w:sz="2" w:space="0"/>
              <w:right w:val="single" w:color="auto" w:sz="2" w:space="0"/>
            </w:tcBorders>
            <w:vAlign w:val="center"/>
          </w:tcPr>
          <w:p w14:paraId="2FE7689A">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2,694,706.30</w:t>
            </w:r>
          </w:p>
        </w:tc>
      </w:tr>
      <w:tr w14:paraId="1888381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45FFDC1">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按合同期限分类</w:t>
            </w:r>
          </w:p>
        </w:tc>
        <w:tc>
          <w:tcPr>
            <w:tcW w:w="1000" w:type="pct"/>
            <w:tcBorders>
              <w:top w:val="single" w:color="auto" w:sz="2" w:space="0"/>
              <w:left w:val="single" w:color="auto" w:sz="2" w:space="0"/>
              <w:bottom w:val="single" w:color="auto" w:sz="2" w:space="0"/>
              <w:right w:val="single" w:color="auto" w:sz="2" w:space="0"/>
            </w:tcBorders>
            <w:vAlign w:val="center"/>
          </w:tcPr>
          <w:p w14:paraId="0B8ADCD2">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2A48683D">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79C40D21">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5FB781C8">
            <w:pPr>
              <w:spacing w:line="240" w:lineRule="exact"/>
              <w:jc w:val="right"/>
              <w:rPr>
                <w:rFonts w:ascii="Times New Roman" w:hAnsi="Times New Roman" w:eastAsia="宋体" w:cs="Times New Roman"/>
                <w:sz w:val="18"/>
                <w:szCs w:val="18"/>
              </w:rPr>
            </w:pPr>
          </w:p>
        </w:tc>
      </w:tr>
      <w:tr w14:paraId="57492F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DFB0546">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05ADFA5D">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2CE28CE3">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DBC228D">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A0EB62F">
            <w:pPr>
              <w:rPr>
                <w:rFonts w:ascii="Times New Roman" w:hAnsi="Times New Roman" w:cs="Times New Roman"/>
              </w:rPr>
            </w:pPr>
          </w:p>
        </w:tc>
      </w:tr>
      <w:tr w14:paraId="1F4D80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DE042B0">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按销售渠道分类</w:t>
            </w:r>
          </w:p>
        </w:tc>
        <w:tc>
          <w:tcPr>
            <w:tcW w:w="1000" w:type="pct"/>
            <w:tcBorders>
              <w:top w:val="single" w:color="auto" w:sz="2" w:space="0"/>
              <w:left w:val="single" w:color="auto" w:sz="2" w:space="0"/>
              <w:bottom w:val="single" w:color="auto" w:sz="2" w:space="0"/>
              <w:right w:val="single" w:color="auto" w:sz="2" w:space="0"/>
            </w:tcBorders>
            <w:vAlign w:val="center"/>
          </w:tcPr>
          <w:p w14:paraId="3E839369">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65FCA84B">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0A55B460">
            <w:pPr>
              <w:spacing w:line="240" w:lineRule="exact"/>
              <w:jc w:val="right"/>
              <w:rPr>
                <w:rFonts w:ascii="Times New Roman" w:hAnsi="Times New Roman" w:eastAsia="宋体" w:cs="Times New Roman"/>
                <w:sz w:val="18"/>
                <w:szCs w:val="18"/>
              </w:rPr>
            </w:pPr>
          </w:p>
        </w:tc>
        <w:tc>
          <w:tcPr>
            <w:tcW w:w="1000" w:type="pct"/>
            <w:tcBorders>
              <w:top w:val="single" w:color="auto" w:sz="2" w:space="0"/>
              <w:left w:val="single" w:color="auto" w:sz="2" w:space="0"/>
              <w:bottom w:val="single" w:color="auto" w:sz="2" w:space="0"/>
              <w:right w:val="single" w:color="auto" w:sz="2" w:space="0"/>
            </w:tcBorders>
            <w:vAlign w:val="center"/>
          </w:tcPr>
          <w:p w14:paraId="4F49E615">
            <w:pPr>
              <w:spacing w:line="240" w:lineRule="exact"/>
              <w:jc w:val="right"/>
              <w:rPr>
                <w:rFonts w:ascii="Times New Roman" w:hAnsi="Times New Roman" w:eastAsia="宋体" w:cs="Times New Roman"/>
                <w:sz w:val="18"/>
                <w:szCs w:val="18"/>
              </w:rPr>
            </w:pPr>
          </w:p>
        </w:tc>
      </w:tr>
      <w:tr w14:paraId="1D10F3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0597103">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其中：</w:t>
            </w: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95FF14B">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492305FD">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54F967D4">
            <w:pPr>
              <w:rPr>
                <w:rFonts w:ascii="Times New Roman" w:hAnsi="Times New Roman" w:cs="Times New Roman"/>
              </w:rPr>
            </w:pPr>
          </w:p>
        </w:tc>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306B7E67">
            <w:pPr>
              <w:rPr>
                <w:rFonts w:ascii="Times New Roman" w:hAnsi="Times New Roman" w:cs="Times New Roman"/>
              </w:rPr>
            </w:pPr>
          </w:p>
        </w:tc>
      </w:tr>
      <w:tr w14:paraId="493EE2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000" w:type="pct"/>
            <w:tcBorders>
              <w:top w:val="single" w:color="auto" w:sz="2" w:space="0"/>
              <w:left w:val="single" w:color="auto" w:sz="2" w:space="0"/>
              <w:bottom w:val="single" w:color="auto" w:sz="2" w:space="0"/>
              <w:right w:val="single" w:color="auto" w:sz="2" w:space="0"/>
            </w:tcBorders>
            <w:shd w:val="clear" w:color="auto" w:fill="D3D3D3"/>
            <w:vAlign w:val="center"/>
          </w:tcPr>
          <w:p w14:paraId="18241461">
            <w:pPr>
              <w:spacing w:before="40" w:after="40" w:line="240" w:lineRule="exact"/>
              <w:rPr>
                <w:rFonts w:ascii="Times New Roman" w:hAnsi="Times New Roman" w:eastAsia="宋体" w:cs="Times New Roman"/>
                <w:sz w:val="18"/>
                <w:szCs w:val="18"/>
              </w:rPr>
            </w:pPr>
            <w:r>
              <w:rPr>
                <w:rFonts w:ascii="Times New Roman" w:hAnsi="Times New Roman" w:eastAsia="宋体" w:cs="Times New Roman"/>
                <w:sz w:val="18"/>
                <w:szCs w:val="18"/>
              </w:rPr>
              <w:t>合计</w:t>
            </w:r>
          </w:p>
        </w:tc>
        <w:tc>
          <w:tcPr>
            <w:tcW w:w="1000" w:type="pct"/>
            <w:tcBorders>
              <w:top w:val="single" w:color="auto" w:sz="2" w:space="0"/>
              <w:left w:val="single" w:color="auto" w:sz="2" w:space="0"/>
              <w:bottom w:val="single" w:color="auto" w:sz="2" w:space="0"/>
              <w:right w:val="single" w:color="auto" w:sz="2" w:space="0"/>
            </w:tcBorders>
            <w:vAlign w:val="center"/>
          </w:tcPr>
          <w:p w14:paraId="68518423">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7B36CCF8">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c>
          <w:tcPr>
            <w:tcW w:w="1000" w:type="pct"/>
            <w:tcBorders>
              <w:top w:val="single" w:color="auto" w:sz="2" w:space="0"/>
              <w:left w:val="single" w:color="auto" w:sz="2" w:space="0"/>
              <w:bottom w:val="single" w:color="auto" w:sz="2" w:space="0"/>
              <w:right w:val="single" w:color="auto" w:sz="2" w:space="0"/>
            </w:tcBorders>
            <w:vAlign w:val="center"/>
          </w:tcPr>
          <w:p w14:paraId="0D087616">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96,909,821.27</w:t>
            </w:r>
          </w:p>
        </w:tc>
        <w:tc>
          <w:tcPr>
            <w:tcW w:w="1000" w:type="pct"/>
            <w:tcBorders>
              <w:top w:val="single" w:color="auto" w:sz="2" w:space="0"/>
              <w:left w:val="single" w:color="auto" w:sz="2" w:space="0"/>
              <w:bottom w:val="single" w:color="auto" w:sz="2" w:space="0"/>
              <w:right w:val="single" w:color="auto" w:sz="2" w:space="0"/>
            </w:tcBorders>
            <w:vAlign w:val="center"/>
          </w:tcPr>
          <w:p w14:paraId="1060D10C">
            <w:pPr>
              <w:spacing w:line="240" w:lineRule="exact"/>
              <w:jc w:val="right"/>
              <w:rPr>
                <w:rFonts w:ascii="Times New Roman" w:hAnsi="Times New Roman" w:eastAsia="宋体" w:cs="Times New Roman"/>
                <w:sz w:val="18"/>
                <w:szCs w:val="18"/>
              </w:rPr>
            </w:pPr>
            <w:r>
              <w:rPr>
                <w:rFonts w:ascii="Times New Roman" w:hAnsi="Times New Roman" w:eastAsia="宋体" w:cs="Times New Roman"/>
                <w:sz w:val="18"/>
                <w:szCs w:val="18"/>
              </w:rPr>
              <w:t>85,162,386.72</w:t>
            </w:r>
          </w:p>
        </w:tc>
      </w:tr>
    </w:tbl>
    <w:p w14:paraId="6CB584E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与履约义务相关的信息：</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7"/>
        <w:gridCol w:w="1377"/>
        <w:gridCol w:w="1377"/>
        <w:gridCol w:w="1377"/>
        <w:gridCol w:w="1377"/>
        <w:gridCol w:w="1377"/>
        <w:gridCol w:w="1377"/>
      </w:tblGrid>
      <w:tr w14:paraId="131CCB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AC0B1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545B576">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履行履约义务的时间</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4C2CA07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重要的支付条款</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2563171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公司承诺转让商品的性质</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15B87D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是否为主要责任人</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05AD631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公司承担的预期将退还给客户的款项</w:t>
            </w:r>
          </w:p>
        </w:tc>
        <w:tc>
          <w:tcPr>
            <w:tcW w:w="1377" w:type="dxa"/>
            <w:tcBorders>
              <w:top w:val="single" w:color="auto" w:sz="2" w:space="0"/>
              <w:left w:val="single" w:color="auto" w:sz="2" w:space="0"/>
              <w:bottom w:val="single" w:color="auto" w:sz="2" w:space="0"/>
              <w:right w:val="single" w:color="auto" w:sz="2" w:space="0"/>
            </w:tcBorders>
            <w:shd w:val="clear" w:color="auto" w:fill="D3D3D3"/>
            <w:vAlign w:val="center"/>
          </w:tcPr>
          <w:p w14:paraId="5EE68B7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公司提供的质量保证类型及相关义务</w:t>
            </w:r>
          </w:p>
        </w:tc>
      </w:tr>
    </w:tbl>
    <w:p w14:paraId="57195EF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7FE7F33C">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与分摊至剩余履约义务的交易价格相关的信息：</w:t>
      </w:r>
    </w:p>
    <w:p w14:paraId="6EF3CE3D">
      <w:pPr>
        <w:spacing w:before="156" w:beforeLines="50" w:after="156" w:afterLines="5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本报告期末已签订合同、但尚未履行或尚未履行完毕的履约义务所对应的收入金额为684,700,125.26元。</w:t>
      </w:r>
    </w:p>
    <w:p w14:paraId="17EC7C16">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重大合同变更或重大交易价格调整</w:t>
      </w:r>
    </w:p>
    <w:p w14:paraId="3A7DB62E">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F2C8A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762F270">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31D473">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会计处理方法</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D0474E8">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对收入的影响金额</w:t>
            </w:r>
          </w:p>
        </w:tc>
      </w:tr>
    </w:tbl>
    <w:p w14:paraId="08804E58">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其他说明：</w:t>
      </w:r>
      <w:r>
        <w:rPr>
          <w:rFonts w:hint="eastAsia" w:ascii="Times New Roman" w:hAnsi="Times New Roman" w:cs="Times New Roman" w:eastAsiaTheme="majorEastAsia"/>
          <w:sz w:val="18"/>
          <w:szCs w:val="18"/>
        </w:rPr>
        <w:t>无。</w:t>
      </w:r>
    </w:p>
    <w:p w14:paraId="3247ECBC">
      <w:pPr>
        <w:pStyle w:val="3"/>
        <w:spacing w:line="280" w:lineRule="exact"/>
        <w:jc w:val="left"/>
        <w:rPr>
          <w:rFonts w:ascii="Times New Roman" w:hAnsi="Times New Roman" w:cs="Times New Roman" w:eastAsiaTheme="majorEastAsia"/>
          <w:b/>
          <w:bCs/>
        </w:rPr>
      </w:pPr>
      <w:bookmarkStart w:id="517" w:name="_Toc989409"/>
      <w:r>
        <w:rPr>
          <w:rFonts w:ascii="Times New Roman" w:hAnsi="Times New Roman" w:cs="Times New Roman" w:eastAsiaTheme="majorEastAsia"/>
          <w:b/>
          <w:bCs/>
        </w:rPr>
        <w:t>5、投资收益</w:t>
      </w:r>
      <w:bookmarkEnd w:id="517"/>
    </w:p>
    <w:p w14:paraId="393290A8">
      <w:pPr>
        <w:spacing w:before="40" w:after="4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4791E2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6E7C4FEC">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90F212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本期发生额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FCA5BFF">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上期发生额</w:t>
            </w:r>
          </w:p>
        </w:tc>
      </w:tr>
      <w:tr w14:paraId="45BE32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8D8D8" w:themeFill="background1" w:themeFillShade="D9"/>
            <w:vAlign w:val="center"/>
          </w:tcPr>
          <w:p w14:paraId="7FF276A6">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理财产品投资收益</w:t>
            </w:r>
          </w:p>
        </w:tc>
        <w:tc>
          <w:tcPr>
            <w:tcW w:w="3213" w:type="dxa"/>
            <w:tcBorders>
              <w:top w:val="single" w:color="auto" w:sz="2" w:space="0"/>
              <w:left w:val="single" w:color="auto" w:sz="2" w:space="0"/>
              <w:bottom w:val="single" w:color="auto" w:sz="2" w:space="0"/>
              <w:right w:val="single" w:color="auto" w:sz="2" w:space="0"/>
            </w:tcBorders>
            <w:vAlign w:val="center"/>
          </w:tcPr>
          <w:p w14:paraId="4DC4ADE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2E679F9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r w14:paraId="706886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26292EF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789B6E7">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646,465.76</w:t>
            </w:r>
          </w:p>
        </w:tc>
        <w:tc>
          <w:tcPr>
            <w:tcW w:w="3213" w:type="dxa"/>
            <w:tcBorders>
              <w:top w:val="single" w:color="auto" w:sz="2" w:space="0"/>
              <w:left w:val="single" w:color="auto" w:sz="2" w:space="0"/>
              <w:bottom w:val="single" w:color="auto" w:sz="2" w:space="0"/>
              <w:right w:val="single" w:color="auto" w:sz="2" w:space="0"/>
            </w:tcBorders>
            <w:vAlign w:val="center"/>
          </w:tcPr>
          <w:p w14:paraId="45541CAD">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1,584,318.80</w:t>
            </w:r>
          </w:p>
        </w:tc>
      </w:tr>
    </w:tbl>
    <w:p w14:paraId="0EA422AC">
      <w:pPr>
        <w:pStyle w:val="3"/>
        <w:spacing w:line="280" w:lineRule="exact"/>
        <w:jc w:val="left"/>
        <w:rPr>
          <w:rFonts w:ascii="Times New Roman" w:hAnsi="Times New Roman" w:cs="Times New Roman" w:eastAsiaTheme="majorEastAsia"/>
          <w:b/>
          <w:bCs/>
        </w:rPr>
      </w:pPr>
      <w:bookmarkStart w:id="518" w:name="_Toc989410"/>
      <w:r>
        <w:rPr>
          <w:rFonts w:ascii="Times New Roman" w:hAnsi="Times New Roman" w:cs="Times New Roman" w:eastAsiaTheme="majorEastAsia"/>
          <w:b/>
          <w:bCs/>
        </w:rPr>
        <w:t>6、其他</w:t>
      </w:r>
      <w:bookmarkEnd w:id="518"/>
    </w:p>
    <w:p w14:paraId="05F76916">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4AE615FD">
      <w:pPr>
        <w:pStyle w:val="2"/>
        <w:spacing w:before="300" w:after="300" w:line="320" w:lineRule="exact"/>
        <w:rPr>
          <w:rFonts w:ascii="Times New Roman" w:hAnsi="Times New Roman" w:cs="Times New Roman" w:eastAsiaTheme="majorEastAsia"/>
          <w:b/>
          <w:bCs/>
          <w:sz w:val="24"/>
          <w:szCs w:val="24"/>
        </w:rPr>
      </w:pPr>
      <w:bookmarkStart w:id="519" w:name="_Toc989411"/>
      <w:r>
        <w:rPr>
          <w:rFonts w:ascii="Times New Roman" w:hAnsi="Times New Roman" w:cs="Times New Roman" w:eastAsiaTheme="majorEastAsia"/>
          <w:b/>
          <w:bCs/>
          <w:sz w:val="24"/>
          <w:szCs w:val="24"/>
        </w:rPr>
        <w:t>二十、补充资料</w:t>
      </w:r>
      <w:bookmarkEnd w:id="519"/>
    </w:p>
    <w:p w14:paraId="601E4F39">
      <w:pPr>
        <w:pStyle w:val="3"/>
        <w:spacing w:line="280" w:lineRule="exact"/>
        <w:jc w:val="left"/>
        <w:rPr>
          <w:rFonts w:ascii="Times New Roman" w:hAnsi="Times New Roman" w:cs="Times New Roman" w:eastAsiaTheme="majorEastAsia"/>
          <w:b/>
          <w:bCs/>
        </w:rPr>
      </w:pPr>
      <w:bookmarkStart w:id="520" w:name="_Toc989412"/>
      <w:r>
        <w:rPr>
          <w:rFonts w:ascii="Times New Roman" w:hAnsi="Times New Roman" w:cs="Times New Roman" w:eastAsiaTheme="majorEastAsia"/>
          <w:b/>
          <w:bCs/>
        </w:rPr>
        <w:t>1、当期非经常性损益明细表</w:t>
      </w:r>
      <w:bookmarkEnd w:id="520"/>
    </w:p>
    <w:p w14:paraId="654E96CB">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62868DC7">
      <w:pPr>
        <w:spacing w:before="120" w:after="120"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单位：元</w:t>
      </w:r>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213"/>
        <w:gridCol w:w="3213"/>
        <w:gridCol w:w="3213"/>
      </w:tblGrid>
      <w:tr w14:paraId="5F682F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blHeader/>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E585BE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项目</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2D4E43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金额</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9668A54">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说明</w:t>
            </w:r>
          </w:p>
        </w:tc>
      </w:tr>
      <w:tr w14:paraId="43D889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133B07F">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非流动性资产处置损益</w:t>
            </w:r>
          </w:p>
        </w:tc>
        <w:tc>
          <w:tcPr>
            <w:tcW w:w="3213" w:type="dxa"/>
            <w:tcBorders>
              <w:top w:val="single" w:color="auto" w:sz="2" w:space="0"/>
              <w:left w:val="single" w:color="auto" w:sz="2" w:space="0"/>
              <w:bottom w:val="single" w:color="auto" w:sz="2" w:space="0"/>
              <w:right w:val="single" w:color="auto" w:sz="2" w:space="0"/>
            </w:tcBorders>
            <w:vAlign w:val="center"/>
          </w:tcPr>
          <w:p w14:paraId="59939CCE">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422,426.70</w:t>
            </w:r>
          </w:p>
        </w:tc>
        <w:tc>
          <w:tcPr>
            <w:tcW w:w="3213" w:type="dxa"/>
            <w:tcBorders>
              <w:top w:val="single" w:color="auto" w:sz="2" w:space="0"/>
              <w:left w:val="single" w:color="auto" w:sz="2" w:space="0"/>
              <w:bottom w:val="single" w:color="auto" w:sz="2" w:space="0"/>
              <w:right w:val="single" w:color="auto" w:sz="2" w:space="0"/>
            </w:tcBorders>
            <w:vAlign w:val="center"/>
          </w:tcPr>
          <w:p w14:paraId="1E3EAB6D">
            <w:pPr>
              <w:spacing w:line="240" w:lineRule="exact"/>
              <w:rPr>
                <w:rFonts w:ascii="Times New Roman" w:hAnsi="Times New Roman" w:cs="Times New Roman" w:eastAsiaTheme="majorEastAsia"/>
                <w:sz w:val="18"/>
                <w:szCs w:val="18"/>
              </w:rPr>
            </w:pPr>
          </w:p>
        </w:tc>
      </w:tr>
      <w:tr w14:paraId="30F459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148FA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计入当期损益的政府补助（与公司正常经营业务密切相关，符合国家政策规定、按照确定的标准享有、对公司损益产生持续影响的政府补助除外）</w:t>
            </w:r>
          </w:p>
        </w:tc>
        <w:tc>
          <w:tcPr>
            <w:tcW w:w="3213" w:type="dxa"/>
            <w:tcBorders>
              <w:top w:val="single" w:color="auto" w:sz="2" w:space="0"/>
              <w:left w:val="single" w:color="auto" w:sz="2" w:space="0"/>
              <w:bottom w:val="single" w:color="auto" w:sz="2" w:space="0"/>
              <w:right w:val="single" w:color="auto" w:sz="2" w:space="0"/>
            </w:tcBorders>
            <w:vAlign w:val="center"/>
          </w:tcPr>
          <w:p w14:paraId="52E3E3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61,582.83</w:t>
            </w:r>
          </w:p>
        </w:tc>
        <w:tc>
          <w:tcPr>
            <w:tcW w:w="3213" w:type="dxa"/>
            <w:tcBorders>
              <w:top w:val="single" w:color="auto" w:sz="2" w:space="0"/>
              <w:left w:val="single" w:color="auto" w:sz="2" w:space="0"/>
              <w:bottom w:val="single" w:color="auto" w:sz="2" w:space="0"/>
              <w:right w:val="single" w:color="auto" w:sz="2" w:space="0"/>
            </w:tcBorders>
            <w:vAlign w:val="center"/>
          </w:tcPr>
          <w:p w14:paraId="738E60A6">
            <w:pPr>
              <w:spacing w:line="240" w:lineRule="exact"/>
              <w:rPr>
                <w:rFonts w:ascii="Times New Roman" w:hAnsi="Times New Roman" w:cs="Times New Roman" w:eastAsiaTheme="majorEastAsia"/>
                <w:sz w:val="18"/>
                <w:szCs w:val="18"/>
              </w:rPr>
            </w:pPr>
          </w:p>
        </w:tc>
      </w:tr>
      <w:tr w14:paraId="66766E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06CF8AF7">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除同公司正常经营业务相关的有效套期保值业务外，非金融企业持有金融资产和金融负债产生的公允价值变动损益以及处置金融资产和金融负债产生的损益</w:t>
            </w:r>
          </w:p>
        </w:tc>
        <w:tc>
          <w:tcPr>
            <w:tcW w:w="3213" w:type="dxa"/>
            <w:tcBorders>
              <w:top w:val="single" w:color="auto" w:sz="2" w:space="0"/>
              <w:left w:val="single" w:color="auto" w:sz="2" w:space="0"/>
              <w:bottom w:val="single" w:color="auto" w:sz="2" w:space="0"/>
              <w:right w:val="single" w:color="auto" w:sz="2" w:space="0"/>
            </w:tcBorders>
            <w:vAlign w:val="center"/>
          </w:tcPr>
          <w:p w14:paraId="32EA500C">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629,369.87</w:t>
            </w:r>
          </w:p>
        </w:tc>
        <w:tc>
          <w:tcPr>
            <w:tcW w:w="3213" w:type="dxa"/>
            <w:tcBorders>
              <w:top w:val="single" w:color="auto" w:sz="2" w:space="0"/>
              <w:left w:val="single" w:color="auto" w:sz="2" w:space="0"/>
              <w:bottom w:val="single" w:color="auto" w:sz="2" w:space="0"/>
              <w:right w:val="single" w:color="auto" w:sz="2" w:space="0"/>
            </w:tcBorders>
            <w:vAlign w:val="center"/>
          </w:tcPr>
          <w:p w14:paraId="2B7C66E9">
            <w:pPr>
              <w:spacing w:line="240" w:lineRule="exact"/>
              <w:rPr>
                <w:rFonts w:ascii="Times New Roman" w:hAnsi="Times New Roman" w:cs="Times New Roman" w:eastAsiaTheme="majorEastAsia"/>
                <w:sz w:val="18"/>
                <w:szCs w:val="18"/>
              </w:rPr>
            </w:pPr>
          </w:p>
        </w:tc>
      </w:tr>
      <w:tr w14:paraId="7F6F5A3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77C928F8">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除上述各项之外的其他营业外收入和支出</w:t>
            </w:r>
          </w:p>
        </w:tc>
        <w:tc>
          <w:tcPr>
            <w:tcW w:w="3213" w:type="dxa"/>
            <w:tcBorders>
              <w:top w:val="single" w:color="auto" w:sz="2" w:space="0"/>
              <w:left w:val="single" w:color="auto" w:sz="2" w:space="0"/>
              <w:bottom w:val="single" w:color="auto" w:sz="2" w:space="0"/>
              <w:right w:val="single" w:color="auto" w:sz="2" w:space="0"/>
            </w:tcBorders>
            <w:vAlign w:val="center"/>
          </w:tcPr>
          <w:p w14:paraId="65ABBD5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-1,902,946.56</w:t>
            </w:r>
          </w:p>
        </w:tc>
        <w:tc>
          <w:tcPr>
            <w:tcW w:w="3213" w:type="dxa"/>
            <w:tcBorders>
              <w:top w:val="single" w:color="auto" w:sz="2" w:space="0"/>
              <w:left w:val="single" w:color="auto" w:sz="2" w:space="0"/>
              <w:bottom w:val="single" w:color="auto" w:sz="2" w:space="0"/>
              <w:right w:val="single" w:color="auto" w:sz="2" w:space="0"/>
            </w:tcBorders>
            <w:vAlign w:val="center"/>
          </w:tcPr>
          <w:p w14:paraId="1A152833">
            <w:pPr>
              <w:spacing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对外捐赠</w:t>
            </w:r>
          </w:p>
        </w:tc>
      </w:tr>
      <w:tr w14:paraId="68CD37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BEDE593">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其他符合非经常性损益定义的损益项目</w:t>
            </w:r>
          </w:p>
        </w:tc>
        <w:tc>
          <w:tcPr>
            <w:tcW w:w="3213" w:type="dxa"/>
            <w:tcBorders>
              <w:top w:val="single" w:color="auto" w:sz="2" w:space="0"/>
              <w:left w:val="single" w:color="auto" w:sz="2" w:space="0"/>
              <w:bottom w:val="single" w:color="auto" w:sz="2" w:space="0"/>
              <w:right w:val="single" w:color="auto" w:sz="2" w:space="0"/>
            </w:tcBorders>
            <w:vAlign w:val="center"/>
          </w:tcPr>
          <w:p w14:paraId="75ECD77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27,444.49</w:t>
            </w:r>
          </w:p>
        </w:tc>
        <w:tc>
          <w:tcPr>
            <w:tcW w:w="3213" w:type="dxa"/>
            <w:tcBorders>
              <w:top w:val="single" w:color="auto" w:sz="2" w:space="0"/>
              <w:left w:val="single" w:color="auto" w:sz="2" w:space="0"/>
              <w:bottom w:val="single" w:color="auto" w:sz="2" w:space="0"/>
              <w:right w:val="single" w:color="auto" w:sz="2" w:space="0"/>
            </w:tcBorders>
            <w:vAlign w:val="center"/>
          </w:tcPr>
          <w:p w14:paraId="26C5DA13">
            <w:pPr>
              <w:spacing w:line="240" w:lineRule="exact"/>
              <w:rPr>
                <w:rFonts w:ascii="Times New Roman" w:hAnsi="Times New Roman" w:cs="Times New Roman" w:eastAsiaTheme="majorEastAsia"/>
                <w:sz w:val="18"/>
                <w:szCs w:val="18"/>
              </w:rPr>
            </w:pPr>
          </w:p>
        </w:tc>
      </w:tr>
      <w:tr w14:paraId="20E8A0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56254CBD">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减：所得税影响额</w:t>
            </w:r>
          </w:p>
        </w:tc>
        <w:tc>
          <w:tcPr>
            <w:tcW w:w="3213" w:type="dxa"/>
            <w:tcBorders>
              <w:top w:val="single" w:color="auto" w:sz="2" w:space="0"/>
              <w:left w:val="single" w:color="auto" w:sz="2" w:space="0"/>
              <w:bottom w:val="single" w:color="auto" w:sz="2" w:space="0"/>
              <w:right w:val="single" w:color="auto" w:sz="2" w:space="0"/>
            </w:tcBorders>
            <w:vAlign w:val="center"/>
          </w:tcPr>
          <w:p w14:paraId="7F48032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-101,366.65</w:t>
            </w:r>
          </w:p>
        </w:tc>
        <w:tc>
          <w:tcPr>
            <w:tcW w:w="3213" w:type="dxa"/>
            <w:tcBorders>
              <w:top w:val="single" w:color="auto" w:sz="2" w:space="0"/>
              <w:left w:val="single" w:color="auto" w:sz="2" w:space="0"/>
              <w:bottom w:val="single" w:color="auto" w:sz="2" w:space="0"/>
              <w:right w:val="single" w:color="auto" w:sz="2" w:space="0"/>
            </w:tcBorders>
            <w:vAlign w:val="center"/>
          </w:tcPr>
          <w:p w14:paraId="55AE8F7D">
            <w:pPr>
              <w:spacing w:line="240" w:lineRule="exact"/>
              <w:rPr>
                <w:rFonts w:ascii="Times New Roman" w:hAnsi="Times New Roman" w:cs="Times New Roman" w:eastAsiaTheme="majorEastAsia"/>
                <w:sz w:val="18"/>
                <w:szCs w:val="18"/>
              </w:rPr>
            </w:pPr>
          </w:p>
        </w:tc>
      </w:tr>
      <w:tr w14:paraId="2BD3C0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4D660BFD">
            <w:pPr>
              <w:spacing w:before="40" w:after="40" w:line="240" w:lineRule="exact"/>
              <w:ind w:firstLine="360" w:firstLineChars="200"/>
              <w:rPr>
                <w:rFonts w:ascii="Times New Roman" w:hAnsi="Times New Roman" w:cs="Times New Roman" w:eastAsiaTheme="majorEastAsia"/>
                <w:sz w:val="18"/>
                <w:szCs w:val="18"/>
              </w:rPr>
            </w:pPr>
            <w:r>
              <w:rPr>
                <w:rFonts w:ascii="Times New Roman" w:hAnsi="Times New Roman" w:cs="Times New Roman" w:eastAsiaTheme="majorEastAsia"/>
                <w:sz w:val="18"/>
                <w:szCs w:val="18"/>
              </w:rPr>
              <w:t>少数股东权益影响额（税后）</w:t>
            </w:r>
          </w:p>
        </w:tc>
        <w:tc>
          <w:tcPr>
            <w:tcW w:w="3213" w:type="dxa"/>
            <w:tcBorders>
              <w:top w:val="single" w:color="auto" w:sz="2" w:space="0"/>
              <w:left w:val="single" w:color="auto" w:sz="2" w:space="0"/>
              <w:bottom w:val="single" w:color="auto" w:sz="2" w:space="0"/>
              <w:right w:val="single" w:color="auto" w:sz="2" w:space="0"/>
            </w:tcBorders>
            <w:vAlign w:val="center"/>
          </w:tcPr>
          <w:p w14:paraId="162C3184">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1,415.20</w:t>
            </w:r>
          </w:p>
        </w:tc>
        <w:tc>
          <w:tcPr>
            <w:tcW w:w="3213" w:type="dxa"/>
            <w:tcBorders>
              <w:top w:val="single" w:color="auto" w:sz="2" w:space="0"/>
              <w:left w:val="single" w:color="auto" w:sz="2" w:space="0"/>
              <w:bottom w:val="single" w:color="auto" w:sz="2" w:space="0"/>
              <w:right w:val="single" w:color="auto" w:sz="2" w:space="0"/>
            </w:tcBorders>
            <w:vAlign w:val="center"/>
          </w:tcPr>
          <w:p w14:paraId="7DC16BAF">
            <w:pPr>
              <w:spacing w:line="240" w:lineRule="exact"/>
              <w:rPr>
                <w:rFonts w:ascii="Times New Roman" w:hAnsi="Times New Roman" w:cs="Times New Roman" w:eastAsiaTheme="majorEastAsia"/>
                <w:sz w:val="18"/>
                <w:szCs w:val="18"/>
              </w:rPr>
            </w:pPr>
          </w:p>
        </w:tc>
      </w:tr>
      <w:tr w14:paraId="1B9733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13FECC10">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合计</w:t>
            </w:r>
          </w:p>
        </w:tc>
        <w:tc>
          <w:tcPr>
            <w:tcW w:w="3213" w:type="dxa"/>
            <w:tcBorders>
              <w:top w:val="single" w:color="auto" w:sz="2" w:space="0"/>
              <w:left w:val="single" w:color="auto" w:sz="2" w:space="0"/>
              <w:bottom w:val="single" w:color="auto" w:sz="2" w:space="0"/>
              <w:right w:val="single" w:color="auto" w:sz="2" w:space="0"/>
            </w:tcBorders>
            <w:vAlign w:val="center"/>
          </w:tcPr>
          <w:p w14:paraId="3BE16FB8">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-662,171.22</w:t>
            </w:r>
          </w:p>
        </w:tc>
        <w:tc>
          <w:tcPr>
            <w:tcW w:w="3213" w:type="dxa"/>
            <w:tcBorders>
              <w:top w:val="single" w:color="auto" w:sz="2" w:space="0"/>
              <w:left w:val="single" w:color="auto" w:sz="2" w:space="0"/>
              <w:bottom w:val="single" w:color="auto" w:sz="2" w:space="0"/>
              <w:right w:val="single" w:color="auto" w:sz="2" w:space="0"/>
            </w:tcBorders>
            <w:shd w:val="clear" w:color="auto" w:fill="D3D3D3"/>
            <w:vAlign w:val="center"/>
          </w:tcPr>
          <w:p w14:paraId="3286533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w:t>
            </w:r>
          </w:p>
        </w:tc>
      </w:tr>
    </w:tbl>
    <w:p w14:paraId="04053DCB">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其他符合非经常性损益定义的损益项目的具体情况：</w:t>
      </w:r>
    </w:p>
    <w:p w14:paraId="041A8C2D">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适用</w:t>
      </w:r>
      <w:r>
        <w:rPr>
          <w:rFonts w:hint="eastAsia" w:ascii="Times New Roman" w:hAnsi="Times New Roman" w:cs="Times New Roman" w:eastAsiaTheme="majorEastAsia"/>
          <w:sz w:val="18"/>
          <w:szCs w:val="18"/>
        </w:rPr>
        <w:t xml:space="preserve">  □</w:t>
      </w:r>
      <w:r>
        <w:rPr>
          <w:rFonts w:ascii="Times New Roman" w:hAnsi="Times New Roman" w:cs="Times New Roman" w:eastAsiaTheme="majorEastAsia"/>
          <w:sz w:val="18"/>
          <w:szCs w:val="18"/>
        </w:rPr>
        <w:t>不适用</w:t>
      </w:r>
    </w:p>
    <w:p w14:paraId="6C915E5A">
      <w:pPr>
        <w:spacing w:before="156" w:beforeLines="50" w:after="156" w:afterLines="50"/>
        <w:ind w:firstLine="420" w:firstLineChars="200"/>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 xml:space="preserve">注 1：非经常性损益项目中的数字“+”表示收益及收入，“—”表示损失或支出。 </w:t>
      </w:r>
    </w:p>
    <w:p w14:paraId="3F753388">
      <w:pPr>
        <w:spacing w:before="156" w:beforeLines="50" w:after="156" w:afterLines="50"/>
        <w:ind w:firstLine="420" w:firstLineChars="200"/>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 xml:space="preserve">注 2：本集团对非经常性损益项目的确认依照《公开发行证券的公司信息披露解释性公告第 1 号——非经常性损益》（证监会公告[2023]65 号）的规定执行。 </w:t>
      </w:r>
    </w:p>
    <w:p w14:paraId="5FA12005">
      <w:pPr>
        <w:spacing w:before="156" w:beforeLines="50" w:after="156" w:afterLines="50"/>
        <w:ind w:firstLine="420" w:firstLineChars="200"/>
        <w:rPr>
          <w:rFonts w:ascii="Times New Roman" w:hAnsi="Times New Roman" w:cs="Times New Roman" w:eastAsiaTheme="majorEastAsia"/>
          <w:sz w:val="18"/>
          <w:szCs w:val="18"/>
        </w:rPr>
      </w:pPr>
      <w:r>
        <w:rPr>
          <w:rFonts w:ascii="Times New Roman" w:hAnsi="Times New Roman" w:cs="Times New Roman" w:eastAsiaTheme="majorEastAsia"/>
          <w:color w:val="000000"/>
          <w:szCs w:val="21"/>
        </w:rPr>
        <w:t>注 3：其他符合非经常性损益定义的损益项目，包括银行理财产品取得的投资收益、代扣个人所得税手续费返还、增值税进项税额加计扣除等。</w:t>
      </w:r>
    </w:p>
    <w:p w14:paraId="134655A7">
      <w:pPr>
        <w:spacing w:before="100" w:after="10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将《公开发行证券的公司信息披露解释性公告第1号——非经常性损益》中列举的非经常性损益项目界定为经常性损益项目的情况说明</w:t>
      </w:r>
    </w:p>
    <w:p w14:paraId="38B14ECA">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DA9DCE0">
      <w:pPr>
        <w:pStyle w:val="3"/>
        <w:spacing w:line="280" w:lineRule="exact"/>
        <w:jc w:val="left"/>
        <w:rPr>
          <w:rFonts w:ascii="Times New Roman" w:hAnsi="Times New Roman" w:cs="Times New Roman" w:eastAsiaTheme="majorEastAsia"/>
          <w:b/>
          <w:bCs/>
        </w:rPr>
      </w:pPr>
      <w:bookmarkStart w:id="521" w:name="_Toc989413"/>
      <w:r>
        <w:rPr>
          <w:rFonts w:ascii="Times New Roman" w:hAnsi="Times New Roman" w:cs="Times New Roman" w:eastAsiaTheme="majorEastAsia"/>
          <w:b/>
          <w:bCs/>
        </w:rPr>
        <w:t>2、净资产收益率及每股收益</w:t>
      </w:r>
      <w:bookmarkEnd w:id="521"/>
    </w:p>
    <w:tbl>
      <w:tblPr>
        <w:tblStyle w:val="12"/>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09"/>
        <w:gridCol w:w="2410"/>
        <w:gridCol w:w="2410"/>
        <w:gridCol w:w="2410"/>
      </w:tblGrid>
      <w:tr w14:paraId="245DE9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41569CFE">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报告期利润</w:t>
            </w:r>
          </w:p>
        </w:tc>
        <w:tc>
          <w:tcPr>
            <w:tcW w:w="2410"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14:paraId="3D9E3117">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加权平均净资产收益率</w:t>
            </w:r>
          </w:p>
        </w:tc>
        <w:tc>
          <w:tcPr>
            <w:tcW w:w="482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14:paraId="684FC4C1">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每股收益</w:t>
            </w:r>
          </w:p>
        </w:tc>
      </w:tr>
      <w:tr w14:paraId="7EBCFC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3B18DB93">
            <w:pPr>
              <w:rPr>
                <w:rFonts w:ascii="Times New Roman" w:hAnsi="Times New Roman" w:cs="Times New Roman" w:eastAsiaTheme="majorEastAsia"/>
              </w:rPr>
            </w:pPr>
          </w:p>
        </w:tc>
        <w:tc>
          <w:tcPr>
            <w:tcW w:w="2410"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14:paraId="29749F4C">
            <w:pPr>
              <w:rPr>
                <w:rFonts w:ascii="Times New Roman" w:hAnsi="Times New Roman" w:cs="Times New Roman" w:eastAsiaTheme="majorEastAsia"/>
              </w:rPr>
            </w:pP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5DEE8B1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基本每股收益（元/股）</w:t>
            </w:r>
          </w:p>
        </w:tc>
        <w:tc>
          <w:tcPr>
            <w:tcW w:w="2410" w:type="dxa"/>
            <w:tcBorders>
              <w:top w:val="single" w:color="auto" w:sz="2" w:space="0"/>
              <w:left w:val="single" w:color="auto" w:sz="2" w:space="0"/>
              <w:bottom w:val="single" w:color="auto" w:sz="2" w:space="0"/>
              <w:right w:val="single" w:color="auto" w:sz="2" w:space="0"/>
            </w:tcBorders>
            <w:shd w:val="clear" w:color="auto" w:fill="D3D3D3"/>
            <w:vAlign w:val="center"/>
          </w:tcPr>
          <w:p w14:paraId="4A32C092">
            <w:pPr>
              <w:spacing w:before="40" w:after="40" w:line="240" w:lineRule="exact"/>
              <w:jc w:val="center"/>
              <w:rPr>
                <w:rFonts w:ascii="Times New Roman" w:hAnsi="Times New Roman" w:cs="Times New Roman" w:eastAsiaTheme="majorEastAsia"/>
                <w:sz w:val="18"/>
                <w:szCs w:val="18"/>
              </w:rPr>
            </w:pPr>
            <w:r>
              <w:rPr>
                <w:rFonts w:ascii="Times New Roman" w:hAnsi="Times New Roman" w:cs="Times New Roman" w:eastAsiaTheme="majorEastAsia"/>
                <w:sz w:val="18"/>
                <w:szCs w:val="18"/>
              </w:rPr>
              <w:t>稀释每股收益（元/股）</w:t>
            </w:r>
          </w:p>
        </w:tc>
      </w:tr>
      <w:tr w14:paraId="2902E6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4118608A">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归属于公司普通股股东的净利润</w:t>
            </w:r>
          </w:p>
        </w:tc>
        <w:tc>
          <w:tcPr>
            <w:tcW w:w="2410" w:type="dxa"/>
            <w:tcBorders>
              <w:top w:val="single" w:color="auto" w:sz="2" w:space="0"/>
              <w:left w:val="single" w:color="auto" w:sz="2" w:space="0"/>
              <w:bottom w:val="single" w:color="auto" w:sz="2" w:space="0"/>
              <w:right w:val="single" w:color="auto" w:sz="2" w:space="0"/>
            </w:tcBorders>
            <w:vAlign w:val="center"/>
          </w:tcPr>
          <w:p w14:paraId="525487A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w:t>
            </w:r>
            <w:r>
              <w:rPr>
                <w:rFonts w:hint="eastAsia" w:ascii="Times New Roman" w:hAnsi="Times New Roman" w:cs="Times New Roman" w:eastAsiaTheme="majorEastAsia"/>
                <w:sz w:val="18"/>
                <w:szCs w:val="18"/>
              </w:rPr>
              <w:t>8</w:t>
            </w:r>
            <w:r>
              <w:rPr>
                <w:rFonts w:ascii="Times New Roman" w:hAnsi="Times New Roman" w:cs="Times New Roman" w:eastAsiaTheme="majorEastAsia"/>
                <w:sz w:val="18"/>
                <w:szCs w:val="18"/>
              </w:rPr>
              <w:t>%</w:t>
            </w:r>
          </w:p>
        </w:tc>
        <w:tc>
          <w:tcPr>
            <w:tcW w:w="2410" w:type="dxa"/>
            <w:tcBorders>
              <w:top w:val="single" w:color="auto" w:sz="2" w:space="0"/>
              <w:left w:val="single" w:color="auto" w:sz="2" w:space="0"/>
              <w:bottom w:val="single" w:color="auto" w:sz="2" w:space="0"/>
              <w:right w:val="single" w:color="auto" w:sz="2" w:space="0"/>
            </w:tcBorders>
            <w:vAlign w:val="center"/>
          </w:tcPr>
          <w:p w14:paraId="6E79A3D9">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-0.74</w:t>
            </w:r>
          </w:p>
        </w:tc>
        <w:tc>
          <w:tcPr>
            <w:tcW w:w="2410" w:type="dxa"/>
            <w:tcBorders>
              <w:top w:val="single" w:color="auto" w:sz="2" w:space="0"/>
              <w:left w:val="single" w:color="auto" w:sz="2" w:space="0"/>
              <w:bottom w:val="single" w:color="auto" w:sz="2" w:space="0"/>
              <w:right w:val="single" w:color="auto" w:sz="2" w:space="0"/>
            </w:tcBorders>
            <w:vAlign w:val="center"/>
          </w:tcPr>
          <w:p w14:paraId="1B312DCB">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-0.74</w:t>
            </w:r>
          </w:p>
        </w:tc>
      </w:tr>
      <w:tr w14:paraId="48E04D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409" w:type="dxa"/>
            <w:tcBorders>
              <w:top w:val="single" w:color="auto" w:sz="2" w:space="0"/>
              <w:left w:val="single" w:color="auto" w:sz="2" w:space="0"/>
              <w:bottom w:val="single" w:color="auto" w:sz="2" w:space="0"/>
              <w:right w:val="single" w:color="auto" w:sz="2" w:space="0"/>
            </w:tcBorders>
            <w:shd w:val="clear" w:color="auto" w:fill="D3D3D3"/>
            <w:vAlign w:val="center"/>
          </w:tcPr>
          <w:p w14:paraId="6C4F9739">
            <w:pPr>
              <w:spacing w:before="40" w:after="40" w:line="240" w:lineRule="exact"/>
              <w:rPr>
                <w:rFonts w:ascii="Times New Roman" w:hAnsi="Times New Roman" w:cs="Times New Roman" w:eastAsiaTheme="majorEastAsia"/>
                <w:sz w:val="18"/>
                <w:szCs w:val="18"/>
              </w:rPr>
            </w:pPr>
            <w:r>
              <w:rPr>
                <w:rFonts w:ascii="Times New Roman" w:hAnsi="Times New Roman" w:cs="Times New Roman" w:eastAsiaTheme="majorEastAsia"/>
                <w:sz w:val="18"/>
                <w:szCs w:val="18"/>
              </w:rPr>
              <w:t>扣除非经常性损益后归属于公司普通股股东的净利润</w:t>
            </w:r>
          </w:p>
        </w:tc>
        <w:tc>
          <w:tcPr>
            <w:tcW w:w="2410" w:type="dxa"/>
            <w:tcBorders>
              <w:top w:val="single" w:color="auto" w:sz="2" w:space="0"/>
              <w:left w:val="single" w:color="auto" w:sz="2" w:space="0"/>
              <w:bottom w:val="single" w:color="auto" w:sz="2" w:space="0"/>
              <w:right w:val="single" w:color="auto" w:sz="2" w:space="0"/>
            </w:tcBorders>
            <w:shd w:val="clear" w:color="auto" w:fill="D9D9D9"/>
            <w:vAlign w:val="center"/>
          </w:tcPr>
          <w:p w14:paraId="73A13C70">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-6.20</w:t>
            </w: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 </w:t>
            </w:r>
          </w:p>
        </w:tc>
        <w:tc>
          <w:tcPr>
            <w:tcW w:w="2410" w:type="dxa"/>
            <w:tcBorders>
              <w:top w:val="single" w:color="auto" w:sz="2" w:space="0"/>
              <w:left w:val="single" w:color="auto" w:sz="2" w:space="0"/>
              <w:bottom w:val="single" w:color="auto" w:sz="2" w:space="0"/>
              <w:right w:val="single" w:color="auto" w:sz="2" w:space="0"/>
            </w:tcBorders>
            <w:vAlign w:val="center"/>
          </w:tcPr>
          <w:p w14:paraId="7D36898A">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-0.73</w:t>
            </w:r>
          </w:p>
        </w:tc>
        <w:tc>
          <w:tcPr>
            <w:tcW w:w="2410" w:type="dxa"/>
            <w:tcBorders>
              <w:top w:val="single" w:color="auto" w:sz="2" w:space="0"/>
              <w:left w:val="single" w:color="auto" w:sz="2" w:space="0"/>
              <w:bottom w:val="single" w:color="auto" w:sz="2" w:space="0"/>
              <w:right w:val="single" w:color="auto" w:sz="2" w:space="0"/>
            </w:tcBorders>
            <w:vAlign w:val="center"/>
          </w:tcPr>
          <w:p w14:paraId="47478DB5">
            <w:pPr>
              <w:spacing w:line="240" w:lineRule="exact"/>
              <w:jc w:val="right"/>
              <w:rPr>
                <w:rFonts w:ascii="Times New Roman" w:hAnsi="Times New Roman" w:cs="Times New Roman" w:eastAsiaTheme="majorEastAsia"/>
                <w:sz w:val="18"/>
                <w:szCs w:val="18"/>
              </w:rPr>
            </w:pPr>
            <w:r>
              <w:rPr>
                <w:rFonts w:ascii="Times New Roman" w:hAnsi="Times New Roman" w:cs="Times New Roman" w:eastAsiaTheme="majorEastAsia"/>
                <w:sz w:val="18"/>
                <w:szCs w:val="18"/>
              </w:rPr>
              <w:t>-0.73</w:t>
            </w:r>
          </w:p>
        </w:tc>
      </w:tr>
    </w:tbl>
    <w:p w14:paraId="1EC7B3AA">
      <w:pPr>
        <w:pStyle w:val="3"/>
        <w:spacing w:line="280" w:lineRule="exact"/>
        <w:jc w:val="left"/>
        <w:rPr>
          <w:rFonts w:ascii="Times New Roman" w:hAnsi="Times New Roman" w:cs="Times New Roman" w:eastAsiaTheme="majorEastAsia"/>
          <w:b/>
          <w:bCs/>
        </w:rPr>
      </w:pPr>
      <w:bookmarkStart w:id="522" w:name="_Toc989414"/>
      <w:r>
        <w:rPr>
          <w:rFonts w:ascii="Times New Roman" w:hAnsi="Times New Roman" w:cs="Times New Roman" w:eastAsiaTheme="majorEastAsia"/>
          <w:b/>
          <w:bCs/>
        </w:rPr>
        <w:t>3、境内外会计准则下会计数据差异</w:t>
      </w:r>
      <w:bookmarkEnd w:id="522"/>
    </w:p>
    <w:p w14:paraId="59161B67">
      <w:pPr>
        <w:keepNext/>
        <w:keepLines/>
        <w:spacing w:before="300" w:after="300" w:line="280" w:lineRule="exact"/>
        <w:outlineLvl w:val="3"/>
        <w:rPr>
          <w:rFonts w:ascii="Times New Roman" w:hAnsi="Times New Roman" w:cs="Times New Roman" w:eastAsiaTheme="majorEastAsia"/>
          <w:b/>
          <w:bCs/>
          <w:szCs w:val="21"/>
        </w:rPr>
      </w:pPr>
      <w:bookmarkStart w:id="523" w:name="_Toc989415"/>
      <w:r>
        <w:rPr>
          <w:rFonts w:ascii="Times New Roman" w:hAnsi="Times New Roman" w:cs="Times New Roman" w:eastAsiaTheme="majorEastAsia"/>
          <w:b/>
          <w:bCs/>
          <w:szCs w:val="21"/>
        </w:rPr>
        <w:t>（1） 同时按照国际会计准则与按中国会计准则披露的财务报告中净利润和净资产差异情况</w:t>
      </w:r>
      <w:bookmarkEnd w:id="523"/>
    </w:p>
    <w:p w14:paraId="64E0EBB2">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598682CD">
      <w:pPr>
        <w:keepNext/>
        <w:keepLines/>
        <w:spacing w:before="300" w:after="300" w:line="280" w:lineRule="exact"/>
        <w:outlineLvl w:val="3"/>
        <w:rPr>
          <w:rFonts w:ascii="Times New Roman" w:hAnsi="Times New Roman" w:cs="Times New Roman" w:eastAsiaTheme="majorEastAsia"/>
          <w:b/>
          <w:bCs/>
          <w:szCs w:val="21"/>
        </w:rPr>
      </w:pPr>
      <w:bookmarkStart w:id="524" w:name="_Toc989416"/>
      <w:r>
        <w:rPr>
          <w:rFonts w:ascii="Times New Roman" w:hAnsi="Times New Roman" w:cs="Times New Roman" w:eastAsiaTheme="majorEastAsia"/>
          <w:b/>
          <w:bCs/>
          <w:szCs w:val="21"/>
        </w:rPr>
        <w:t>（2） 同时按照境外会计准则与按中国会计准则披露的财务报告中净利润和净资产差异情况</w:t>
      </w:r>
      <w:bookmarkEnd w:id="524"/>
    </w:p>
    <w:p w14:paraId="7634B807">
      <w:pPr>
        <w:spacing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43A94A5F">
      <w:pPr>
        <w:keepNext/>
        <w:keepLines/>
        <w:spacing w:before="300" w:after="300" w:line="280" w:lineRule="exact"/>
        <w:outlineLvl w:val="3"/>
        <w:rPr>
          <w:rFonts w:ascii="Times New Roman" w:hAnsi="Times New Roman" w:cs="Times New Roman" w:eastAsiaTheme="majorEastAsia"/>
          <w:b/>
          <w:bCs/>
          <w:szCs w:val="21"/>
        </w:rPr>
      </w:pPr>
      <w:bookmarkStart w:id="525" w:name="_Toc989417"/>
      <w:r>
        <w:rPr>
          <w:rFonts w:ascii="Times New Roman" w:hAnsi="Times New Roman" w:cs="Times New Roman" w:eastAsiaTheme="majorEastAsia"/>
          <w:b/>
          <w:bCs/>
          <w:szCs w:val="21"/>
        </w:rPr>
        <w:t>（3） 境内外会计准则下会计数据差异原因说明，对已经境外审计机构审计的数据进行差异调节的，应注明该境外机构的名称</w:t>
      </w:r>
      <w:bookmarkEnd w:id="525"/>
    </w:p>
    <w:p w14:paraId="260B53F2">
      <w:pPr>
        <w:spacing w:before="100" w:after="100" w:line="240" w:lineRule="exact"/>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w:t>
      </w:r>
      <w:r>
        <w:rPr>
          <w:rFonts w:ascii="Times New Roman" w:hAnsi="Times New Roman" w:cs="Times New Roman" w:eastAsiaTheme="majorEastAsia"/>
          <w:sz w:val="18"/>
          <w:szCs w:val="18"/>
        </w:rPr>
        <w:t xml:space="preserve">适用 </w:t>
      </w:r>
      <w:r>
        <w:rPr>
          <w:rFonts w:ascii="Times New Roman" w:hAnsi="Times New Roman" w:cs="Times New Roman" w:eastAsiaTheme="majorEastAsia"/>
          <w:sz w:val="18"/>
          <w:szCs w:val="18"/>
        </w:rPr>
        <w:sym w:font="Wingdings 2" w:char="F052"/>
      </w:r>
      <w:r>
        <w:rPr>
          <w:rFonts w:ascii="Times New Roman" w:hAnsi="Times New Roman" w:cs="Times New Roman" w:eastAsiaTheme="majorEastAsia"/>
          <w:sz w:val="18"/>
          <w:szCs w:val="18"/>
        </w:rPr>
        <w:t>不适用</w:t>
      </w:r>
    </w:p>
    <w:p w14:paraId="3D2B5F84">
      <w:pPr>
        <w:pStyle w:val="3"/>
        <w:spacing w:line="280" w:lineRule="exact"/>
        <w:jc w:val="left"/>
        <w:rPr>
          <w:rFonts w:ascii="Times New Roman" w:hAnsi="Times New Roman" w:cs="Times New Roman" w:eastAsiaTheme="majorEastAsia"/>
          <w:b/>
          <w:bCs/>
        </w:rPr>
      </w:pPr>
      <w:bookmarkStart w:id="526" w:name="_Toc989418"/>
      <w:r>
        <w:rPr>
          <w:rFonts w:ascii="Times New Roman" w:hAnsi="Times New Roman" w:cs="Times New Roman" w:eastAsiaTheme="majorEastAsia"/>
          <w:b/>
          <w:bCs/>
        </w:rPr>
        <w:t>4、其他</w:t>
      </w:r>
      <w:bookmarkEnd w:id="526"/>
    </w:p>
    <w:p w14:paraId="36C066AB">
      <w:pPr>
        <w:rPr>
          <w:rFonts w:ascii="Times New Roman" w:hAnsi="Times New Roman" w:cs="Times New Roman" w:eastAsiaTheme="majorEastAsia"/>
          <w:sz w:val="18"/>
          <w:szCs w:val="18"/>
        </w:rPr>
      </w:pPr>
      <w:r>
        <w:rPr>
          <w:rFonts w:hint="eastAsia" w:ascii="Times New Roman" w:hAnsi="Times New Roman" w:cs="Times New Roman" w:eastAsiaTheme="majorEastAsia"/>
          <w:sz w:val="18"/>
          <w:szCs w:val="18"/>
        </w:rPr>
        <w:t>无。</w:t>
      </w:r>
    </w:p>
    <w:p w14:paraId="1584B8F8">
      <w:pPr>
        <w:spacing w:before="100" w:after="100" w:line="0" w:lineRule="atLeast"/>
        <w:jc w:val="right"/>
        <w:rPr>
          <w:rFonts w:ascii="Times New Roman" w:hAnsi="Times New Roman" w:cs="Times New Roman" w:eastAsiaTheme="majorEastAsia"/>
        </w:rPr>
      </w:pPr>
      <w:r>
        <w:rPr>
          <w:rFonts w:hint="eastAsia" w:ascii="Times New Roman" w:hAnsi="Times New Roman" w:cs="Times New Roman" w:eastAsiaTheme="majorEastAsia"/>
        </w:rPr>
        <w:t>广东天亿马信息产业股份有限公司</w:t>
      </w:r>
    </w:p>
    <w:p w14:paraId="4BE89B92">
      <w:pPr>
        <w:spacing w:before="100" w:after="100" w:line="0" w:lineRule="atLeast"/>
        <w:jc w:val="right"/>
        <w:rPr>
          <w:rFonts w:ascii="Times New Roman" w:hAnsi="Times New Roman" w:cs="Times New Roman" w:eastAsiaTheme="majorEastAsia"/>
        </w:rPr>
      </w:pPr>
      <w:r>
        <w:rPr>
          <w:rFonts w:hint="eastAsia" w:ascii="Times New Roman" w:hAnsi="Times New Roman" w:cs="Times New Roman" w:eastAsiaTheme="majorEastAsia"/>
        </w:rPr>
        <w:t>董事会</w:t>
      </w:r>
    </w:p>
    <w:p w14:paraId="087EE0CE">
      <w:pPr>
        <w:spacing w:before="100" w:after="100" w:line="0" w:lineRule="atLeast"/>
        <w:jc w:val="right"/>
        <w:rPr>
          <w:rFonts w:ascii="Times New Roman" w:hAnsi="Times New Roman" w:cs="Times New Roman" w:eastAsiaTheme="majorEastAsia"/>
        </w:rPr>
      </w:pPr>
      <w:r>
        <w:rPr>
          <w:rFonts w:hint="eastAsia" w:ascii="Times New Roman" w:hAnsi="Times New Roman" w:cs="Times New Roman" w:eastAsiaTheme="majorEastAsia"/>
        </w:rPr>
        <w:t>2025年4月22日</w:t>
      </w:r>
    </w:p>
    <w:sectPr>
      <w:pgSz w:w="11905" w:h="16840"/>
      <w:pgMar w:top="1440" w:right="1134" w:bottom="144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BD9A1">
    <w:pPr>
      <w:pStyle w:val="19"/>
    </w:pPr>
    <w:r>
      <w:fldChar w:fldCharType="begin"/>
    </w:r>
    <w:r>
      <w:instrText xml:space="preserve">PAGE   \* MERGEFORMAT</w:instrText>
    </w:r>
    <w:r>
      <w:fldChar w:fldCharType="separate"/>
    </w:r>
    <w:r>
      <w:t>192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D5F77">
    <w:pPr>
      <w:pStyle w:val="17"/>
      <w:pBdr>
        <w:bottom w:val="single" w:color="auto" w:sz="6" w:space="1"/>
      </w:pBdr>
    </w:pPr>
    <w:r>
      <w:t>广东天亿马信息产业股份有限公司2024年年度报告全文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doNotCompress"/>
  <w:compat>
    <w:doNotExpandShiftReturn/>
    <w:doNotWrapTextWithPunct/>
    <w:doNotUseEastAsianBreakRules/>
    <w:useFELayout/>
    <w:compatSetting w:name="compatibilityMode" w:uri="http://schemas.microsoft.com/office/word" w:val="14"/>
  </w:compat>
  <w:rsids>
    <w:rsidRoot w:val="001E05AE"/>
    <w:rsid w:val="00030070"/>
    <w:rsid w:val="0004057E"/>
    <w:rsid w:val="00043224"/>
    <w:rsid w:val="000452E8"/>
    <w:rsid w:val="000661E2"/>
    <w:rsid w:val="00094F9F"/>
    <w:rsid w:val="000A4FB9"/>
    <w:rsid w:val="000A617C"/>
    <w:rsid w:val="000B367F"/>
    <w:rsid w:val="001126CE"/>
    <w:rsid w:val="00112CF6"/>
    <w:rsid w:val="001147BD"/>
    <w:rsid w:val="00115ABA"/>
    <w:rsid w:val="00123A05"/>
    <w:rsid w:val="00153A68"/>
    <w:rsid w:val="00153C5B"/>
    <w:rsid w:val="0015598B"/>
    <w:rsid w:val="00175DA0"/>
    <w:rsid w:val="001937BE"/>
    <w:rsid w:val="00196C55"/>
    <w:rsid w:val="001D4D24"/>
    <w:rsid w:val="001E0424"/>
    <w:rsid w:val="001E05AE"/>
    <w:rsid w:val="001E0868"/>
    <w:rsid w:val="001E1526"/>
    <w:rsid w:val="001E242B"/>
    <w:rsid w:val="00204096"/>
    <w:rsid w:val="00205AEA"/>
    <w:rsid w:val="00212CC6"/>
    <w:rsid w:val="00232042"/>
    <w:rsid w:val="00232ABC"/>
    <w:rsid w:val="00240C87"/>
    <w:rsid w:val="00265D0E"/>
    <w:rsid w:val="00266CA3"/>
    <w:rsid w:val="002919F0"/>
    <w:rsid w:val="002B2959"/>
    <w:rsid w:val="002B3F48"/>
    <w:rsid w:val="002C6D3A"/>
    <w:rsid w:val="003229C9"/>
    <w:rsid w:val="003244E9"/>
    <w:rsid w:val="00330869"/>
    <w:rsid w:val="00332392"/>
    <w:rsid w:val="00334142"/>
    <w:rsid w:val="003353CA"/>
    <w:rsid w:val="00337004"/>
    <w:rsid w:val="00342D19"/>
    <w:rsid w:val="003469D1"/>
    <w:rsid w:val="00363B52"/>
    <w:rsid w:val="00375677"/>
    <w:rsid w:val="003805EB"/>
    <w:rsid w:val="003928F1"/>
    <w:rsid w:val="003A02A3"/>
    <w:rsid w:val="003B5DD5"/>
    <w:rsid w:val="003C6889"/>
    <w:rsid w:val="003F2A53"/>
    <w:rsid w:val="0040189D"/>
    <w:rsid w:val="00407D29"/>
    <w:rsid w:val="00416C0C"/>
    <w:rsid w:val="0044655A"/>
    <w:rsid w:val="00447CC2"/>
    <w:rsid w:val="00457EE3"/>
    <w:rsid w:val="00466E42"/>
    <w:rsid w:val="004A1A43"/>
    <w:rsid w:val="004A2A53"/>
    <w:rsid w:val="004B20BF"/>
    <w:rsid w:val="004B79A9"/>
    <w:rsid w:val="004C2823"/>
    <w:rsid w:val="004D1A45"/>
    <w:rsid w:val="004E6D9C"/>
    <w:rsid w:val="004F5572"/>
    <w:rsid w:val="00522E07"/>
    <w:rsid w:val="00562EF2"/>
    <w:rsid w:val="00567DA3"/>
    <w:rsid w:val="005740C1"/>
    <w:rsid w:val="005A05FD"/>
    <w:rsid w:val="005A1985"/>
    <w:rsid w:val="005B1073"/>
    <w:rsid w:val="005B2414"/>
    <w:rsid w:val="005B59DB"/>
    <w:rsid w:val="005C2460"/>
    <w:rsid w:val="005C5EBC"/>
    <w:rsid w:val="005D07F7"/>
    <w:rsid w:val="005D423D"/>
    <w:rsid w:val="005D4427"/>
    <w:rsid w:val="005D5BA2"/>
    <w:rsid w:val="005D5CFE"/>
    <w:rsid w:val="005D68B2"/>
    <w:rsid w:val="005E3878"/>
    <w:rsid w:val="00612415"/>
    <w:rsid w:val="00660A7F"/>
    <w:rsid w:val="00671709"/>
    <w:rsid w:val="00674727"/>
    <w:rsid w:val="006902B7"/>
    <w:rsid w:val="00697667"/>
    <w:rsid w:val="006B4339"/>
    <w:rsid w:val="006C00A2"/>
    <w:rsid w:val="006C6A77"/>
    <w:rsid w:val="006D3292"/>
    <w:rsid w:val="006D4405"/>
    <w:rsid w:val="006D5E64"/>
    <w:rsid w:val="006F292C"/>
    <w:rsid w:val="006F6B55"/>
    <w:rsid w:val="00705215"/>
    <w:rsid w:val="00710EA6"/>
    <w:rsid w:val="0071195A"/>
    <w:rsid w:val="00714383"/>
    <w:rsid w:val="00717F44"/>
    <w:rsid w:val="00737D84"/>
    <w:rsid w:val="007446D9"/>
    <w:rsid w:val="00744C1A"/>
    <w:rsid w:val="00762BF2"/>
    <w:rsid w:val="0076391D"/>
    <w:rsid w:val="007714A3"/>
    <w:rsid w:val="007779DF"/>
    <w:rsid w:val="00796CE0"/>
    <w:rsid w:val="007A1C7D"/>
    <w:rsid w:val="007A3341"/>
    <w:rsid w:val="007A79AA"/>
    <w:rsid w:val="007C21CB"/>
    <w:rsid w:val="007C25D0"/>
    <w:rsid w:val="007C600F"/>
    <w:rsid w:val="007D23CC"/>
    <w:rsid w:val="007D2A44"/>
    <w:rsid w:val="007E52EE"/>
    <w:rsid w:val="00806772"/>
    <w:rsid w:val="00821DAB"/>
    <w:rsid w:val="00824D5D"/>
    <w:rsid w:val="00831DB4"/>
    <w:rsid w:val="00850D60"/>
    <w:rsid w:val="00857BAD"/>
    <w:rsid w:val="0086503C"/>
    <w:rsid w:val="00865EBC"/>
    <w:rsid w:val="00870B09"/>
    <w:rsid w:val="0088534D"/>
    <w:rsid w:val="00890D68"/>
    <w:rsid w:val="008A4B03"/>
    <w:rsid w:val="008C4493"/>
    <w:rsid w:val="008C7D16"/>
    <w:rsid w:val="008F19B8"/>
    <w:rsid w:val="009213B1"/>
    <w:rsid w:val="00922A02"/>
    <w:rsid w:val="00930229"/>
    <w:rsid w:val="00930AFA"/>
    <w:rsid w:val="009312BB"/>
    <w:rsid w:val="00956E5A"/>
    <w:rsid w:val="00963323"/>
    <w:rsid w:val="00981C55"/>
    <w:rsid w:val="00981CBD"/>
    <w:rsid w:val="00987BFE"/>
    <w:rsid w:val="009917E5"/>
    <w:rsid w:val="009A067A"/>
    <w:rsid w:val="009A37FE"/>
    <w:rsid w:val="009B0BE9"/>
    <w:rsid w:val="009D580F"/>
    <w:rsid w:val="009F6863"/>
    <w:rsid w:val="00A0323E"/>
    <w:rsid w:val="00A10806"/>
    <w:rsid w:val="00A27F0E"/>
    <w:rsid w:val="00A30278"/>
    <w:rsid w:val="00A32D39"/>
    <w:rsid w:val="00A427F8"/>
    <w:rsid w:val="00A52039"/>
    <w:rsid w:val="00A52DDB"/>
    <w:rsid w:val="00A80F7B"/>
    <w:rsid w:val="00A97FF2"/>
    <w:rsid w:val="00AA48CD"/>
    <w:rsid w:val="00AC1EA0"/>
    <w:rsid w:val="00AC3B07"/>
    <w:rsid w:val="00AC4132"/>
    <w:rsid w:val="00AE54E3"/>
    <w:rsid w:val="00AF0EDC"/>
    <w:rsid w:val="00AF3B9C"/>
    <w:rsid w:val="00B026E7"/>
    <w:rsid w:val="00B02955"/>
    <w:rsid w:val="00B10786"/>
    <w:rsid w:val="00B11E8B"/>
    <w:rsid w:val="00B24466"/>
    <w:rsid w:val="00B650BA"/>
    <w:rsid w:val="00B65EC7"/>
    <w:rsid w:val="00B82CDF"/>
    <w:rsid w:val="00B83247"/>
    <w:rsid w:val="00BB2725"/>
    <w:rsid w:val="00BB2946"/>
    <w:rsid w:val="00BD7E86"/>
    <w:rsid w:val="00BE0933"/>
    <w:rsid w:val="00C029B4"/>
    <w:rsid w:val="00C04C06"/>
    <w:rsid w:val="00C10B01"/>
    <w:rsid w:val="00C13881"/>
    <w:rsid w:val="00C216DF"/>
    <w:rsid w:val="00C24CC3"/>
    <w:rsid w:val="00C543F2"/>
    <w:rsid w:val="00C72E58"/>
    <w:rsid w:val="00C83044"/>
    <w:rsid w:val="00C90B64"/>
    <w:rsid w:val="00C924E4"/>
    <w:rsid w:val="00C96158"/>
    <w:rsid w:val="00CB1AB5"/>
    <w:rsid w:val="00CC6083"/>
    <w:rsid w:val="00CE4CAB"/>
    <w:rsid w:val="00D00CBF"/>
    <w:rsid w:val="00D057E0"/>
    <w:rsid w:val="00D32A27"/>
    <w:rsid w:val="00D72734"/>
    <w:rsid w:val="00D836BA"/>
    <w:rsid w:val="00D844DF"/>
    <w:rsid w:val="00D9473E"/>
    <w:rsid w:val="00D95BEF"/>
    <w:rsid w:val="00D9712B"/>
    <w:rsid w:val="00DA47B8"/>
    <w:rsid w:val="00DA4DF9"/>
    <w:rsid w:val="00DB7DD5"/>
    <w:rsid w:val="00DC1DF9"/>
    <w:rsid w:val="00DC4A7B"/>
    <w:rsid w:val="00DC64B9"/>
    <w:rsid w:val="00DF393C"/>
    <w:rsid w:val="00E0364D"/>
    <w:rsid w:val="00E073D0"/>
    <w:rsid w:val="00E154E1"/>
    <w:rsid w:val="00E23D0D"/>
    <w:rsid w:val="00E30A40"/>
    <w:rsid w:val="00E44F72"/>
    <w:rsid w:val="00E5239C"/>
    <w:rsid w:val="00E5482C"/>
    <w:rsid w:val="00E77527"/>
    <w:rsid w:val="00EB43FF"/>
    <w:rsid w:val="00EC3988"/>
    <w:rsid w:val="00F146AD"/>
    <w:rsid w:val="00F37019"/>
    <w:rsid w:val="00F51315"/>
    <w:rsid w:val="00F53BC8"/>
    <w:rsid w:val="00F64B13"/>
    <w:rsid w:val="00F67491"/>
    <w:rsid w:val="00F71666"/>
    <w:rsid w:val="00F80906"/>
    <w:rsid w:val="00F86AF5"/>
    <w:rsid w:val="00F9107E"/>
    <w:rsid w:val="00F96FA3"/>
    <w:rsid w:val="00FA39C3"/>
    <w:rsid w:val="00FB0AC9"/>
    <w:rsid w:val="00FB4788"/>
    <w:rsid w:val="00FB6B9B"/>
    <w:rsid w:val="07215D35"/>
    <w:rsid w:val="0DD85836"/>
    <w:rsid w:val="35365EC3"/>
    <w:rsid w:val="3E1927D9"/>
    <w:rsid w:val="4B10177B"/>
    <w:rsid w:val="4FEF3CB4"/>
    <w:rsid w:val="5C8F3194"/>
    <w:rsid w:val="5CB72415"/>
    <w:rsid w:val="646D53F4"/>
    <w:rsid w:val="6B712BE3"/>
    <w:rsid w:val="76855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156" w:after="156"/>
      <w:outlineLvl w:val="1"/>
    </w:pPr>
    <w:rPr>
      <w:szCs w:val="21"/>
    </w:rPr>
  </w:style>
  <w:style w:type="paragraph" w:styleId="3">
    <w:name w:val="heading 3"/>
    <w:basedOn w:val="1"/>
    <w:next w:val="1"/>
    <w:qFormat/>
    <w:uiPriority w:val="99"/>
    <w:pPr>
      <w:keepNext/>
      <w:keepLines/>
      <w:spacing w:before="300" w:after="300" w:line="241" w:lineRule="auto"/>
      <w:jc w:val="both"/>
      <w:outlineLvl w:val="2"/>
    </w:pPr>
    <w:rPr>
      <w:rFonts w:eastAsia="宋体"/>
      <w:szCs w:val="21"/>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5"/>
    <w:semiHidden/>
    <w:unhideWhenUsed/>
    <w:qFormat/>
    <w:uiPriority w:val="99"/>
  </w:style>
  <w:style w:type="paragraph" w:styleId="5">
    <w:name w:val="Balloon Text"/>
    <w:basedOn w:val="1"/>
    <w:link w:val="24"/>
    <w:semiHidden/>
    <w:unhideWhenUsed/>
    <w:qFormat/>
    <w:uiPriority w:val="99"/>
    <w:rPr>
      <w:sz w:val="18"/>
      <w:szCs w:val="18"/>
    </w:rPr>
  </w:style>
  <w:style w:type="paragraph" w:styleId="6">
    <w:name w:val="footer"/>
    <w:basedOn w:val="1"/>
    <w:link w:val="28"/>
    <w:unhideWhenUsed/>
    <w:qFormat/>
    <w:uiPriority w:val="99"/>
    <w:pPr>
      <w:tabs>
        <w:tab w:val="center" w:pos="4153"/>
        <w:tab w:val="right" w:pos="8306"/>
      </w:tabs>
      <w:snapToGrid w:val="0"/>
    </w:pPr>
    <w:rPr>
      <w:sz w:val="18"/>
      <w:szCs w:val="18"/>
    </w:rPr>
  </w:style>
  <w:style w:type="paragraph" w:styleId="7">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autoRedefine/>
    <w:qFormat/>
    <w:uiPriority w:val="39"/>
    <w:pPr>
      <w:tabs>
        <w:tab w:val="left" w:leader="dot" w:pos="9469"/>
      </w:tabs>
      <w:spacing w:line="360" w:lineRule="auto"/>
    </w:pPr>
  </w:style>
  <w:style w:type="paragraph" w:styleId="9">
    <w:name w:val="toc 2"/>
    <w:basedOn w:val="1"/>
    <w:next w:val="1"/>
    <w:autoRedefine/>
    <w:unhideWhenUsed/>
    <w:qFormat/>
    <w:uiPriority w:val="39"/>
    <w:pPr>
      <w:ind w:left="420" w:leftChars="200"/>
    </w:pPr>
  </w:style>
  <w:style w:type="paragraph" w:styleId="10">
    <w:name w:val="Normal (Web)"/>
    <w:basedOn w:val="1"/>
    <w:unhideWhenUsed/>
    <w:qFormat/>
    <w:uiPriority w:val="99"/>
    <w:pPr>
      <w:widowControl/>
      <w:spacing w:before="100" w:beforeAutospacing="1" w:after="100" w:afterAutospacing="1"/>
    </w:pPr>
    <w:rPr>
      <w:rFonts w:ascii="宋体" w:hAnsi="宋体" w:eastAsia="宋体" w:cs="宋体"/>
      <w:kern w:val="0"/>
      <w:sz w:val="24"/>
      <w:szCs w:val="24"/>
    </w:rPr>
  </w:style>
  <w:style w:type="paragraph" w:styleId="11">
    <w:name w:val="annotation subject"/>
    <w:basedOn w:val="4"/>
    <w:next w:val="4"/>
    <w:link w:val="26"/>
    <w:semiHidden/>
    <w:unhideWhenUsed/>
    <w:qFormat/>
    <w:uiPriority w:val="99"/>
    <w:rPr>
      <w:b/>
      <w:bCs/>
    </w:rPr>
  </w:style>
  <w:style w:type="character" w:styleId="14">
    <w:name w:val="Strong"/>
    <w:basedOn w:val="13"/>
    <w:qFormat/>
    <w:uiPriority w:val="22"/>
    <w:rPr>
      <w:b/>
      <w:bCs/>
    </w:rPr>
  </w:style>
  <w:style w:type="character" w:styleId="15">
    <w:name w:val="Emphasis"/>
    <w:basedOn w:val="13"/>
    <w:qFormat/>
    <w:uiPriority w:val="20"/>
    <w:rPr>
      <w:i/>
      <w:iCs/>
    </w:rPr>
  </w:style>
  <w:style w:type="character" w:styleId="16">
    <w:name w:val="annotation reference"/>
    <w:basedOn w:val="13"/>
    <w:semiHidden/>
    <w:unhideWhenUsed/>
    <w:qFormat/>
    <w:uiPriority w:val="99"/>
    <w:rPr>
      <w:sz w:val="21"/>
      <w:szCs w:val="21"/>
    </w:rPr>
  </w:style>
  <w:style w:type="paragraph" w:customStyle="1" w:styleId="17">
    <w:name w:val="Header 1"/>
    <w:qFormat/>
    <w:uiPriority w:val="0"/>
    <w:pPr>
      <w:jc w:val="right"/>
    </w:pPr>
    <w:rPr>
      <w:rFonts w:ascii="宋体" w:eastAsia="宋体" w:hAnsiTheme="minorHAnsi" w:cstheme="minorBidi"/>
      <w:kern w:val="2"/>
      <w:sz w:val="18"/>
      <w:szCs w:val="18"/>
      <w:lang w:val="en-US" w:eastAsia="zh-CN" w:bidi="ar-SA"/>
    </w:rPr>
  </w:style>
  <w:style w:type="paragraph" w:customStyle="1" w:styleId="18">
    <w:name w:val="heading h1"/>
    <w:basedOn w:val="1"/>
    <w:next w:val="1"/>
    <w:qFormat/>
    <w:uiPriority w:val="9"/>
    <w:pPr>
      <w:keepNext/>
      <w:keepLines/>
      <w:spacing w:before="240" w:after="240" w:line="578" w:lineRule="auto"/>
      <w:outlineLvl w:val="0"/>
    </w:pPr>
    <w:rPr>
      <w:kern w:val="44"/>
      <w:sz w:val="44"/>
      <w:szCs w:val="44"/>
    </w:rPr>
  </w:style>
  <w:style w:type="paragraph" w:customStyle="1" w:styleId="19">
    <w:name w:val="fotter 1"/>
    <w:qFormat/>
    <w:uiPriority w:val="0"/>
    <w:pPr>
      <w:jc w:val="right"/>
    </w:pPr>
    <w:rPr>
      <w:rFonts w:ascii="宋体" w:eastAsia="宋体" w:hAnsiTheme="minorHAnsi" w:cstheme="minorBidi"/>
      <w:kern w:val="2"/>
      <w:sz w:val="18"/>
      <w:szCs w:val="18"/>
      <w:lang w:val="en-US" w:eastAsia="zh-CN" w:bidi="ar-SA"/>
    </w:rPr>
  </w:style>
  <w:style w:type="paragraph" w:customStyle="1" w:styleId="20">
    <w:name w:val="17"/>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21">
    <w:name w:val="18"/>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22">
    <w:name w:val="16"/>
    <w:basedOn w:val="1"/>
    <w:qFormat/>
    <w:uiPriority w:val="0"/>
    <w:pPr>
      <w:widowControl/>
      <w:spacing w:before="100" w:beforeAutospacing="1" w:after="100" w:afterAutospacing="1"/>
    </w:pPr>
    <w:rPr>
      <w:rFonts w:ascii="宋体" w:hAnsi="宋体" w:eastAsia="宋体" w:cs="宋体"/>
      <w:kern w:val="0"/>
      <w:sz w:val="24"/>
      <w:szCs w:val="24"/>
    </w:rPr>
  </w:style>
  <w:style w:type="character" w:customStyle="1" w:styleId="23">
    <w:name w:val="15"/>
    <w:basedOn w:val="13"/>
    <w:qFormat/>
    <w:uiPriority w:val="0"/>
  </w:style>
  <w:style w:type="character" w:customStyle="1" w:styleId="24">
    <w:name w:val="批注框文本 Char"/>
    <w:basedOn w:val="13"/>
    <w:link w:val="5"/>
    <w:semiHidden/>
    <w:qFormat/>
    <w:uiPriority w:val="99"/>
    <w:rPr>
      <w:sz w:val="18"/>
      <w:szCs w:val="18"/>
    </w:rPr>
  </w:style>
  <w:style w:type="character" w:customStyle="1" w:styleId="25">
    <w:name w:val="批注文字 Char"/>
    <w:basedOn w:val="13"/>
    <w:link w:val="4"/>
    <w:semiHidden/>
    <w:qFormat/>
    <w:uiPriority w:val="99"/>
  </w:style>
  <w:style w:type="character" w:customStyle="1" w:styleId="26">
    <w:name w:val="批注主题 Char"/>
    <w:basedOn w:val="25"/>
    <w:link w:val="11"/>
    <w:semiHidden/>
    <w:qFormat/>
    <w:uiPriority w:val="99"/>
    <w:rPr>
      <w:b/>
      <w:bCs/>
    </w:rPr>
  </w:style>
  <w:style w:type="character" w:customStyle="1" w:styleId="27">
    <w:name w:val="页眉 Char"/>
    <w:basedOn w:val="13"/>
    <w:link w:val="7"/>
    <w:qFormat/>
    <w:uiPriority w:val="99"/>
    <w:rPr>
      <w:sz w:val="18"/>
      <w:szCs w:val="18"/>
    </w:rPr>
  </w:style>
  <w:style w:type="character" w:customStyle="1" w:styleId="28">
    <w:name w:val="页脚 Char"/>
    <w:basedOn w:val="13"/>
    <w:link w:val="6"/>
    <w:qFormat/>
    <w:uiPriority w:val="99"/>
    <w:rPr>
      <w:sz w:val="18"/>
      <w:szCs w:val="18"/>
    </w:rPr>
  </w:style>
  <w:style w:type="paragraph" w:customStyle="1" w:styleId="29">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215</Pages>
  <Words>13281</Words>
  <Characters>15323</Characters>
  <Lines>1425</Lines>
  <Paragraphs>401</Paragraphs>
  <TotalTime>154</TotalTime>
  <ScaleCrop>false</ScaleCrop>
  <LinksUpToDate>false</LinksUpToDate>
  <CharactersWithSpaces>15388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2025-04-20T10:54:00Z</dcterms:created>
  <dc:creator>黄舒倩</dc:creator>
  <cp:lastModifiedBy>黄舒倩</cp:lastModifiedBy>
  <cp:lastPrinted>2025-04-21T09:58:00Z</cp:lastPrinted>
  <dcterms:modified xsi:type="dcterms:W3CDTF">2025-04-22T08:04:22Z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2052-12.1.0.20784</vt:lpwstr>
  </property>
  <property fmtid="{D5CDD505-2E9C-101B-9397-08002B2CF9AE}" pid="4" name="ICV">
    <vt:lpwstr>986E30697792430487DE804ACFB068E6_12</vt:lpwstr>
  </property>
</Properties>
</file>