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59D2" w:rsidRDefault="00D75A68">
      <w:pPr>
        <w:spacing w:before="200" w:line="288" w:lineRule="auto"/>
        <w:jc w:val="center"/>
        <w:rPr>
          <w:rFonts w:ascii="仿宋" w:eastAsia="仿宋" w:hAnsi="仿宋" w:cs="宋体"/>
          <w:kern w:val="2"/>
          <w:sz w:val="24"/>
          <w:szCs w:val="24"/>
        </w:rPr>
      </w:pPr>
      <w:r>
        <w:rPr>
          <w:rFonts w:ascii="仿宋" w:eastAsia="仿宋" w:hAnsi="仿宋" w:cs="宋体"/>
          <w:kern w:val="2"/>
          <w:sz w:val="24"/>
          <w:szCs w:val="24"/>
        </w:rPr>
        <w:t>证券代码：301178                证券简称：天亿马           公告编号：2025-032</w:t>
      </w:r>
    </w:p>
    <w:p w:rsidR="004659D2" w:rsidRPr="00A911F5" w:rsidRDefault="00D75A68" w:rsidP="003B4DCF">
      <w:pPr>
        <w:spacing w:beforeLines="100" w:before="312" w:afterLines="100" w:after="312" w:line="288" w:lineRule="auto"/>
        <w:jc w:val="center"/>
        <w:rPr>
          <w:rFonts w:ascii="黑体" w:eastAsia="黑体" w:hAnsi="黑体" w:cs="宋体"/>
          <w:bCs/>
          <w:kern w:val="2"/>
          <w:sz w:val="32"/>
          <w:szCs w:val="32"/>
        </w:rPr>
      </w:pPr>
      <w:r w:rsidRPr="00A911F5">
        <w:rPr>
          <w:rFonts w:ascii="黑体" w:eastAsia="黑体" w:hAnsi="黑体" w:cs="宋体"/>
          <w:bCs/>
          <w:kern w:val="2"/>
          <w:sz w:val="32"/>
          <w:szCs w:val="32"/>
        </w:rPr>
        <w:t>广东天亿马信息产业股份有限公司</w:t>
      </w:r>
    </w:p>
    <w:p w:rsidR="004659D2" w:rsidRPr="00A911F5" w:rsidRDefault="00D75A68" w:rsidP="003B4DCF">
      <w:pPr>
        <w:spacing w:beforeLines="100" w:before="312" w:afterLines="100" w:after="312" w:line="288" w:lineRule="auto"/>
        <w:jc w:val="center"/>
        <w:rPr>
          <w:rFonts w:ascii="黑体" w:eastAsia="黑体" w:hAnsi="黑体" w:cs="宋体"/>
          <w:bCs/>
          <w:kern w:val="2"/>
          <w:sz w:val="32"/>
          <w:szCs w:val="32"/>
        </w:rPr>
      </w:pPr>
      <w:r w:rsidRPr="00A911F5">
        <w:rPr>
          <w:rFonts w:ascii="黑体" w:eastAsia="黑体" w:hAnsi="黑体" w:cs="宋体"/>
          <w:bCs/>
          <w:kern w:val="2"/>
          <w:sz w:val="32"/>
          <w:szCs w:val="32"/>
        </w:rPr>
        <w:t>2024年年度报告摘要</w:t>
      </w:r>
    </w:p>
    <w:p w:rsidR="004659D2" w:rsidRPr="00DD1120" w:rsidRDefault="00D75A68" w:rsidP="004E3280">
      <w:pPr>
        <w:pStyle w:val="2"/>
        <w:spacing w:before="0" w:after="0" w:line="288" w:lineRule="auto"/>
        <w:rPr>
          <w:rFonts w:ascii="仿宋" w:eastAsia="仿宋" w:hAnsi="仿宋" w:cs="宋体"/>
          <w:b/>
          <w:bCs/>
          <w:sz w:val="28"/>
          <w:szCs w:val="24"/>
        </w:rPr>
      </w:pPr>
      <w:bookmarkStart w:id="0" w:name="_Toc988889"/>
      <w:bookmarkStart w:id="1" w:name="_Toc988890"/>
      <w:r w:rsidRPr="00DD1120">
        <w:rPr>
          <w:rFonts w:ascii="仿宋" w:eastAsia="仿宋" w:hAnsi="仿宋" w:cs="宋体"/>
          <w:b/>
          <w:bCs/>
          <w:sz w:val="28"/>
          <w:szCs w:val="24"/>
        </w:rPr>
        <w:t>一、重要提示</w:t>
      </w:r>
      <w:bookmarkEnd w:id="0"/>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本年度报告摘要来自年度报告全文，为全面了解本公司的经营成果、财务状况及未来发展规划，投资者应当到证监会指定媒体仔细阅读年度报告全文。</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所有董事均已出席了审议本报告的董事会会议。</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中审亚太会计师事务所（特殊普通合伙）对本年度公司财务报告的审计意见为：标准无保留意见。</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本报告期会计师事务所变更情况：</w:t>
      </w:r>
      <w:r w:rsidR="00A5270D">
        <w:rPr>
          <w:rFonts w:ascii="仿宋" w:eastAsia="仿宋" w:hAnsi="仿宋" w:cs="宋体" w:hint="eastAsia"/>
          <w:sz w:val="24"/>
          <w:szCs w:val="24"/>
        </w:rPr>
        <w:t>无</w:t>
      </w:r>
      <w:r>
        <w:rPr>
          <w:rFonts w:ascii="仿宋" w:eastAsia="仿宋" w:hAnsi="仿宋" w:cs="宋体"/>
          <w:sz w:val="24"/>
          <w:szCs w:val="24"/>
        </w:rPr>
        <w:t>。</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非标准审计意见提示</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 xml:space="preserve">□适用 </w:t>
      </w:r>
      <w:r>
        <w:rPr>
          <w:rFonts w:ascii="仿宋" w:eastAsia="仿宋" w:hAnsi="仿宋" w:cs="宋体"/>
          <w:sz w:val="24"/>
          <w:szCs w:val="24"/>
        </w:rPr>
        <w:sym w:font="Wingdings 2" w:char="F052"/>
      </w:r>
      <w:r>
        <w:rPr>
          <w:rFonts w:ascii="仿宋" w:eastAsia="仿宋" w:hAnsi="仿宋" w:cs="宋体"/>
          <w:sz w:val="24"/>
          <w:szCs w:val="24"/>
        </w:rPr>
        <w:t>不适用</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公司上市时未盈利且目前未实现盈利</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 xml:space="preserve">□适用 </w:t>
      </w:r>
      <w:r>
        <w:rPr>
          <w:rFonts w:ascii="仿宋" w:eastAsia="仿宋" w:hAnsi="仿宋" w:cs="宋体"/>
          <w:sz w:val="24"/>
          <w:szCs w:val="24"/>
        </w:rPr>
        <w:sym w:font="Wingdings 2" w:char="F052"/>
      </w:r>
      <w:r>
        <w:rPr>
          <w:rFonts w:ascii="仿宋" w:eastAsia="仿宋" w:hAnsi="仿宋" w:cs="宋体"/>
          <w:sz w:val="24"/>
          <w:szCs w:val="24"/>
        </w:rPr>
        <w:t>不适用</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董事会审议的报告期利润分配预案或公积金转增股本预案</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 xml:space="preserve">□适用 </w:t>
      </w:r>
      <w:r>
        <w:rPr>
          <w:rFonts w:ascii="仿宋" w:eastAsia="仿宋" w:hAnsi="仿宋" w:cs="宋体"/>
          <w:sz w:val="24"/>
          <w:szCs w:val="24"/>
        </w:rPr>
        <w:sym w:font="Wingdings 2" w:char="F052"/>
      </w:r>
      <w:r>
        <w:rPr>
          <w:rFonts w:ascii="仿宋" w:eastAsia="仿宋" w:hAnsi="仿宋" w:cs="宋体"/>
          <w:sz w:val="24"/>
          <w:szCs w:val="24"/>
        </w:rPr>
        <w:t>不适用</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公司计划不派发现金红利，不送红股，不以公积金转增股本。</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董事会决议通过的本报告期优先股利润分配预案</w:t>
      </w:r>
    </w:p>
    <w:p w:rsidR="004659D2" w:rsidRDefault="00D75A68" w:rsidP="003B4DCF">
      <w:pPr>
        <w:spacing w:line="288" w:lineRule="auto"/>
        <w:ind w:firstLineChars="200" w:firstLine="480"/>
        <w:rPr>
          <w:rFonts w:ascii="仿宋" w:eastAsia="仿宋" w:hAnsi="仿宋" w:cs="宋体"/>
          <w:sz w:val="24"/>
          <w:szCs w:val="24"/>
        </w:rPr>
      </w:pPr>
      <w:r>
        <w:rPr>
          <w:rFonts w:ascii="仿宋" w:eastAsia="仿宋" w:hAnsi="仿宋" w:cs="宋体"/>
          <w:sz w:val="24"/>
          <w:szCs w:val="24"/>
        </w:rPr>
        <w:t xml:space="preserve">□适用 </w:t>
      </w:r>
      <w:r>
        <w:rPr>
          <w:rFonts w:ascii="仿宋" w:eastAsia="仿宋" w:hAnsi="仿宋" w:cs="宋体"/>
          <w:sz w:val="24"/>
          <w:szCs w:val="24"/>
        </w:rPr>
        <w:sym w:font="Wingdings 2" w:char="F052"/>
      </w:r>
      <w:r>
        <w:rPr>
          <w:rFonts w:ascii="仿宋" w:eastAsia="仿宋" w:hAnsi="仿宋" w:cs="宋体"/>
          <w:sz w:val="24"/>
          <w:szCs w:val="24"/>
        </w:rPr>
        <w:t>不适用</w:t>
      </w:r>
    </w:p>
    <w:p w:rsidR="004659D2" w:rsidRPr="00DD1120" w:rsidRDefault="00D75A68" w:rsidP="004E3280">
      <w:pPr>
        <w:pStyle w:val="2"/>
        <w:spacing w:before="0" w:after="0" w:line="288" w:lineRule="auto"/>
        <w:rPr>
          <w:rFonts w:ascii="仿宋" w:eastAsia="仿宋" w:hAnsi="仿宋" w:cs="宋体"/>
          <w:b/>
          <w:bCs/>
          <w:sz w:val="28"/>
          <w:szCs w:val="24"/>
        </w:rPr>
      </w:pPr>
      <w:r w:rsidRPr="00DD1120">
        <w:rPr>
          <w:rFonts w:ascii="仿宋" w:eastAsia="仿宋" w:hAnsi="仿宋" w:cs="宋体" w:hint="eastAsia"/>
          <w:b/>
          <w:bCs/>
          <w:sz w:val="28"/>
          <w:szCs w:val="24"/>
        </w:rPr>
        <w:t>二、公司基本情况</w:t>
      </w:r>
      <w:bookmarkEnd w:id="1"/>
    </w:p>
    <w:p w:rsidR="004659D2" w:rsidRPr="00DD1120" w:rsidRDefault="00D75A68" w:rsidP="004E3280">
      <w:pPr>
        <w:keepNext/>
        <w:keepLines/>
        <w:spacing w:beforeLines="50" w:before="156" w:afterLines="50" w:after="156" w:line="280" w:lineRule="exact"/>
        <w:jc w:val="left"/>
        <w:outlineLvl w:val="1"/>
        <w:rPr>
          <w:rFonts w:ascii="仿宋" w:eastAsia="仿宋" w:hAnsi="仿宋" w:cs="仿宋"/>
          <w:b/>
          <w:bCs/>
          <w:sz w:val="28"/>
          <w:szCs w:val="21"/>
        </w:rPr>
      </w:pPr>
      <w:bookmarkStart w:id="2" w:name="_Toc988891"/>
      <w:r w:rsidRPr="00DD1120">
        <w:rPr>
          <w:rFonts w:ascii="仿宋" w:eastAsia="仿宋" w:hAnsi="仿宋" w:cs="仿宋" w:hint="eastAsia"/>
          <w:b/>
          <w:bCs/>
          <w:sz w:val="28"/>
          <w:szCs w:val="21"/>
        </w:rPr>
        <w:t>1</w:t>
      </w:r>
      <w:r w:rsidR="003B4DCF" w:rsidRPr="00DD1120">
        <w:rPr>
          <w:rFonts w:ascii="仿宋" w:eastAsia="仿宋" w:hAnsi="仿宋" w:cs="仿宋" w:hint="eastAsia"/>
          <w:b/>
          <w:bCs/>
          <w:sz w:val="28"/>
          <w:szCs w:val="21"/>
        </w:rPr>
        <w:t>.</w:t>
      </w:r>
      <w:r w:rsidRPr="00DD1120">
        <w:rPr>
          <w:rFonts w:ascii="仿宋" w:eastAsia="仿宋" w:hAnsi="仿宋" w:cs="仿宋" w:hint="eastAsia"/>
          <w:b/>
          <w:bCs/>
          <w:sz w:val="28"/>
          <w:szCs w:val="21"/>
        </w:rPr>
        <w:t>公司简介</w:t>
      </w:r>
      <w:bookmarkEnd w:id="2"/>
    </w:p>
    <w:tbl>
      <w:tblPr>
        <w:tblW w:w="964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509"/>
        <w:gridCol w:w="3965"/>
        <w:gridCol w:w="1388"/>
        <w:gridCol w:w="2778"/>
      </w:tblGrid>
      <w:tr w:rsidR="004659D2">
        <w:trPr>
          <w:trHeight w:val="240"/>
        </w:trPr>
        <w:tc>
          <w:tcPr>
            <w:tcW w:w="1509" w:type="dxa"/>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股票简称</w:t>
            </w:r>
          </w:p>
        </w:tc>
        <w:tc>
          <w:tcPr>
            <w:tcW w:w="3965" w:type="dxa"/>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天亿马</w:t>
            </w:r>
          </w:p>
        </w:tc>
        <w:tc>
          <w:tcPr>
            <w:tcW w:w="1388" w:type="dxa"/>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center"/>
              <w:rPr>
                <w:rFonts w:ascii="仿宋" w:eastAsia="仿宋" w:hAnsi="仿宋" w:cs="仿宋"/>
                <w:sz w:val="24"/>
                <w:szCs w:val="24"/>
              </w:rPr>
            </w:pPr>
            <w:r>
              <w:rPr>
                <w:rFonts w:ascii="仿宋" w:eastAsia="仿宋" w:hAnsi="仿宋" w:cs="仿宋" w:hint="eastAsia"/>
                <w:sz w:val="24"/>
                <w:szCs w:val="24"/>
              </w:rPr>
              <w:t>股票代码</w:t>
            </w:r>
          </w:p>
        </w:tc>
        <w:tc>
          <w:tcPr>
            <w:tcW w:w="2778" w:type="dxa"/>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301178</w:t>
            </w:r>
          </w:p>
        </w:tc>
      </w:tr>
      <w:tr w:rsidR="004659D2">
        <w:trPr>
          <w:trHeight w:val="240"/>
        </w:trPr>
        <w:tc>
          <w:tcPr>
            <w:tcW w:w="1509" w:type="dxa"/>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股票上市交易所</w:t>
            </w:r>
          </w:p>
        </w:tc>
        <w:tc>
          <w:tcPr>
            <w:tcW w:w="8131" w:type="dxa"/>
            <w:gridSpan w:val="3"/>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深圳证券交易所</w:t>
            </w:r>
          </w:p>
        </w:tc>
      </w:tr>
      <w:tr w:rsidR="004659D2">
        <w:trPr>
          <w:trHeight w:val="240"/>
        </w:trPr>
        <w:tc>
          <w:tcPr>
            <w:tcW w:w="1509" w:type="dxa"/>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联系人和联系方式</w:t>
            </w:r>
          </w:p>
        </w:tc>
        <w:tc>
          <w:tcPr>
            <w:tcW w:w="3965" w:type="dxa"/>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center"/>
              <w:rPr>
                <w:rFonts w:ascii="仿宋" w:eastAsia="仿宋" w:hAnsi="仿宋" w:cs="仿宋"/>
                <w:sz w:val="24"/>
                <w:szCs w:val="24"/>
              </w:rPr>
            </w:pPr>
            <w:r>
              <w:rPr>
                <w:rFonts w:ascii="仿宋" w:eastAsia="仿宋" w:hAnsi="仿宋" w:cs="仿宋" w:hint="eastAsia"/>
                <w:sz w:val="24"/>
                <w:szCs w:val="24"/>
              </w:rPr>
              <w:t>董事会秘书</w:t>
            </w:r>
          </w:p>
        </w:tc>
        <w:tc>
          <w:tcPr>
            <w:tcW w:w="416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center"/>
              <w:rPr>
                <w:rFonts w:ascii="仿宋" w:eastAsia="仿宋" w:hAnsi="仿宋" w:cs="仿宋"/>
                <w:sz w:val="24"/>
                <w:szCs w:val="24"/>
              </w:rPr>
            </w:pPr>
            <w:r>
              <w:rPr>
                <w:rFonts w:ascii="仿宋" w:eastAsia="仿宋" w:hAnsi="仿宋" w:cs="仿宋" w:hint="eastAsia"/>
                <w:sz w:val="24"/>
                <w:szCs w:val="24"/>
              </w:rPr>
              <w:t>证券事务代表</w:t>
            </w:r>
          </w:p>
        </w:tc>
      </w:tr>
      <w:tr w:rsidR="004659D2">
        <w:trPr>
          <w:trHeight w:val="385"/>
        </w:trPr>
        <w:tc>
          <w:tcPr>
            <w:tcW w:w="1509" w:type="dxa"/>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姓名</w:t>
            </w:r>
          </w:p>
        </w:tc>
        <w:tc>
          <w:tcPr>
            <w:tcW w:w="3965" w:type="dxa"/>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曹维</w:t>
            </w:r>
          </w:p>
        </w:tc>
        <w:tc>
          <w:tcPr>
            <w:tcW w:w="4166" w:type="dxa"/>
            <w:gridSpan w:val="2"/>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黄舒倩</w:t>
            </w:r>
          </w:p>
        </w:tc>
      </w:tr>
      <w:tr w:rsidR="004659D2">
        <w:trPr>
          <w:trHeight w:val="557"/>
        </w:trPr>
        <w:tc>
          <w:tcPr>
            <w:tcW w:w="1509" w:type="dxa"/>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办公地址</w:t>
            </w:r>
          </w:p>
        </w:tc>
        <w:tc>
          <w:tcPr>
            <w:tcW w:w="3965" w:type="dxa"/>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广东省汕头市海滨路 55 号海逸投资大厦 4-5 楼</w:t>
            </w:r>
          </w:p>
        </w:tc>
        <w:tc>
          <w:tcPr>
            <w:tcW w:w="4166" w:type="dxa"/>
            <w:gridSpan w:val="2"/>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广东省汕头市海滨路 55 号海逸投资大厦 4-5 楼</w:t>
            </w:r>
          </w:p>
        </w:tc>
      </w:tr>
      <w:tr w:rsidR="004659D2">
        <w:trPr>
          <w:trHeight w:val="339"/>
        </w:trPr>
        <w:tc>
          <w:tcPr>
            <w:tcW w:w="1509" w:type="dxa"/>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传真</w:t>
            </w:r>
          </w:p>
        </w:tc>
        <w:tc>
          <w:tcPr>
            <w:tcW w:w="3965" w:type="dxa"/>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0754-88983999</w:t>
            </w:r>
          </w:p>
        </w:tc>
        <w:tc>
          <w:tcPr>
            <w:tcW w:w="4166" w:type="dxa"/>
            <w:gridSpan w:val="2"/>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0754-88983999</w:t>
            </w:r>
          </w:p>
        </w:tc>
      </w:tr>
      <w:tr w:rsidR="004659D2">
        <w:trPr>
          <w:trHeight w:val="350"/>
        </w:trPr>
        <w:tc>
          <w:tcPr>
            <w:tcW w:w="1509" w:type="dxa"/>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电话</w:t>
            </w:r>
          </w:p>
        </w:tc>
        <w:tc>
          <w:tcPr>
            <w:tcW w:w="3965" w:type="dxa"/>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0754-88880666</w:t>
            </w:r>
          </w:p>
        </w:tc>
        <w:tc>
          <w:tcPr>
            <w:tcW w:w="4166" w:type="dxa"/>
            <w:gridSpan w:val="2"/>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0754-88880666</w:t>
            </w:r>
          </w:p>
        </w:tc>
      </w:tr>
      <w:tr w:rsidR="004659D2">
        <w:trPr>
          <w:trHeight w:val="379"/>
        </w:trPr>
        <w:tc>
          <w:tcPr>
            <w:tcW w:w="1509" w:type="dxa"/>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电子信箱</w:t>
            </w:r>
          </w:p>
        </w:tc>
        <w:tc>
          <w:tcPr>
            <w:tcW w:w="3965" w:type="dxa"/>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Securities@tym.com.cn</w:t>
            </w:r>
          </w:p>
        </w:tc>
        <w:tc>
          <w:tcPr>
            <w:tcW w:w="4166" w:type="dxa"/>
            <w:gridSpan w:val="2"/>
            <w:tcBorders>
              <w:top w:val="single" w:sz="2" w:space="0" w:color="auto"/>
              <w:left w:val="single" w:sz="2" w:space="0" w:color="auto"/>
              <w:bottom w:val="single" w:sz="2" w:space="0" w:color="auto"/>
              <w:right w:val="single" w:sz="2" w:space="0" w:color="auto"/>
            </w:tcBorders>
            <w:vAlign w:val="center"/>
          </w:tcPr>
          <w:p w:rsidR="004659D2" w:rsidRDefault="00D75A68">
            <w:pPr>
              <w:spacing w:line="240" w:lineRule="exact"/>
              <w:jc w:val="left"/>
              <w:rPr>
                <w:rFonts w:ascii="仿宋" w:eastAsia="仿宋" w:hAnsi="仿宋" w:cs="仿宋"/>
                <w:sz w:val="24"/>
                <w:szCs w:val="24"/>
              </w:rPr>
            </w:pPr>
            <w:r>
              <w:rPr>
                <w:rFonts w:ascii="仿宋" w:eastAsia="仿宋" w:hAnsi="仿宋" w:cs="仿宋" w:hint="eastAsia"/>
                <w:sz w:val="24"/>
                <w:szCs w:val="24"/>
              </w:rPr>
              <w:t>Securities@tym.com.cn</w:t>
            </w:r>
          </w:p>
        </w:tc>
      </w:tr>
    </w:tbl>
    <w:p w:rsidR="004659D2" w:rsidRPr="004E3280" w:rsidRDefault="00D75A68" w:rsidP="004E3280">
      <w:pPr>
        <w:keepNext/>
        <w:keepLines/>
        <w:spacing w:beforeLines="50" w:before="156" w:afterLines="50" w:after="156" w:line="280" w:lineRule="exact"/>
        <w:jc w:val="left"/>
        <w:outlineLvl w:val="1"/>
        <w:rPr>
          <w:rFonts w:ascii="仿宋" w:eastAsia="仿宋" w:hAnsi="仿宋" w:cs="仿宋"/>
          <w:b/>
          <w:bCs/>
          <w:sz w:val="28"/>
          <w:szCs w:val="21"/>
        </w:rPr>
      </w:pPr>
      <w:bookmarkStart w:id="3" w:name="_Toc988892"/>
      <w:r w:rsidRPr="004E3280">
        <w:rPr>
          <w:rFonts w:ascii="仿宋" w:eastAsia="仿宋" w:hAnsi="仿宋" w:cs="仿宋" w:hint="eastAsia"/>
          <w:b/>
          <w:bCs/>
          <w:sz w:val="28"/>
          <w:szCs w:val="21"/>
        </w:rPr>
        <w:lastRenderedPageBreak/>
        <w:t>2</w:t>
      </w:r>
      <w:r w:rsidR="003B4DCF" w:rsidRPr="004E3280">
        <w:rPr>
          <w:rFonts w:ascii="仿宋" w:eastAsia="仿宋" w:hAnsi="仿宋" w:cs="仿宋" w:hint="eastAsia"/>
          <w:b/>
          <w:bCs/>
          <w:sz w:val="28"/>
          <w:szCs w:val="21"/>
        </w:rPr>
        <w:t>.</w:t>
      </w:r>
      <w:r w:rsidRPr="004E3280">
        <w:rPr>
          <w:rFonts w:ascii="仿宋" w:eastAsia="仿宋" w:hAnsi="仿宋" w:cs="仿宋" w:hint="eastAsia"/>
          <w:b/>
          <w:bCs/>
          <w:sz w:val="28"/>
          <w:szCs w:val="21"/>
        </w:rPr>
        <w:t>报告期主要业务或产品简介</w:t>
      </w:r>
      <w:bookmarkEnd w:id="3"/>
    </w:p>
    <w:p w:rsidR="004659D2" w:rsidRDefault="003D7AF7">
      <w:pPr>
        <w:pStyle w:val="a3"/>
        <w:widowControl/>
        <w:spacing w:before="120" w:beforeAutospacing="0" w:after="120" w:afterAutospacing="0" w:line="288" w:lineRule="auto"/>
        <w:ind w:firstLine="480"/>
        <w:jc w:val="both"/>
        <w:rPr>
          <w:rFonts w:ascii="仿宋" w:eastAsia="仿宋" w:hAnsi="仿宋" w:cs="仿宋"/>
          <w:szCs w:val="24"/>
        </w:rPr>
      </w:pPr>
      <w:r w:rsidRPr="003D7AF7">
        <w:rPr>
          <w:rFonts w:ascii="仿宋" w:eastAsia="仿宋" w:hAnsi="仿宋" w:cs="仿宋" w:hint="eastAsia"/>
          <w:color w:val="000000"/>
          <w:szCs w:val="24"/>
        </w:rPr>
        <w:t>广东天亿马信息产业股份有限公司</w:t>
      </w:r>
      <w:r>
        <w:rPr>
          <w:rFonts w:ascii="仿宋" w:eastAsia="仿宋" w:hAnsi="仿宋" w:cs="仿宋" w:hint="eastAsia"/>
          <w:color w:val="000000"/>
          <w:szCs w:val="24"/>
        </w:rPr>
        <w:t>（以下简称“天亿马”“公司”）</w:t>
      </w:r>
      <w:r w:rsidR="00D75A68">
        <w:rPr>
          <w:rFonts w:ascii="仿宋" w:eastAsia="仿宋" w:hAnsi="仿宋" w:cs="仿宋" w:hint="eastAsia"/>
          <w:color w:val="000000"/>
          <w:szCs w:val="24"/>
        </w:rPr>
        <w:t>系一家智慧城市解决方案提供商，致力于融合应用物联网、大数据、云计算、GIS、人工智能等新一代信息技术，为</w:t>
      </w:r>
      <w:r w:rsidR="00D75A68">
        <w:rPr>
          <w:rFonts w:ascii="仿宋" w:eastAsia="仿宋" w:hAnsi="仿宋" w:cs="仿宋" w:hint="eastAsia"/>
          <w:color w:val="000000"/>
          <w:spacing w:val="8"/>
          <w:szCs w:val="24"/>
        </w:rPr>
        <w:t>智慧政务、智慧教育、智慧医疗等领域</w:t>
      </w:r>
      <w:r w:rsidR="00D75A68">
        <w:rPr>
          <w:rFonts w:ascii="仿宋" w:eastAsia="仿宋" w:hAnsi="仿宋" w:cs="仿宋" w:hint="eastAsia"/>
          <w:color w:val="000000"/>
          <w:szCs w:val="24"/>
        </w:rPr>
        <w:t>客户提供项目总体规划、方案设计、软件研发、项目实施及运维服务一体化的信息技术解决方案。公司构建了产品研发、信息技术解决方案和信息系统运维服务三大核心业务体系，</w:t>
      </w:r>
      <w:r w:rsidR="00D75A68">
        <w:rPr>
          <w:rFonts w:ascii="仿宋" w:eastAsia="仿宋" w:hAnsi="仿宋" w:cs="仿宋" w:hint="eastAsia"/>
          <w:szCs w:val="24"/>
        </w:rPr>
        <w:t>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w:t>
      </w:r>
      <w:r w:rsidR="00D75A68">
        <w:rPr>
          <w:rFonts w:ascii="仿宋" w:eastAsia="仿宋" w:hAnsi="仿宋" w:cs="仿宋" w:hint="eastAsia"/>
          <w:color w:val="000000"/>
          <w:szCs w:val="24"/>
        </w:rPr>
        <w:t>，累计在20多个省份落地超1,000个案例。</w:t>
      </w:r>
    </w:p>
    <w:p w:rsidR="004659D2" w:rsidRPr="00F64A0E" w:rsidRDefault="00D75A68" w:rsidP="00F64A0E">
      <w:pPr>
        <w:pStyle w:val="a3"/>
        <w:widowControl/>
        <w:spacing w:before="120" w:beforeAutospacing="0" w:after="120" w:afterAutospacing="0" w:line="288" w:lineRule="auto"/>
        <w:ind w:firstLine="480"/>
        <w:jc w:val="both"/>
        <w:rPr>
          <w:rFonts w:ascii="仿宋" w:eastAsia="仿宋" w:hAnsi="仿宋" w:cs="仿宋"/>
          <w:color w:val="000000"/>
          <w:szCs w:val="24"/>
        </w:rPr>
      </w:pPr>
      <w:r w:rsidRPr="00F64A0E">
        <w:rPr>
          <w:rFonts w:ascii="仿宋" w:eastAsia="仿宋" w:hAnsi="仿宋" w:cs="仿宋" w:hint="eastAsia"/>
          <w:color w:val="000000"/>
          <w:szCs w:val="24"/>
        </w:rPr>
        <w:t>2024年，面对宏观经济和外部环境的不利局面，加之智慧城市行业竞争加剧，公司围绕“转型、提质”的战略总目标，紧抓“数字经济”发展机遇，在继续巩固政务、教育、医疗等领域优势的同时，进一步开拓了智慧轨道交通、智慧企业、智慧能源业务。在智慧轨道交通方面，控股子公司广图粤科为智能电网及轨道交通智能供电智能运维的专家级技术供应商及核心服务商，报告期内持续中标广深铁路、衡阳供电段、广州供电段等重大项目，并联合高校研发接触网监测、接地网智能腐蚀检测系统、智能高压设备巡检系统、地铁医院产品等创新产品，形成了覆盖轨道交通智能供电、智能运维领域的专业化产品矩阵。在智慧企业方面，公司凭借信息技术领域的深厚实力和创新能力，中标南方电网“信息化项目”“业务财务融合”等项目，成功入选汕头市中小企业数字化转型城市试点数字化牵引单位；智慧能源方面，在国家“碳达峰、碳中和”双碳目标及大力发展新能源产业的背景下，公司已顺利切入智慧能源业务，目前在建与拟建项目共计约100MW，已实现并网发电项目3个，约30MW。</w:t>
      </w:r>
    </w:p>
    <w:p w:rsidR="004659D2" w:rsidRDefault="00D75A68" w:rsidP="00F64A0E">
      <w:pPr>
        <w:pStyle w:val="a3"/>
        <w:widowControl/>
        <w:spacing w:before="120" w:beforeAutospacing="0" w:after="120" w:afterAutospacing="0" w:line="288" w:lineRule="auto"/>
        <w:ind w:firstLine="480"/>
        <w:jc w:val="both"/>
        <w:rPr>
          <w:rFonts w:ascii="仿宋" w:eastAsia="仿宋" w:hAnsi="仿宋" w:cs="仿宋"/>
          <w:szCs w:val="24"/>
        </w:rPr>
      </w:pPr>
      <w:r w:rsidRPr="00F64A0E">
        <w:rPr>
          <w:rFonts w:ascii="仿宋" w:eastAsia="仿宋" w:hAnsi="仿宋" w:cs="仿宋" w:hint="eastAsia"/>
          <w:color w:val="000000"/>
          <w:szCs w:val="24"/>
        </w:rPr>
        <w:t>2024年，公司加速布局数据要素和算力服务领域。数据要素方面，公司完成具有广东省首批数据经纪人资质的翼启数据的战略并购，翼启数据已开发出“养殖户经营健康指数”等多个数据产品推向市场，正在构建数据治理、确权、交易全链条服务</w:t>
      </w:r>
      <w:r>
        <w:rPr>
          <w:rFonts w:ascii="仿宋" w:eastAsia="仿宋" w:hAnsi="仿宋" w:cs="仿宋" w:hint="eastAsia"/>
          <w:color w:val="000000"/>
          <w:spacing w:val="8"/>
          <w:szCs w:val="24"/>
        </w:rPr>
        <w:t>能力，未来将依托国家大力发展数据产业的政策东风，持续拓展数据要素业务。算力服务方面，公司投资建设了位于深圳的算力集群服务项目，项目总算力规模达1000P@FP16，为首个落地深圳的国内头部大模型算力底座，公司将以该项目为契机，结合公司核心技术、资源等持续打造具有竞争力的算力服务综合解决方案。</w:t>
      </w:r>
    </w:p>
    <w:p w:rsidR="004659D2" w:rsidRPr="00D76082" w:rsidRDefault="00D75A68" w:rsidP="00D76082">
      <w:pPr>
        <w:pStyle w:val="a3"/>
        <w:widowControl/>
        <w:spacing w:before="120" w:beforeAutospacing="0" w:after="120" w:afterAutospacing="0" w:line="288" w:lineRule="auto"/>
        <w:ind w:firstLine="480"/>
        <w:jc w:val="both"/>
        <w:rPr>
          <w:rFonts w:ascii="仿宋" w:eastAsia="仿宋" w:hAnsi="仿宋" w:cs="仿宋"/>
          <w:color w:val="000000"/>
          <w:szCs w:val="24"/>
        </w:rPr>
      </w:pPr>
      <w:r w:rsidRPr="00D76082">
        <w:rPr>
          <w:rFonts w:ascii="仿宋" w:eastAsia="仿宋" w:hAnsi="仿宋" w:cs="仿宋" w:hint="eastAsia"/>
          <w:color w:val="000000"/>
          <w:szCs w:val="24"/>
        </w:rPr>
        <w:t>在“提质、转型”的战略总目标的指引下，公司将构建算力支撑坚实、数据驱动高效、应用创新活跃的全方位、多层次数字化服务体系，为公司在数字经济时代的可持续发展打开全新空间。</w:t>
      </w:r>
    </w:p>
    <w:p w:rsidR="004659D2" w:rsidRPr="00D76082" w:rsidRDefault="00D75A68" w:rsidP="00D76082">
      <w:pPr>
        <w:pStyle w:val="a3"/>
        <w:widowControl/>
        <w:spacing w:before="120" w:beforeAutospacing="0" w:after="120" w:afterAutospacing="0" w:line="288" w:lineRule="auto"/>
        <w:ind w:firstLine="480"/>
        <w:jc w:val="both"/>
        <w:rPr>
          <w:rFonts w:ascii="仿宋" w:eastAsia="仿宋" w:hAnsi="仿宋" w:cs="仿宋"/>
          <w:color w:val="000000"/>
          <w:szCs w:val="24"/>
        </w:rPr>
      </w:pPr>
      <w:r w:rsidRPr="00D76082">
        <w:rPr>
          <w:rFonts w:ascii="仿宋" w:eastAsia="仿宋" w:hAnsi="仿宋" w:cs="仿宋" w:hint="eastAsia"/>
          <w:color w:val="000000"/>
          <w:szCs w:val="24"/>
        </w:rPr>
        <w:t>2025年，公司将继续围绕“转型、提质”的战略总目标，紧抓“数字经济”发展机遇，坚持内生增长与外部并购相结合策略，</w:t>
      </w:r>
      <w:r>
        <w:rPr>
          <w:rFonts w:ascii="仿宋" w:eastAsia="仿宋" w:hAnsi="仿宋" w:cs="仿宋" w:hint="eastAsia"/>
          <w:color w:val="000000"/>
          <w:szCs w:val="24"/>
        </w:rPr>
        <w:t>不断增强自身实力和核心竞争力</w:t>
      </w:r>
      <w:r w:rsidRPr="00D76082">
        <w:rPr>
          <w:rFonts w:ascii="仿宋" w:eastAsia="仿宋" w:hAnsi="仿宋" w:cs="仿宋" w:hint="eastAsia"/>
          <w:color w:val="000000"/>
          <w:szCs w:val="24"/>
        </w:rPr>
        <w:t>。在原有核心业务方面，巩固夯实“智慧政务、智慧教育、智慧医疗、智慧交通、智慧企业”等领域既有优</w:t>
      </w:r>
      <w:r w:rsidRPr="00D76082">
        <w:rPr>
          <w:rFonts w:ascii="仿宋" w:eastAsia="仿宋" w:hAnsi="仿宋" w:cs="仿宋" w:hint="eastAsia"/>
          <w:color w:val="000000"/>
          <w:szCs w:val="24"/>
        </w:rPr>
        <w:lastRenderedPageBreak/>
        <w:t>势，全力提升方案解决能力；同时稳步拓展算力服务、智慧轨道、数字能源等新业务。截至报告期末，公司已获得在手订单约8亿元，为2025年业绩提升和改善打下坚实的基础。</w:t>
      </w:r>
    </w:p>
    <w:p w:rsidR="004659D2" w:rsidRDefault="00D75A68">
      <w:pPr>
        <w:pStyle w:val="a3"/>
        <w:widowControl/>
        <w:spacing w:line="288" w:lineRule="auto"/>
        <w:ind w:right="187" w:firstLine="512"/>
        <w:jc w:val="both"/>
        <w:rPr>
          <w:rFonts w:ascii="仿宋" w:eastAsia="仿宋" w:hAnsi="仿宋" w:cs="仿宋"/>
          <w:szCs w:val="24"/>
        </w:rPr>
      </w:pPr>
      <w:r>
        <w:rPr>
          <w:rFonts w:ascii="仿宋" w:eastAsia="仿宋" w:hAnsi="仿宋" w:cs="仿宋" w:hint="eastAsia"/>
          <w:color w:val="000000"/>
          <w:spacing w:val="8"/>
          <w:szCs w:val="24"/>
        </w:rPr>
        <w:t>大力推进外部并购，积极布局新赛道。2024年公司完成了具有广东省首批数据经纪人资质的翼启数据并购，并率先获得全国首批数据确权授权标准符合性DRCA证书；未来公司将充分利用上市公司平台和资源优势，加强资本运作并购力度，优化产业布局和产品结构，推进公司业务提质、转型。</w:t>
      </w:r>
    </w:p>
    <w:p w:rsidR="004659D2" w:rsidRPr="004E3280" w:rsidRDefault="00D75A68" w:rsidP="004E3280">
      <w:pPr>
        <w:keepNext/>
        <w:keepLines/>
        <w:spacing w:beforeLines="50" w:before="156" w:afterLines="50" w:after="156" w:line="280" w:lineRule="exact"/>
        <w:jc w:val="left"/>
        <w:outlineLvl w:val="1"/>
        <w:rPr>
          <w:rFonts w:ascii="仿宋" w:eastAsia="仿宋" w:hAnsi="仿宋" w:cs="仿宋"/>
          <w:b/>
          <w:bCs/>
          <w:sz w:val="28"/>
          <w:szCs w:val="21"/>
        </w:rPr>
      </w:pPr>
      <w:bookmarkStart w:id="4" w:name="_Toc988893"/>
      <w:r w:rsidRPr="004E3280">
        <w:rPr>
          <w:rFonts w:ascii="仿宋" w:eastAsia="仿宋" w:hAnsi="仿宋" w:cs="仿宋"/>
          <w:b/>
          <w:bCs/>
          <w:sz w:val="28"/>
          <w:szCs w:val="21"/>
        </w:rPr>
        <w:t>3</w:t>
      </w:r>
      <w:r w:rsidR="003B4DCF" w:rsidRPr="004E3280">
        <w:rPr>
          <w:rFonts w:ascii="仿宋" w:eastAsia="仿宋" w:hAnsi="仿宋" w:cs="仿宋" w:hint="eastAsia"/>
          <w:b/>
          <w:bCs/>
          <w:sz w:val="28"/>
          <w:szCs w:val="21"/>
        </w:rPr>
        <w:t>.</w:t>
      </w:r>
      <w:r w:rsidRPr="004E3280">
        <w:rPr>
          <w:rFonts w:ascii="仿宋" w:eastAsia="仿宋" w:hAnsi="仿宋" w:cs="仿宋"/>
          <w:b/>
          <w:bCs/>
          <w:sz w:val="28"/>
          <w:szCs w:val="21"/>
        </w:rPr>
        <w:t>主要会计数据和财务指标</w:t>
      </w:r>
      <w:bookmarkEnd w:id="4"/>
    </w:p>
    <w:p w:rsidR="004659D2" w:rsidRPr="007B7BC1" w:rsidRDefault="00D75A68" w:rsidP="007B7BC1">
      <w:pPr>
        <w:keepNext/>
        <w:keepLines/>
        <w:spacing w:before="300" w:after="300" w:line="288" w:lineRule="auto"/>
        <w:outlineLvl w:val="2"/>
        <w:rPr>
          <w:rFonts w:ascii="仿宋" w:eastAsia="仿宋" w:hAnsi="仿宋" w:cs="宋体"/>
          <w:b/>
          <w:bCs/>
          <w:sz w:val="24"/>
          <w:szCs w:val="24"/>
        </w:rPr>
      </w:pPr>
      <w:bookmarkStart w:id="5" w:name="_Toc988894"/>
      <w:r w:rsidRPr="007B7BC1">
        <w:rPr>
          <w:rFonts w:ascii="仿宋" w:eastAsia="仿宋" w:hAnsi="仿宋" w:cs="宋体"/>
          <w:b/>
          <w:bCs/>
          <w:sz w:val="24"/>
          <w:szCs w:val="24"/>
        </w:rPr>
        <w:t>（1）近三年主要会计数据和财务指标</w:t>
      </w:r>
      <w:bookmarkEnd w:id="5"/>
    </w:p>
    <w:p w:rsidR="004659D2" w:rsidRDefault="00D75A68">
      <w:pPr>
        <w:spacing w:line="288" w:lineRule="auto"/>
        <w:jc w:val="left"/>
        <w:rPr>
          <w:rFonts w:ascii="仿宋" w:eastAsia="仿宋" w:hAnsi="仿宋" w:cs="宋体"/>
          <w:kern w:val="2"/>
          <w:sz w:val="24"/>
          <w:szCs w:val="24"/>
        </w:rPr>
      </w:pPr>
      <w:r>
        <w:rPr>
          <w:rFonts w:ascii="仿宋" w:eastAsia="仿宋" w:hAnsi="仿宋" w:cs="宋体"/>
          <w:kern w:val="2"/>
          <w:sz w:val="24"/>
          <w:szCs w:val="24"/>
        </w:rPr>
        <w:t>公司是否需追溯调整或重述以前年度会计数据</w:t>
      </w:r>
    </w:p>
    <w:p w:rsidR="004659D2" w:rsidRDefault="00D75A68">
      <w:pPr>
        <w:spacing w:line="288" w:lineRule="auto"/>
        <w:jc w:val="left"/>
        <w:rPr>
          <w:rFonts w:ascii="仿宋" w:eastAsia="仿宋" w:hAnsi="仿宋" w:cs="宋体"/>
          <w:kern w:val="2"/>
          <w:sz w:val="24"/>
          <w:szCs w:val="24"/>
        </w:rPr>
      </w:pPr>
      <w:r>
        <w:rPr>
          <w:rFonts w:ascii="仿宋" w:eastAsia="仿宋" w:hAnsi="仿宋" w:cs="宋体"/>
          <w:kern w:val="2"/>
          <w:sz w:val="24"/>
          <w:szCs w:val="24"/>
        </w:rPr>
        <w:t xml:space="preserve">□是 </w:t>
      </w:r>
      <w:r>
        <w:rPr>
          <w:rFonts w:ascii="仿宋" w:eastAsia="仿宋" w:hAnsi="仿宋" w:cs="宋体"/>
          <w:kern w:val="2"/>
          <w:sz w:val="24"/>
          <w:szCs w:val="24"/>
        </w:rPr>
        <w:sym w:font="Wingdings 2" w:char="F052"/>
      </w:r>
      <w:r>
        <w:rPr>
          <w:rFonts w:ascii="仿宋" w:eastAsia="仿宋" w:hAnsi="仿宋" w:cs="宋体"/>
          <w:kern w:val="2"/>
          <w:sz w:val="24"/>
          <w:szCs w:val="24"/>
        </w:rPr>
        <w:t>否</w:t>
      </w:r>
    </w:p>
    <w:p w:rsidR="004659D2" w:rsidRDefault="00D75A68">
      <w:pPr>
        <w:spacing w:before="120" w:after="120" w:line="240" w:lineRule="exact"/>
        <w:jc w:val="right"/>
        <w:rPr>
          <w:rFonts w:ascii="仿宋" w:eastAsia="仿宋" w:hAnsi="仿宋" w:cs="仿宋"/>
          <w:sz w:val="18"/>
          <w:szCs w:val="18"/>
        </w:rPr>
      </w:pPr>
      <w:r>
        <w:rPr>
          <w:rFonts w:ascii="仿宋" w:eastAsia="仿宋" w:hAnsi="仿宋" w:cs="仿宋" w:hint="eastAsia"/>
          <w:sz w:val="24"/>
          <w:szCs w:val="24"/>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496"/>
        <w:gridCol w:w="1896"/>
        <w:gridCol w:w="1896"/>
        <w:gridCol w:w="1677"/>
        <w:gridCol w:w="1888"/>
      </w:tblGrid>
      <w:tr w:rsidR="004659D2" w:rsidRPr="00AF5591" w:rsidTr="00AF5591">
        <w:trPr>
          <w:trHeight w:val="240"/>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4659D2">
            <w:pPr>
              <w:spacing w:line="288" w:lineRule="auto"/>
              <w:jc w:val="left"/>
              <w:rPr>
                <w:rFonts w:eastAsia="仿宋"/>
                <w:kern w:val="2"/>
                <w:sz w:val="24"/>
                <w:szCs w:val="24"/>
              </w:rPr>
            </w:pPr>
          </w:p>
        </w:tc>
        <w:tc>
          <w:tcPr>
            <w:tcW w:w="962"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center"/>
              <w:rPr>
                <w:rFonts w:eastAsia="仿宋"/>
                <w:kern w:val="2"/>
                <w:sz w:val="24"/>
                <w:szCs w:val="24"/>
              </w:rPr>
            </w:pPr>
            <w:r w:rsidRPr="00AF5591">
              <w:rPr>
                <w:rFonts w:eastAsia="仿宋"/>
                <w:kern w:val="2"/>
                <w:sz w:val="24"/>
                <w:szCs w:val="24"/>
              </w:rPr>
              <w:t>2024</w:t>
            </w:r>
            <w:r w:rsidRPr="00AF5591">
              <w:rPr>
                <w:rFonts w:eastAsia="仿宋"/>
                <w:kern w:val="2"/>
                <w:sz w:val="24"/>
                <w:szCs w:val="24"/>
              </w:rPr>
              <w:t>年末</w:t>
            </w:r>
          </w:p>
        </w:tc>
        <w:tc>
          <w:tcPr>
            <w:tcW w:w="962"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center"/>
              <w:rPr>
                <w:rFonts w:eastAsia="仿宋"/>
                <w:kern w:val="2"/>
                <w:sz w:val="24"/>
                <w:szCs w:val="24"/>
              </w:rPr>
            </w:pPr>
            <w:r w:rsidRPr="00AF5591">
              <w:rPr>
                <w:rFonts w:eastAsia="仿宋"/>
                <w:kern w:val="2"/>
                <w:sz w:val="24"/>
                <w:szCs w:val="24"/>
              </w:rPr>
              <w:t>2023</w:t>
            </w:r>
            <w:r w:rsidRPr="00AF5591">
              <w:rPr>
                <w:rFonts w:eastAsia="仿宋"/>
                <w:kern w:val="2"/>
                <w:sz w:val="24"/>
                <w:szCs w:val="24"/>
              </w:rPr>
              <w:t>年末</w:t>
            </w:r>
          </w:p>
        </w:tc>
        <w:tc>
          <w:tcPr>
            <w:tcW w:w="851"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center"/>
              <w:rPr>
                <w:rFonts w:eastAsia="仿宋"/>
                <w:kern w:val="2"/>
                <w:sz w:val="24"/>
                <w:szCs w:val="24"/>
              </w:rPr>
            </w:pPr>
            <w:r w:rsidRPr="00AF5591">
              <w:rPr>
                <w:rFonts w:eastAsia="仿宋"/>
                <w:kern w:val="2"/>
                <w:sz w:val="24"/>
                <w:szCs w:val="24"/>
              </w:rPr>
              <w:t>本年末比上年末增减</w:t>
            </w:r>
          </w:p>
        </w:tc>
        <w:tc>
          <w:tcPr>
            <w:tcW w:w="958"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center"/>
              <w:rPr>
                <w:rFonts w:eastAsia="仿宋"/>
                <w:kern w:val="2"/>
                <w:sz w:val="24"/>
                <w:szCs w:val="24"/>
              </w:rPr>
            </w:pPr>
            <w:r w:rsidRPr="00AF5591">
              <w:rPr>
                <w:rFonts w:eastAsia="仿宋"/>
                <w:kern w:val="2"/>
                <w:sz w:val="24"/>
                <w:szCs w:val="24"/>
              </w:rPr>
              <w:t>2022</w:t>
            </w:r>
            <w:r w:rsidRPr="00AF5591">
              <w:rPr>
                <w:rFonts w:eastAsia="仿宋"/>
                <w:kern w:val="2"/>
                <w:sz w:val="24"/>
                <w:szCs w:val="24"/>
              </w:rPr>
              <w:t>年末</w:t>
            </w:r>
          </w:p>
        </w:tc>
      </w:tr>
      <w:tr w:rsidR="004659D2" w:rsidRPr="00AF5591" w:rsidTr="00AF5591">
        <w:trPr>
          <w:trHeight w:val="456"/>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left"/>
              <w:rPr>
                <w:rFonts w:eastAsia="仿宋"/>
                <w:kern w:val="2"/>
                <w:sz w:val="24"/>
                <w:szCs w:val="24"/>
              </w:rPr>
            </w:pPr>
            <w:r w:rsidRPr="00AF5591">
              <w:rPr>
                <w:rFonts w:eastAsia="仿宋"/>
                <w:kern w:val="2"/>
                <w:sz w:val="24"/>
                <w:szCs w:val="24"/>
              </w:rPr>
              <w:t>总资产</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1,333,766,753.86</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1,044,326,703.01</w:t>
            </w:r>
          </w:p>
        </w:tc>
        <w:tc>
          <w:tcPr>
            <w:tcW w:w="85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27.72%</w:t>
            </w:r>
          </w:p>
        </w:tc>
        <w:tc>
          <w:tcPr>
            <w:tcW w:w="958"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1,016,411,410.92</w:t>
            </w:r>
          </w:p>
        </w:tc>
      </w:tr>
      <w:tr w:rsidR="004659D2" w:rsidRPr="00AF5591" w:rsidTr="00AF5591">
        <w:trPr>
          <w:trHeight w:val="240"/>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left"/>
              <w:rPr>
                <w:rFonts w:eastAsia="仿宋"/>
                <w:kern w:val="2"/>
                <w:sz w:val="24"/>
                <w:szCs w:val="24"/>
              </w:rPr>
            </w:pPr>
            <w:r w:rsidRPr="00AF5591">
              <w:rPr>
                <w:rFonts w:eastAsia="仿宋"/>
                <w:kern w:val="2"/>
                <w:sz w:val="24"/>
                <w:szCs w:val="24"/>
              </w:rPr>
              <w:t>归属于上市公司股东的净资产</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758,250,167.43</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831,728,011.51</w:t>
            </w:r>
          </w:p>
        </w:tc>
        <w:tc>
          <w:tcPr>
            <w:tcW w:w="85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-8.83%</w:t>
            </w:r>
          </w:p>
        </w:tc>
        <w:tc>
          <w:tcPr>
            <w:tcW w:w="958"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839,546,349.74</w:t>
            </w:r>
          </w:p>
        </w:tc>
      </w:tr>
      <w:tr w:rsidR="004659D2" w:rsidRPr="00AF5591" w:rsidTr="00AF5591">
        <w:trPr>
          <w:trHeight w:val="354"/>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4659D2">
            <w:pPr>
              <w:spacing w:line="288" w:lineRule="auto"/>
              <w:jc w:val="left"/>
              <w:rPr>
                <w:rFonts w:eastAsia="仿宋"/>
                <w:kern w:val="2"/>
                <w:sz w:val="24"/>
                <w:szCs w:val="24"/>
              </w:rPr>
            </w:pPr>
          </w:p>
        </w:tc>
        <w:tc>
          <w:tcPr>
            <w:tcW w:w="962"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center"/>
              <w:rPr>
                <w:rFonts w:eastAsia="仿宋"/>
                <w:kern w:val="2"/>
                <w:sz w:val="24"/>
                <w:szCs w:val="24"/>
              </w:rPr>
            </w:pPr>
            <w:r w:rsidRPr="00AF5591">
              <w:rPr>
                <w:rFonts w:eastAsia="仿宋"/>
                <w:kern w:val="2"/>
                <w:sz w:val="24"/>
                <w:szCs w:val="24"/>
              </w:rPr>
              <w:t>2024</w:t>
            </w:r>
            <w:r w:rsidRPr="00AF5591">
              <w:rPr>
                <w:rFonts w:eastAsia="仿宋"/>
                <w:kern w:val="2"/>
                <w:sz w:val="24"/>
                <w:szCs w:val="24"/>
              </w:rPr>
              <w:t>年</w:t>
            </w:r>
          </w:p>
        </w:tc>
        <w:tc>
          <w:tcPr>
            <w:tcW w:w="962"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center"/>
              <w:rPr>
                <w:rFonts w:eastAsia="仿宋"/>
                <w:kern w:val="2"/>
                <w:sz w:val="24"/>
                <w:szCs w:val="24"/>
              </w:rPr>
            </w:pPr>
            <w:r w:rsidRPr="00AF5591">
              <w:rPr>
                <w:rFonts w:eastAsia="仿宋"/>
                <w:kern w:val="2"/>
                <w:sz w:val="24"/>
                <w:szCs w:val="24"/>
              </w:rPr>
              <w:t>2023</w:t>
            </w:r>
            <w:r w:rsidRPr="00AF5591">
              <w:rPr>
                <w:rFonts w:eastAsia="仿宋"/>
                <w:kern w:val="2"/>
                <w:sz w:val="24"/>
                <w:szCs w:val="24"/>
              </w:rPr>
              <w:t>年</w:t>
            </w:r>
          </w:p>
        </w:tc>
        <w:tc>
          <w:tcPr>
            <w:tcW w:w="851"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center"/>
              <w:rPr>
                <w:rFonts w:eastAsia="仿宋"/>
                <w:kern w:val="2"/>
                <w:sz w:val="24"/>
                <w:szCs w:val="24"/>
              </w:rPr>
            </w:pPr>
            <w:r w:rsidRPr="00AF5591">
              <w:rPr>
                <w:rFonts w:eastAsia="仿宋"/>
                <w:kern w:val="2"/>
                <w:sz w:val="24"/>
                <w:szCs w:val="24"/>
              </w:rPr>
              <w:t>本年比上年增减</w:t>
            </w:r>
          </w:p>
        </w:tc>
        <w:tc>
          <w:tcPr>
            <w:tcW w:w="958"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center"/>
              <w:rPr>
                <w:rFonts w:eastAsia="仿宋"/>
                <w:kern w:val="2"/>
                <w:sz w:val="24"/>
                <w:szCs w:val="24"/>
              </w:rPr>
            </w:pPr>
            <w:r w:rsidRPr="00AF5591">
              <w:rPr>
                <w:rFonts w:eastAsia="仿宋"/>
                <w:kern w:val="2"/>
                <w:sz w:val="24"/>
                <w:szCs w:val="24"/>
              </w:rPr>
              <w:t>2022</w:t>
            </w:r>
            <w:r w:rsidRPr="00AF5591">
              <w:rPr>
                <w:rFonts w:eastAsia="仿宋"/>
                <w:kern w:val="2"/>
                <w:sz w:val="24"/>
                <w:szCs w:val="24"/>
              </w:rPr>
              <w:t>年</w:t>
            </w:r>
          </w:p>
        </w:tc>
      </w:tr>
      <w:tr w:rsidR="004659D2" w:rsidRPr="00AF5591" w:rsidTr="00AF5591">
        <w:trPr>
          <w:trHeight w:val="240"/>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left"/>
              <w:rPr>
                <w:rFonts w:eastAsia="仿宋"/>
                <w:kern w:val="2"/>
                <w:sz w:val="24"/>
                <w:szCs w:val="24"/>
              </w:rPr>
            </w:pPr>
            <w:r w:rsidRPr="00AF5591">
              <w:rPr>
                <w:rFonts w:eastAsia="仿宋"/>
                <w:kern w:val="2"/>
                <w:sz w:val="24"/>
                <w:szCs w:val="24"/>
              </w:rPr>
              <w:t>营业收入</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223,633,009.11</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410,009,814.78</w:t>
            </w:r>
          </w:p>
        </w:tc>
        <w:tc>
          <w:tcPr>
            <w:tcW w:w="85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-45.46%</w:t>
            </w:r>
          </w:p>
        </w:tc>
        <w:tc>
          <w:tcPr>
            <w:tcW w:w="958"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439,217,532.36</w:t>
            </w:r>
          </w:p>
        </w:tc>
      </w:tr>
      <w:tr w:rsidR="004659D2" w:rsidRPr="00AF5591" w:rsidTr="00AF5591">
        <w:trPr>
          <w:trHeight w:val="240"/>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left"/>
              <w:rPr>
                <w:rFonts w:eastAsia="仿宋"/>
                <w:kern w:val="2"/>
                <w:sz w:val="24"/>
                <w:szCs w:val="24"/>
              </w:rPr>
            </w:pPr>
            <w:r w:rsidRPr="00AF5591">
              <w:rPr>
                <w:rFonts w:eastAsia="仿宋"/>
                <w:kern w:val="2"/>
                <w:sz w:val="24"/>
                <w:szCs w:val="24"/>
              </w:rPr>
              <w:t>归属于上市公司股东的净利润</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-49,552,838.46</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6,389,000.49</w:t>
            </w:r>
          </w:p>
        </w:tc>
        <w:tc>
          <w:tcPr>
            <w:tcW w:w="85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-875.60%</w:t>
            </w:r>
          </w:p>
        </w:tc>
        <w:tc>
          <w:tcPr>
            <w:tcW w:w="958"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39,562,653.20</w:t>
            </w:r>
          </w:p>
        </w:tc>
      </w:tr>
      <w:tr w:rsidR="004659D2" w:rsidRPr="00AF5591" w:rsidTr="00AF5591">
        <w:trPr>
          <w:trHeight w:val="240"/>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left"/>
              <w:rPr>
                <w:rFonts w:eastAsia="仿宋"/>
                <w:kern w:val="2"/>
                <w:sz w:val="24"/>
                <w:szCs w:val="24"/>
              </w:rPr>
            </w:pPr>
            <w:r w:rsidRPr="00AF5591">
              <w:rPr>
                <w:rFonts w:eastAsia="仿宋"/>
                <w:kern w:val="2"/>
                <w:sz w:val="24"/>
                <w:szCs w:val="24"/>
              </w:rPr>
              <w:t>归属于上市公司股东的扣除非经常性损益的净利润</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-48,890,667.24</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4,948,441.78</w:t>
            </w:r>
          </w:p>
        </w:tc>
        <w:tc>
          <w:tcPr>
            <w:tcW w:w="85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-1,088.00%</w:t>
            </w:r>
          </w:p>
        </w:tc>
        <w:tc>
          <w:tcPr>
            <w:tcW w:w="958"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29,039,448.10</w:t>
            </w:r>
          </w:p>
        </w:tc>
      </w:tr>
      <w:tr w:rsidR="004659D2" w:rsidRPr="00AF5591" w:rsidTr="00AF5591">
        <w:trPr>
          <w:trHeight w:val="240"/>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left"/>
              <w:rPr>
                <w:rFonts w:eastAsia="仿宋"/>
                <w:kern w:val="2"/>
                <w:sz w:val="24"/>
                <w:szCs w:val="24"/>
              </w:rPr>
            </w:pPr>
            <w:r w:rsidRPr="00AF5591">
              <w:rPr>
                <w:rFonts w:eastAsia="仿宋"/>
                <w:kern w:val="2"/>
                <w:sz w:val="24"/>
                <w:szCs w:val="24"/>
              </w:rPr>
              <w:t>经营活动产生的现金流量净额</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-54,239,504.38</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8,380,672.05</w:t>
            </w:r>
          </w:p>
        </w:tc>
        <w:tc>
          <w:tcPr>
            <w:tcW w:w="85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-747.20%</w:t>
            </w:r>
          </w:p>
        </w:tc>
        <w:tc>
          <w:tcPr>
            <w:tcW w:w="958"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-64,143,131.73</w:t>
            </w:r>
          </w:p>
        </w:tc>
      </w:tr>
      <w:tr w:rsidR="004659D2" w:rsidRPr="00AF5591" w:rsidTr="00AF5591">
        <w:trPr>
          <w:trHeight w:val="240"/>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left"/>
              <w:rPr>
                <w:rFonts w:eastAsia="仿宋"/>
                <w:kern w:val="2"/>
                <w:sz w:val="24"/>
                <w:szCs w:val="24"/>
              </w:rPr>
            </w:pPr>
            <w:r w:rsidRPr="00AF5591">
              <w:rPr>
                <w:rFonts w:eastAsia="仿宋"/>
                <w:kern w:val="2"/>
                <w:sz w:val="24"/>
                <w:szCs w:val="24"/>
              </w:rPr>
              <w:t>基本每股收益（元</w:t>
            </w:r>
            <w:r w:rsidRPr="00AF5591">
              <w:rPr>
                <w:rFonts w:eastAsia="仿宋"/>
                <w:kern w:val="2"/>
                <w:sz w:val="24"/>
                <w:szCs w:val="24"/>
              </w:rPr>
              <w:t>/</w:t>
            </w:r>
            <w:r w:rsidRPr="00AF5591">
              <w:rPr>
                <w:rFonts w:eastAsia="仿宋"/>
                <w:kern w:val="2"/>
                <w:sz w:val="24"/>
                <w:szCs w:val="24"/>
              </w:rPr>
              <w:t>股）</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-0.74</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0.10</w:t>
            </w:r>
          </w:p>
        </w:tc>
        <w:tc>
          <w:tcPr>
            <w:tcW w:w="85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-840.00%</w:t>
            </w:r>
          </w:p>
        </w:tc>
        <w:tc>
          <w:tcPr>
            <w:tcW w:w="958"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0.60</w:t>
            </w:r>
          </w:p>
        </w:tc>
      </w:tr>
      <w:tr w:rsidR="004659D2" w:rsidRPr="00AF5591" w:rsidTr="00AF5591">
        <w:trPr>
          <w:trHeight w:val="240"/>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left"/>
              <w:rPr>
                <w:rFonts w:eastAsia="仿宋"/>
                <w:kern w:val="2"/>
                <w:sz w:val="24"/>
                <w:szCs w:val="24"/>
              </w:rPr>
            </w:pPr>
            <w:r w:rsidRPr="00AF5591">
              <w:rPr>
                <w:rFonts w:eastAsia="仿宋"/>
                <w:kern w:val="2"/>
                <w:sz w:val="24"/>
                <w:szCs w:val="24"/>
              </w:rPr>
              <w:t>稀释每股收益（元</w:t>
            </w:r>
            <w:r w:rsidRPr="00AF5591">
              <w:rPr>
                <w:rFonts w:eastAsia="仿宋"/>
                <w:kern w:val="2"/>
                <w:sz w:val="24"/>
                <w:szCs w:val="24"/>
              </w:rPr>
              <w:t>/</w:t>
            </w:r>
            <w:r w:rsidRPr="00AF5591">
              <w:rPr>
                <w:rFonts w:eastAsia="仿宋"/>
                <w:kern w:val="2"/>
                <w:sz w:val="24"/>
                <w:szCs w:val="24"/>
              </w:rPr>
              <w:t>股）</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-0.74</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0.10</w:t>
            </w:r>
          </w:p>
        </w:tc>
        <w:tc>
          <w:tcPr>
            <w:tcW w:w="85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-840.00%</w:t>
            </w:r>
          </w:p>
        </w:tc>
        <w:tc>
          <w:tcPr>
            <w:tcW w:w="958"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0.60</w:t>
            </w:r>
          </w:p>
        </w:tc>
      </w:tr>
      <w:tr w:rsidR="004659D2" w:rsidRPr="00AF5591" w:rsidTr="00AF5591">
        <w:trPr>
          <w:trHeight w:val="240"/>
        </w:trPr>
        <w:tc>
          <w:tcPr>
            <w:tcW w:w="126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AF5591" w:rsidRDefault="00D75A68">
            <w:pPr>
              <w:spacing w:line="288" w:lineRule="auto"/>
              <w:jc w:val="left"/>
              <w:rPr>
                <w:rFonts w:eastAsia="仿宋"/>
                <w:kern w:val="2"/>
                <w:sz w:val="24"/>
                <w:szCs w:val="24"/>
              </w:rPr>
            </w:pPr>
            <w:r w:rsidRPr="00AF5591">
              <w:rPr>
                <w:rFonts w:eastAsia="仿宋"/>
                <w:kern w:val="2"/>
                <w:sz w:val="24"/>
                <w:szCs w:val="24"/>
              </w:rPr>
              <w:t>加权平均净资产收益率</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rsidP="009E11C9">
            <w:pPr>
              <w:spacing w:line="288" w:lineRule="auto"/>
              <w:jc w:val="right"/>
              <w:rPr>
                <w:rFonts w:eastAsia="仿宋"/>
                <w:kern w:val="2"/>
                <w:sz w:val="24"/>
                <w:szCs w:val="24"/>
              </w:rPr>
            </w:pPr>
            <w:r w:rsidRPr="00AF5591">
              <w:rPr>
                <w:rFonts w:eastAsia="仿宋"/>
                <w:kern w:val="2"/>
                <w:sz w:val="24"/>
                <w:szCs w:val="24"/>
              </w:rPr>
              <w:t>-6.2</w:t>
            </w:r>
            <w:r w:rsidR="009E11C9" w:rsidRPr="00AF5591">
              <w:rPr>
                <w:rFonts w:eastAsia="仿宋"/>
                <w:kern w:val="2"/>
                <w:sz w:val="24"/>
                <w:szCs w:val="24"/>
              </w:rPr>
              <w:t>8</w:t>
            </w:r>
            <w:r w:rsidRPr="00AF5591">
              <w:rPr>
                <w:rFonts w:eastAsia="仿宋"/>
                <w:kern w:val="2"/>
                <w:sz w:val="24"/>
                <w:szCs w:val="24"/>
              </w:rPr>
              <w:t>%</w:t>
            </w:r>
          </w:p>
        </w:tc>
        <w:tc>
          <w:tcPr>
            <w:tcW w:w="962"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0.77%</w:t>
            </w:r>
          </w:p>
        </w:tc>
        <w:tc>
          <w:tcPr>
            <w:tcW w:w="85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rsidP="00024815">
            <w:pPr>
              <w:spacing w:line="288" w:lineRule="auto"/>
              <w:jc w:val="right"/>
              <w:rPr>
                <w:rFonts w:eastAsia="仿宋"/>
                <w:kern w:val="2"/>
                <w:sz w:val="24"/>
                <w:szCs w:val="24"/>
              </w:rPr>
            </w:pPr>
            <w:r w:rsidRPr="00AF5591">
              <w:rPr>
                <w:rFonts w:eastAsia="仿宋"/>
                <w:kern w:val="2"/>
                <w:sz w:val="24"/>
                <w:szCs w:val="24"/>
              </w:rPr>
              <w:t>-7.0</w:t>
            </w:r>
            <w:r w:rsidR="00024815">
              <w:rPr>
                <w:rFonts w:eastAsia="仿宋" w:hint="eastAsia"/>
                <w:kern w:val="2"/>
                <w:sz w:val="24"/>
                <w:szCs w:val="24"/>
              </w:rPr>
              <w:t>5</w:t>
            </w:r>
            <w:r w:rsidRPr="00AF5591">
              <w:rPr>
                <w:rFonts w:eastAsia="仿宋"/>
                <w:kern w:val="2"/>
                <w:sz w:val="24"/>
                <w:szCs w:val="24"/>
              </w:rPr>
              <w:t>%</w:t>
            </w:r>
          </w:p>
        </w:tc>
        <w:tc>
          <w:tcPr>
            <w:tcW w:w="958"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88" w:lineRule="auto"/>
              <w:jc w:val="right"/>
              <w:rPr>
                <w:rFonts w:eastAsia="仿宋"/>
                <w:kern w:val="2"/>
                <w:sz w:val="24"/>
                <w:szCs w:val="24"/>
              </w:rPr>
            </w:pPr>
            <w:r w:rsidRPr="00AF5591">
              <w:rPr>
                <w:rFonts w:eastAsia="仿宋"/>
                <w:kern w:val="2"/>
                <w:sz w:val="24"/>
                <w:szCs w:val="24"/>
              </w:rPr>
              <w:t>4.72%</w:t>
            </w:r>
          </w:p>
        </w:tc>
      </w:tr>
    </w:tbl>
    <w:p w:rsidR="004659D2" w:rsidRPr="007B7FE1" w:rsidRDefault="00D75A68" w:rsidP="007B7FE1">
      <w:pPr>
        <w:keepNext/>
        <w:keepLines/>
        <w:spacing w:before="300" w:after="300" w:line="288" w:lineRule="auto"/>
        <w:outlineLvl w:val="2"/>
        <w:rPr>
          <w:rFonts w:ascii="仿宋" w:eastAsia="仿宋" w:hAnsi="仿宋" w:cs="宋体"/>
          <w:b/>
          <w:bCs/>
          <w:sz w:val="24"/>
          <w:szCs w:val="24"/>
        </w:rPr>
      </w:pPr>
      <w:bookmarkStart w:id="6" w:name="_Toc988895"/>
      <w:r w:rsidRPr="007B7FE1">
        <w:rPr>
          <w:rFonts w:ascii="仿宋" w:eastAsia="仿宋" w:hAnsi="仿宋" w:cs="宋体"/>
          <w:b/>
          <w:bCs/>
          <w:sz w:val="24"/>
          <w:szCs w:val="24"/>
        </w:rPr>
        <w:lastRenderedPageBreak/>
        <w:t>（2） 分季度主要会计数据</w:t>
      </w:r>
      <w:bookmarkEnd w:id="6"/>
    </w:p>
    <w:p w:rsidR="004659D2" w:rsidRDefault="00D75A68">
      <w:pPr>
        <w:spacing w:before="120" w:after="120" w:line="240" w:lineRule="exact"/>
        <w:jc w:val="right"/>
        <w:rPr>
          <w:rFonts w:ascii="仿宋" w:eastAsia="仿宋" w:hAnsi="仿宋" w:cs="仿宋"/>
          <w:sz w:val="24"/>
          <w:szCs w:val="24"/>
        </w:rPr>
      </w:pPr>
      <w:r>
        <w:rPr>
          <w:rFonts w:ascii="仿宋" w:eastAsia="仿宋" w:hAnsi="仿宋" w:cs="仿宋" w:hint="eastAsia"/>
          <w:sz w:val="24"/>
          <w:szCs w:val="24"/>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596"/>
        <w:gridCol w:w="1827"/>
        <w:gridCol w:w="1776"/>
        <w:gridCol w:w="1827"/>
        <w:gridCol w:w="1827"/>
      </w:tblGrid>
      <w:tr w:rsidR="004659D2" w:rsidTr="00A25703">
        <w:trPr>
          <w:trHeight w:val="240"/>
        </w:trPr>
        <w:tc>
          <w:tcPr>
            <w:tcW w:w="131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4659D2">
            <w:pPr>
              <w:rPr>
                <w:rFonts w:ascii="仿宋" w:eastAsia="仿宋" w:hAnsi="仿宋" w:cs="仿宋"/>
                <w:sz w:val="24"/>
                <w:szCs w:val="24"/>
              </w:rPr>
            </w:pPr>
          </w:p>
        </w:tc>
        <w:tc>
          <w:tcPr>
            <w:tcW w:w="92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center"/>
              <w:rPr>
                <w:rFonts w:ascii="仿宋" w:eastAsia="仿宋" w:hAnsi="仿宋" w:cs="仿宋"/>
                <w:sz w:val="24"/>
                <w:szCs w:val="24"/>
              </w:rPr>
            </w:pPr>
            <w:r>
              <w:rPr>
                <w:rFonts w:ascii="仿宋" w:eastAsia="仿宋" w:hAnsi="仿宋" w:cs="仿宋" w:hint="eastAsia"/>
                <w:sz w:val="24"/>
                <w:szCs w:val="24"/>
              </w:rPr>
              <w:t>第一季度</w:t>
            </w:r>
          </w:p>
        </w:tc>
        <w:tc>
          <w:tcPr>
            <w:tcW w:w="901"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center"/>
              <w:rPr>
                <w:rFonts w:ascii="仿宋" w:eastAsia="仿宋" w:hAnsi="仿宋" w:cs="仿宋"/>
                <w:sz w:val="24"/>
                <w:szCs w:val="24"/>
              </w:rPr>
            </w:pPr>
            <w:r>
              <w:rPr>
                <w:rFonts w:ascii="仿宋" w:eastAsia="仿宋" w:hAnsi="仿宋" w:cs="仿宋" w:hint="eastAsia"/>
                <w:sz w:val="24"/>
                <w:szCs w:val="24"/>
              </w:rPr>
              <w:t>第二季度</w:t>
            </w:r>
          </w:p>
        </w:tc>
        <w:tc>
          <w:tcPr>
            <w:tcW w:w="92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center"/>
              <w:rPr>
                <w:rFonts w:ascii="仿宋" w:eastAsia="仿宋" w:hAnsi="仿宋" w:cs="仿宋"/>
                <w:sz w:val="24"/>
                <w:szCs w:val="24"/>
              </w:rPr>
            </w:pPr>
            <w:r>
              <w:rPr>
                <w:rFonts w:ascii="仿宋" w:eastAsia="仿宋" w:hAnsi="仿宋" w:cs="仿宋" w:hint="eastAsia"/>
                <w:sz w:val="24"/>
                <w:szCs w:val="24"/>
              </w:rPr>
              <w:t>第三季度</w:t>
            </w:r>
          </w:p>
        </w:tc>
        <w:tc>
          <w:tcPr>
            <w:tcW w:w="92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center"/>
              <w:rPr>
                <w:rFonts w:ascii="仿宋" w:eastAsia="仿宋" w:hAnsi="仿宋" w:cs="仿宋"/>
                <w:sz w:val="24"/>
                <w:szCs w:val="24"/>
              </w:rPr>
            </w:pPr>
            <w:r>
              <w:rPr>
                <w:rFonts w:ascii="仿宋" w:eastAsia="仿宋" w:hAnsi="仿宋" w:cs="仿宋" w:hint="eastAsia"/>
                <w:sz w:val="24"/>
                <w:szCs w:val="24"/>
              </w:rPr>
              <w:t>第四季度</w:t>
            </w:r>
          </w:p>
        </w:tc>
      </w:tr>
      <w:tr w:rsidR="004659D2" w:rsidTr="00A25703">
        <w:trPr>
          <w:trHeight w:val="421"/>
        </w:trPr>
        <w:tc>
          <w:tcPr>
            <w:tcW w:w="131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营业收入</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39,708,508.13</w:t>
            </w:r>
          </w:p>
        </w:tc>
        <w:tc>
          <w:tcPr>
            <w:tcW w:w="90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49,505,898.24</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66,060,303.70</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68,358,299.04</w:t>
            </w:r>
          </w:p>
        </w:tc>
      </w:tr>
      <w:tr w:rsidR="004659D2" w:rsidTr="00A25703">
        <w:trPr>
          <w:trHeight w:val="240"/>
        </w:trPr>
        <w:tc>
          <w:tcPr>
            <w:tcW w:w="131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归属于上市公司股东的净利润</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-8,868,715.54</w:t>
            </w:r>
          </w:p>
        </w:tc>
        <w:tc>
          <w:tcPr>
            <w:tcW w:w="90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-2,860,307.93</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-9,433,955.28</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-28,389,859.71</w:t>
            </w:r>
          </w:p>
        </w:tc>
      </w:tr>
      <w:tr w:rsidR="004659D2" w:rsidTr="00A25703">
        <w:trPr>
          <w:trHeight w:val="240"/>
        </w:trPr>
        <w:tc>
          <w:tcPr>
            <w:tcW w:w="131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归属于上市公司股东的扣除非经常性损益的净利润</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-7,319,775.33</w:t>
            </w:r>
          </w:p>
        </w:tc>
        <w:tc>
          <w:tcPr>
            <w:tcW w:w="90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-2,990,423.05</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-9,709,204.69</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-28,871,264.17</w:t>
            </w:r>
          </w:p>
        </w:tc>
      </w:tr>
      <w:tr w:rsidR="004659D2" w:rsidTr="00A25703">
        <w:trPr>
          <w:trHeight w:val="240"/>
        </w:trPr>
        <w:tc>
          <w:tcPr>
            <w:tcW w:w="1317"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Default="00D75A68">
            <w:pPr>
              <w:spacing w:before="40" w:after="40" w:line="240" w:lineRule="exact"/>
              <w:jc w:val="left"/>
              <w:rPr>
                <w:rFonts w:ascii="仿宋" w:eastAsia="仿宋" w:hAnsi="仿宋" w:cs="仿宋"/>
                <w:sz w:val="24"/>
                <w:szCs w:val="24"/>
              </w:rPr>
            </w:pPr>
            <w:r>
              <w:rPr>
                <w:rFonts w:ascii="仿宋" w:eastAsia="仿宋" w:hAnsi="仿宋" w:cs="仿宋" w:hint="eastAsia"/>
                <w:sz w:val="24"/>
                <w:szCs w:val="24"/>
              </w:rPr>
              <w:t>经营活动产生的现金流量净额</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-65,639,995.29</w:t>
            </w:r>
          </w:p>
        </w:tc>
        <w:tc>
          <w:tcPr>
            <w:tcW w:w="901"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3,818,474.86</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-39,911,696.38</w:t>
            </w:r>
          </w:p>
        </w:tc>
        <w:tc>
          <w:tcPr>
            <w:tcW w:w="927" w:type="pct"/>
            <w:tcBorders>
              <w:top w:val="single" w:sz="2" w:space="0" w:color="auto"/>
              <w:left w:val="single" w:sz="2" w:space="0" w:color="auto"/>
              <w:bottom w:val="single" w:sz="2" w:space="0" w:color="auto"/>
              <w:right w:val="single" w:sz="2" w:space="0" w:color="auto"/>
            </w:tcBorders>
            <w:vAlign w:val="center"/>
          </w:tcPr>
          <w:p w:rsidR="004659D2" w:rsidRPr="00AF5591" w:rsidRDefault="00D75A68">
            <w:pPr>
              <w:spacing w:line="240" w:lineRule="exact"/>
              <w:jc w:val="right"/>
              <w:rPr>
                <w:rFonts w:eastAsia="仿宋"/>
                <w:sz w:val="24"/>
                <w:szCs w:val="24"/>
              </w:rPr>
            </w:pPr>
            <w:r w:rsidRPr="00AF5591">
              <w:rPr>
                <w:rFonts w:eastAsia="仿宋"/>
                <w:sz w:val="24"/>
                <w:szCs w:val="24"/>
              </w:rPr>
              <w:t>47,493,712.43</w:t>
            </w:r>
          </w:p>
        </w:tc>
      </w:tr>
    </w:tbl>
    <w:p w:rsidR="004659D2" w:rsidRDefault="00D75A68">
      <w:pPr>
        <w:spacing w:before="100" w:after="100" w:line="288" w:lineRule="auto"/>
        <w:jc w:val="left"/>
        <w:rPr>
          <w:rFonts w:ascii="仿宋" w:eastAsia="仿宋" w:hAnsi="仿宋" w:cs="宋体"/>
          <w:kern w:val="2"/>
          <w:sz w:val="24"/>
          <w:szCs w:val="24"/>
        </w:rPr>
      </w:pPr>
      <w:r>
        <w:rPr>
          <w:rFonts w:ascii="仿宋" w:eastAsia="仿宋" w:hAnsi="仿宋" w:cs="宋体"/>
          <w:kern w:val="2"/>
          <w:sz w:val="24"/>
          <w:szCs w:val="24"/>
        </w:rPr>
        <w:t>上述财务指标或其加总数是否与公司已披露季度报告、半年度报告相关财务指标存在重大差异</w:t>
      </w:r>
    </w:p>
    <w:p w:rsidR="004659D2" w:rsidRDefault="00D75A68">
      <w:pPr>
        <w:spacing w:before="100" w:after="100" w:line="288" w:lineRule="auto"/>
        <w:jc w:val="left"/>
        <w:rPr>
          <w:rFonts w:ascii="仿宋" w:eastAsia="仿宋" w:hAnsi="仿宋" w:cs="宋体"/>
          <w:kern w:val="2"/>
          <w:sz w:val="24"/>
          <w:szCs w:val="24"/>
        </w:rPr>
      </w:pPr>
      <w:r>
        <w:rPr>
          <w:rFonts w:ascii="仿宋" w:eastAsia="仿宋" w:hAnsi="仿宋" w:cs="宋体"/>
          <w:kern w:val="2"/>
          <w:sz w:val="24"/>
          <w:szCs w:val="24"/>
        </w:rPr>
        <w:t xml:space="preserve">□是 </w:t>
      </w:r>
      <w:r>
        <w:rPr>
          <w:rFonts w:ascii="仿宋" w:eastAsia="仿宋" w:hAnsi="仿宋" w:cs="宋体"/>
          <w:kern w:val="2"/>
          <w:sz w:val="24"/>
          <w:szCs w:val="24"/>
        </w:rPr>
        <w:sym w:font="Wingdings 2" w:char="F052"/>
      </w:r>
      <w:r>
        <w:rPr>
          <w:rFonts w:ascii="仿宋" w:eastAsia="仿宋" w:hAnsi="仿宋" w:cs="宋体"/>
          <w:kern w:val="2"/>
          <w:sz w:val="24"/>
          <w:szCs w:val="24"/>
        </w:rPr>
        <w:t>否</w:t>
      </w:r>
    </w:p>
    <w:p w:rsidR="004659D2" w:rsidRPr="004E3280" w:rsidRDefault="003B4DCF" w:rsidP="004E3280">
      <w:pPr>
        <w:keepNext/>
        <w:keepLines/>
        <w:spacing w:beforeLines="50" w:before="156" w:afterLines="50" w:after="156" w:line="280" w:lineRule="exact"/>
        <w:jc w:val="left"/>
        <w:outlineLvl w:val="1"/>
        <w:rPr>
          <w:rFonts w:ascii="仿宋" w:eastAsia="仿宋" w:hAnsi="仿宋" w:cs="仿宋"/>
          <w:b/>
          <w:bCs/>
          <w:sz w:val="28"/>
          <w:szCs w:val="21"/>
        </w:rPr>
      </w:pPr>
      <w:bookmarkStart w:id="7" w:name="_Toc988896"/>
      <w:r w:rsidRPr="004E3280">
        <w:rPr>
          <w:rFonts w:ascii="仿宋" w:eastAsia="仿宋" w:hAnsi="仿宋" w:cs="仿宋" w:hint="eastAsia"/>
          <w:b/>
          <w:bCs/>
          <w:sz w:val="28"/>
          <w:szCs w:val="21"/>
        </w:rPr>
        <w:t>4.</w:t>
      </w:r>
      <w:r w:rsidR="00D75A68" w:rsidRPr="004E3280">
        <w:rPr>
          <w:rFonts w:ascii="仿宋" w:eastAsia="仿宋" w:hAnsi="仿宋" w:cs="仿宋"/>
          <w:b/>
          <w:bCs/>
          <w:sz w:val="28"/>
          <w:szCs w:val="21"/>
        </w:rPr>
        <w:t>股本及股东情况</w:t>
      </w:r>
      <w:bookmarkEnd w:id="7"/>
    </w:p>
    <w:p w:rsidR="004659D2" w:rsidRDefault="00D75A68" w:rsidP="003B4DCF">
      <w:pPr>
        <w:keepNext/>
        <w:keepLines/>
        <w:spacing w:before="300" w:after="300" w:line="288" w:lineRule="auto"/>
        <w:outlineLvl w:val="2"/>
        <w:rPr>
          <w:rFonts w:ascii="仿宋" w:eastAsia="仿宋" w:hAnsi="仿宋" w:cs="宋体"/>
          <w:b/>
          <w:bCs/>
          <w:sz w:val="24"/>
          <w:szCs w:val="24"/>
        </w:rPr>
      </w:pPr>
      <w:bookmarkStart w:id="8" w:name="_Toc988897"/>
      <w:r>
        <w:rPr>
          <w:rFonts w:ascii="仿宋" w:eastAsia="仿宋" w:hAnsi="仿宋" w:cs="宋体"/>
          <w:b/>
          <w:bCs/>
          <w:sz w:val="24"/>
          <w:szCs w:val="24"/>
        </w:rPr>
        <w:t>（1） 普通股股东和表决权恢复的优先股股东数量及前10名股东持股情况表</w:t>
      </w:r>
      <w:bookmarkEnd w:id="8"/>
    </w:p>
    <w:p w:rsidR="004659D2" w:rsidRDefault="00D75A68">
      <w:pPr>
        <w:spacing w:before="40" w:after="40" w:line="288" w:lineRule="auto"/>
        <w:jc w:val="right"/>
        <w:rPr>
          <w:rFonts w:ascii="仿宋" w:eastAsia="仿宋" w:hAnsi="仿宋" w:cs="宋体"/>
          <w:sz w:val="24"/>
          <w:szCs w:val="24"/>
        </w:rPr>
      </w:pPr>
      <w:r>
        <w:rPr>
          <w:rFonts w:ascii="仿宋" w:eastAsia="仿宋" w:hAnsi="仿宋" w:cs="宋体"/>
          <w:sz w:val="24"/>
          <w:szCs w:val="24"/>
        </w:rPr>
        <w:t>单位：股</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9"/>
        <w:gridCol w:w="1002"/>
        <w:gridCol w:w="1205"/>
        <w:gridCol w:w="815"/>
        <w:gridCol w:w="1196"/>
        <w:gridCol w:w="337"/>
        <w:gridCol w:w="1557"/>
        <w:gridCol w:w="432"/>
        <w:gridCol w:w="337"/>
        <w:gridCol w:w="1547"/>
        <w:gridCol w:w="336"/>
      </w:tblGrid>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rPr>
                <w:rFonts w:eastAsia="仿宋"/>
                <w:sz w:val="24"/>
                <w:szCs w:val="24"/>
              </w:rPr>
            </w:pPr>
            <w:r w:rsidRPr="006F79DC">
              <w:rPr>
                <w:rFonts w:eastAsia="仿宋"/>
                <w:sz w:val="24"/>
                <w:szCs w:val="24"/>
              </w:rPr>
              <w:t>报告期末普通股股东总数</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12,695</w:t>
            </w:r>
          </w:p>
        </w:tc>
        <w:tc>
          <w:tcPr>
            <w:tcW w:w="612"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rPr>
                <w:rFonts w:eastAsia="仿宋"/>
                <w:sz w:val="24"/>
                <w:szCs w:val="24"/>
              </w:rPr>
            </w:pPr>
            <w:r w:rsidRPr="006F79DC">
              <w:rPr>
                <w:rFonts w:eastAsia="仿宋"/>
                <w:sz w:val="24"/>
                <w:szCs w:val="24"/>
              </w:rPr>
              <w:t>年度报告披露日前一个月末普通股股东总数</w:t>
            </w:r>
          </w:p>
        </w:tc>
        <w:tc>
          <w:tcPr>
            <w:tcW w:w="414"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9,667</w:t>
            </w:r>
          </w:p>
        </w:tc>
        <w:tc>
          <w:tcPr>
            <w:tcW w:w="606"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rPr>
                <w:rFonts w:eastAsia="仿宋"/>
                <w:sz w:val="24"/>
                <w:szCs w:val="24"/>
              </w:rPr>
            </w:pPr>
            <w:r w:rsidRPr="006F79DC">
              <w:rPr>
                <w:rFonts w:eastAsia="仿宋"/>
                <w:sz w:val="24"/>
                <w:szCs w:val="24"/>
              </w:rPr>
              <w:t>报告期末表决权恢复的优先股股东总数</w:t>
            </w:r>
          </w:p>
        </w:tc>
        <w:tc>
          <w:tcPr>
            <w:tcW w:w="171"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w:t>
            </w:r>
          </w:p>
        </w:tc>
        <w:tc>
          <w:tcPr>
            <w:tcW w:w="100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rPr>
                <w:rFonts w:eastAsia="仿宋"/>
                <w:sz w:val="24"/>
                <w:szCs w:val="24"/>
              </w:rPr>
            </w:pPr>
            <w:r w:rsidRPr="006F79DC">
              <w:rPr>
                <w:rFonts w:eastAsia="仿宋"/>
                <w:sz w:val="24"/>
                <w:szCs w:val="24"/>
              </w:rPr>
              <w:t>年度报告披露日前一个月末表决权恢复的优先股股东总数</w:t>
            </w:r>
          </w:p>
        </w:tc>
        <w:tc>
          <w:tcPr>
            <w:tcW w:w="171"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w:t>
            </w:r>
          </w:p>
        </w:tc>
        <w:tc>
          <w:tcPr>
            <w:tcW w:w="785" w:type="pc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rPr>
                <w:rFonts w:eastAsia="仿宋"/>
                <w:sz w:val="24"/>
                <w:szCs w:val="24"/>
              </w:rPr>
            </w:pPr>
            <w:r w:rsidRPr="006F79DC">
              <w:rPr>
                <w:rFonts w:eastAsia="仿宋"/>
                <w:sz w:val="24"/>
                <w:szCs w:val="24"/>
              </w:rPr>
              <w:t>持有特别表决权股份的股东总数（如有）</w:t>
            </w:r>
          </w:p>
        </w:tc>
        <w:tc>
          <w:tcPr>
            <w:tcW w:w="171"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w:t>
            </w:r>
          </w:p>
        </w:tc>
      </w:tr>
      <w:tr w:rsidR="004659D2" w:rsidRPr="006F79DC" w:rsidTr="00B70AA9">
        <w:trPr>
          <w:trHeight w:val="227"/>
        </w:trPr>
        <w:tc>
          <w:tcPr>
            <w:tcW w:w="5000" w:type="pct"/>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jc w:val="center"/>
              <w:rPr>
                <w:rFonts w:eastAsia="仿宋"/>
                <w:sz w:val="24"/>
                <w:szCs w:val="24"/>
              </w:rPr>
            </w:pPr>
            <w:r w:rsidRPr="006F79DC">
              <w:rPr>
                <w:rFonts w:eastAsia="仿宋"/>
                <w:sz w:val="24"/>
                <w:szCs w:val="24"/>
              </w:rPr>
              <w:t>前</w:t>
            </w:r>
            <w:r w:rsidRPr="006F79DC">
              <w:rPr>
                <w:rFonts w:eastAsia="仿宋"/>
                <w:sz w:val="24"/>
                <w:szCs w:val="24"/>
              </w:rPr>
              <w:t>10</w:t>
            </w:r>
            <w:r w:rsidRPr="006F79DC">
              <w:rPr>
                <w:rFonts w:eastAsia="仿宋"/>
                <w:sz w:val="24"/>
                <w:szCs w:val="24"/>
              </w:rPr>
              <w:t>名股东持股情况（不含通过转融通出借股份）</w:t>
            </w:r>
          </w:p>
        </w:tc>
      </w:tr>
      <w:tr w:rsidR="004659D2" w:rsidRPr="006F79DC" w:rsidTr="00B70AA9">
        <w:trPr>
          <w:trHeight w:val="227"/>
        </w:trPr>
        <w:tc>
          <w:tcPr>
            <w:tcW w:w="553"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jc w:val="center"/>
              <w:rPr>
                <w:rFonts w:eastAsia="仿宋"/>
                <w:sz w:val="24"/>
                <w:szCs w:val="24"/>
              </w:rPr>
            </w:pPr>
            <w:r w:rsidRPr="006F79DC">
              <w:rPr>
                <w:rFonts w:eastAsia="仿宋"/>
                <w:sz w:val="24"/>
                <w:szCs w:val="24"/>
              </w:rPr>
              <w:t>股东名称</w:t>
            </w:r>
          </w:p>
        </w:tc>
        <w:tc>
          <w:tcPr>
            <w:tcW w:w="509"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jc w:val="center"/>
              <w:rPr>
                <w:rFonts w:eastAsia="仿宋"/>
                <w:sz w:val="24"/>
                <w:szCs w:val="24"/>
              </w:rPr>
            </w:pPr>
            <w:r w:rsidRPr="006F79DC">
              <w:rPr>
                <w:rFonts w:eastAsia="仿宋"/>
                <w:sz w:val="24"/>
                <w:szCs w:val="24"/>
              </w:rPr>
              <w:t>股东性质</w:t>
            </w:r>
          </w:p>
        </w:tc>
        <w:tc>
          <w:tcPr>
            <w:tcW w:w="61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jc w:val="center"/>
              <w:rPr>
                <w:rFonts w:eastAsia="仿宋"/>
                <w:sz w:val="24"/>
                <w:szCs w:val="24"/>
              </w:rPr>
            </w:pPr>
            <w:r w:rsidRPr="006F79DC">
              <w:rPr>
                <w:rFonts w:eastAsia="仿宋"/>
                <w:sz w:val="24"/>
                <w:szCs w:val="24"/>
              </w:rPr>
              <w:t>持股比例</w:t>
            </w:r>
          </w:p>
        </w:tc>
        <w:tc>
          <w:tcPr>
            <w:tcW w:w="1021" w:type="pct"/>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jc w:val="center"/>
              <w:rPr>
                <w:rFonts w:eastAsia="仿宋"/>
                <w:sz w:val="24"/>
                <w:szCs w:val="24"/>
              </w:rPr>
            </w:pPr>
            <w:r w:rsidRPr="006F79DC">
              <w:rPr>
                <w:rFonts w:eastAsia="仿宋"/>
                <w:sz w:val="24"/>
                <w:szCs w:val="24"/>
              </w:rPr>
              <w:t>持股数量</w:t>
            </w:r>
          </w:p>
        </w:tc>
        <w:tc>
          <w:tcPr>
            <w:tcW w:w="961" w:type="pct"/>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jc w:val="center"/>
              <w:rPr>
                <w:rFonts w:eastAsia="仿宋"/>
                <w:sz w:val="24"/>
                <w:szCs w:val="24"/>
              </w:rPr>
            </w:pPr>
            <w:r w:rsidRPr="006F79DC">
              <w:rPr>
                <w:rFonts w:eastAsia="仿宋"/>
                <w:sz w:val="24"/>
                <w:szCs w:val="24"/>
              </w:rPr>
              <w:t>持有有限售条件的股份数量</w:t>
            </w:r>
          </w:p>
        </w:tc>
        <w:tc>
          <w:tcPr>
            <w:tcW w:w="1345" w:type="pct"/>
            <w:gridSpan w:val="4"/>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jc w:val="center"/>
              <w:rPr>
                <w:rFonts w:eastAsia="仿宋"/>
                <w:sz w:val="24"/>
                <w:szCs w:val="24"/>
              </w:rPr>
            </w:pPr>
            <w:r w:rsidRPr="006F79DC">
              <w:rPr>
                <w:rFonts w:eastAsia="仿宋"/>
                <w:sz w:val="24"/>
                <w:szCs w:val="24"/>
              </w:rPr>
              <w:t>质押、标记或冻结情况</w:t>
            </w:r>
          </w:p>
        </w:tc>
      </w:tr>
      <w:tr w:rsidR="004659D2" w:rsidRPr="006F79DC" w:rsidTr="00B70AA9">
        <w:trPr>
          <w:trHeight w:val="227"/>
        </w:trPr>
        <w:tc>
          <w:tcPr>
            <w:tcW w:w="553"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4659D2">
            <w:pPr>
              <w:spacing w:line="288" w:lineRule="auto"/>
              <w:rPr>
                <w:rFonts w:eastAsia="仿宋"/>
                <w:sz w:val="24"/>
                <w:szCs w:val="24"/>
              </w:rPr>
            </w:pPr>
          </w:p>
        </w:tc>
        <w:tc>
          <w:tcPr>
            <w:tcW w:w="509"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4659D2">
            <w:pPr>
              <w:spacing w:line="288" w:lineRule="auto"/>
              <w:rPr>
                <w:rFonts w:eastAsia="仿宋"/>
                <w:sz w:val="24"/>
                <w:szCs w:val="24"/>
              </w:rPr>
            </w:pPr>
          </w:p>
        </w:tc>
        <w:tc>
          <w:tcPr>
            <w:tcW w:w="61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4659D2">
            <w:pPr>
              <w:spacing w:line="288" w:lineRule="auto"/>
              <w:rPr>
                <w:rFonts w:eastAsia="仿宋"/>
                <w:sz w:val="24"/>
                <w:szCs w:val="24"/>
              </w:rPr>
            </w:pPr>
          </w:p>
        </w:tc>
        <w:tc>
          <w:tcPr>
            <w:tcW w:w="1021" w:type="pct"/>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4659D2">
            <w:pPr>
              <w:spacing w:line="288" w:lineRule="auto"/>
              <w:rPr>
                <w:rFonts w:eastAsia="仿宋"/>
                <w:sz w:val="24"/>
                <w:szCs w:val="24"/>
              </w:rPr>
            </w:pPr>
          </w:p>
        </w:tc>
        <w:tc>
          <w:tcPr>
            <w:tcW w:w="961" w:type="pct"/>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4659D2">
            <w:pPr>
              <w:spacing w:line="288" w:lineRule="auto"/>
              <w:rPr>
                <w:rFonts w:eastAsia="仿宋"/>
                <w:sz w:val="24"/>
                <w:szCs w:val="24"/>
              </w:rPr>
            </w:pPr>
          </w:p>
        </w:tc>
        <w:tc>
          <w:tcPr>
            <w:tcW w:w="38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jc w:val="center"/>
              <w:rPr>
                <w:rFonts w:eastAsia="仿宋"/>
                <w:sz w:val="24"/>
                <w:szCs w:val="24"/>
              </w:rPr>
            </w:pPr>
            <w:r w:rsidRPr="006F79DC">
              <w:rPr>
                <w:rFonts w:eastAsia="仿宋"/>
                <w:sz w:val="24"/>
                <w:szCs w:val="24"/>
              </w:rPr>
              <w:t>股份状态</w:t>
            </w:r>
          </w:p>
        </w:tc>
        <w:tc>
          <w:tcPr>
            <w:tcW w:w="956"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jc w:val="center"/>
              <w:rPr>
                <w:rFonts w:eastAsia="仿宋"/>
                <w:sz w:val="24"/>
                <w:szCs w:val="24"/>
              </w:rPr>
            </w:pPr>
            <w:r w:rsidRPr="006F79DC">
              <w:rPr>
                <w:rFonts w:eastAsia="仿宋"/>
                <w:sz w:val="24"/>
                <w:szCs w:val="24"/>
              </w:rPr>
              <w:t>数量</w:t>
            </w:r>
          </w:p>
        </w:tc>
      </w:tr>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林明玲</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境内自然人</w:t>
            </w:r>
          </w:p>
        </w:tc>
        <w:tc>
          <w:tcPr>
            <w:tcW w:w="612"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28.80%</w:t>
            </w:r>
          </w:p>
        </w:tc>
        <w:tc>
          <w:tcPr>
            <w:tcW w:w="102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19,327,824.00</w:t>
            </w:r>
          </w:p>
        </w:tc>
        <w:tc>
          <w:tcPr>
            <w:tcW w:w="96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19,327,824.00</w:t>
            </w:r>
          </w:p>
        </w:tc>
        <w:tc>
          <w:tcPr>
            <w:tcW w:w="389"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质押</w:t>
            </w:r>
          </w:p>
        </w:tc>
        <w:tc>
          <w:tcPr>
            <w:tcW w:w="956"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5,060,000.00</w:t>
            </w:r>
          </w:p>
        </w:tc>
      </w:tr>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马学沛</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境内自然人</w:t>
            </w:r>
          </w:p>
        </w:tc>
        <w:tc>
          <w:tcPr>
            <w:tcW w:w="612"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6.23%</w:t>
            </w:r>
          </w:p>
        </w:tc>
        <w:tc>
          <w:tcPr>
            <w:tcW w:w="102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4,182,120.00</w:t>
            </w:r>
          </w:p>
        </w:tc>
        <w:tc>
          <w:tcPr>
            <w:tcW w:w="96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4,182,120.00</w:t>
            </w:r>
          </w:p>
        </w:tc>
        <w:tc>
          <w:tcPr>
            <w:tcW w:w="389"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质押</w:t>
            </w:r>
          </w:p>
        </w:tc>
        <w:tc>
          <w:tcPr>
            <w:tcW w:w="956"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3,600,000.00</w:t>
            </w:r>
          </w:p>
        </w:tc>
      </w:tr>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南京优志投资管理合伙企业（有限合伙）</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境内非国有法人</w:t>
            </w:r>
          </w:p>
        </w:tc>
        <w:tc>
          <w:tcPr>
            <w:tcW w:w="612"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4.28%</w:t>
            </w:r>
          </w:p>
        </w:tc>
        <w:tc>
          <w:tcPr>
            <w:tcW w:w="102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2,875,000.00</w:t>
            </w:r>
          </w:p>
        </w:tc>
        <w:tc>
          <w:tcPr>
            <w:tcW w:w="96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c>
          <w:tcPr>
            <w:tcW w:w="389"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不适用</w:t>
            </w:r>
          </w:p>
        </w:tc>
        <w:tc>
          <w:tcPr>
            <w:tcW w:w="956"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r>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lastRenderedPageBreak/>
              <w:t>共青城东兴博元投资中心（有限合伙）</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境内非国有法人</w:t>
            </w:r>
          </w:p>
        </w:tc>
        <w:tc>
          <w:tcPr>
            <w:tcW w:w="612"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3.63%</w:t>
            </w:r>
          </w:p>
        </w:tc>
        <w:tc>
          <w:tcPr>
            <w:tcW w:w="102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2,438,401.00</w:t>
            </w:r>
          </w:p>
        </w:tc>
        <w:tc>
          <w:tcPr>
            <w:tcW w:w="96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c>
          <w:tcPr>
            <w:tcW w:w="389"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不适用</w:t>
            </w:r>
          </w:p>
        </w:tc>
        <w:tc>
          <w:tcPr>
            <w:tcW w:w="956"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r>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南京乐遂信息咨询管理合伙企业（有限合伙）</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境内非国有法人</w:t>
            </w:r>
          </w:p>
        </w:tc>
        <w:tc>
          <w:tcPr>
            <w:tcW w:w="612"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1.47%</w:t>
            </w:r>
          </w:p>
        </w:tc>
        <w:tc>
          <w:tcPr>
            <w:tcW w:w="102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983,186.00</w:t>
            </w:r>
          </w:p>
        </w:tc>
        <w:tc>
          <w:tcPr>
            <w:tcW w:w="96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c>
          <w:tcPr>
            <w:tcW w:w="389"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不适用</w:t>
            </w:r>
          </w:p>
        </w:tc>
        <w:tc>
          <w:tcPr>
            <w:tcW w:w="956"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r>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广东天亿马信息产业股份有限公司－</w:t>
            </w:r>
            <w:r w:rsidRPr="006F79DC">
              <w:rPr>
                <w:rFonts w:eastAsia="仿宋"/>
                <w:sz w:val="24"/>
                <w:szCs w:val="24"/>
              </w:rPr>
              <w:t>2023</w:t>
            </w:r>
            <w:r w:rsidRPr="006F79DC">
              <w:rPr>
                <w:rFonts w:eastAsia="仿宋"/>
                <w:sz w:val="24"/>
                <w:szCs w:val="24"/>
              </w:rPr>
              <w:t>年员工持股计划</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其他</w:t>
            </w:r>
          </w:p>
        </w:tc>
        <w:tc>
          <w:tcPr>
            <w:tcW w:w="612"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0.70%</w:t>
            </w:r>
          </w:p>
        </w:tc>
        <w:tc>
          <w:tcPr>
            <w:tcW w:w="102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472,400.00</w:t>
            </w:r>
          </w:p>
        </w:tc>
        <w:tc>
          <w:tcPr>
            <w:tcW w:w="96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c>
          <w:tcPr>
            <w:tcW w:w="389"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不适用</w:t>
            </w:r>
          </w:p>
        </w:tc>
        <w:tc>
          <w:tcPr>
            <w:tcW w:w="956"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r>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唐旭东</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境内自然人</w:t>
            </w:r>
          </w:p>
        </w:tc>
        <w:tc>
          <w:tcPr>
            <w:tcW w:w="612"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0.53%</w:t>
            </w:r>
          </w:p>
        </w:tc>
        <w:tc>
          <w:tcPr>
            <w:tcW w:w="102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355,860.00</w:t>
            </w:r>
          </w:p>
        </w:tc>
        <w:tc>
          <w:tcPr>
            <w:tcW w:w="96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c>
          <w:tcPr>
            <w:tcW w:w="389"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不适用</w:t>
            </w:r>
          </w:p>
        </w:tc>
        <w:tc>
          <w:tcPr>
            <w:tcW w:w="956"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r>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郑树英</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境内自然人</w:t>
            </w:r>
          </w:p>
        </w:tc>
        <w:tc>
          <w:tcPr>
            <w:tcW w:w="612"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0.49%</w:t>
            </w:r>
          </w:p>
        </w:tc>
        <w:tc>
          <w:tcPr>
            <w:tcW w:w="102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327,229.00</w:t>
            </w:r>
          </w:p>
        </w:tc>
        <w:tc>
          <w:tcPr>
            <w:tcW w:w="96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c>
          <w:tcPr>
            <w:tcW w:w="389"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不适用</w:t>
            </w:r>
          </w:p>
        </w:tc>
        <w:tc>
          <w:tcPr>
            <w:tcW w:w="956"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r>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李建华</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境内自然人</w:t>
            </w:r>
          </w:p>
        </w:tc>
        <w:tc>
          <w:tcPr>
            <w:tcW w:w="612"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0.35%</w:t>
            </w:r>
          </w:p>
        </w:tc>
        <w:tc>
          <w:tcPr>
            <w:tcW w:w="102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235,500.00</w:t>
            </w:r>
          </w:p>
        </w:tc>
        <w:tc>
          <w:tcPr>
            <w:tcW w:w="96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c>
          <w:tcPr>
            <w:tcW w:w="389"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不适用</w:t>
            </w:r>
          </w:p>
        </w:tc>
        <w:tc>
          <w:tcPr>
            <w:tcW w:w="956"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r>
      <w:tr w:rsidR="004659D2" w:rsidRPr="006F79DC" w:rsidTr="00B70AA9">
        <w:trPr>
          <w:trHeight w:val="227"/>
        </w:trPr>
        <w:tc>
          <w:tcPr>
            <w:tcW w:w="553"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赵林泓</w:t>
            </w:r>
          </w:p>
        </w:tc>
        <w:tc>
          <w:tcPr>
            <w:tcW w:w="509"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境内自然人</w:t>
            </w:r>
          </w:p>
        </w:tc>
        <w:tc>
          <w:tcPr>
            <w:tcW w:w="612" w:type="pct"/>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0.34%</w:t>
            </w:r>
          </w:p>
        </w:tc>
        <w:tc>
          <w:tcPr>
            <w:tcW w:w="102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228,900.00</w:t>
            </w:r>
          </w:p>
        </w:tc>
        <w:tc>
          <w:tcPr>
            <w:tcW w:w="961"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c>
          <w:tcPr>
            <w:tcW w:w="389"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不适用</w:t>
            </w:r>
          </w:p>
        </w:tc>
        <w:tc>
          <w:tcPr>
            <w:tcW w:w="956" w:type="pct"/>
            <w:gridSpan w:val="2"/>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jc w:val="right"/>
              <w:rPr>
                <w:rFonts w:eastAsia="仿宋"/>
                <w:sz w:val="24"/>
                <w:szCs w:val="24"/>
              </w:rPr>
            </w:pPr>
            <w:r w:rsidRPr="006F79DC">
              <w:rPr>
                <w:rFonts w:eastAsia="仿宋"/>
                <w:sz w:val="24"/>
                <w:szCs w:val="24"/>
              </w:rPr>
              <w:t>0.00</w:t>
            </w:r>
          </w:p>
        </w:tc>
      </w:tr>
      <w:tr w:rsidR="004659D2" w:rsidRPr="006F79DC" w:rsidTr="00B70AA9">
        <w:trPr>
          <w:trHeight w:val="227"/>
        </w:trPr>
        <w:tc>
          <w:tcPr>
            <w:tcW w:w="1062"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4659D2" w:rsidRPr="006F79DC" w:rsidRDefault="00D75A68">
            <w:pPr>
              <w:spacing w:before="40" w:after="40" w:line="288" w:lineRule="auto"/>
              <w:rPr>
                <w:rFonts w:eastAsia="仿宋"/>
                <w:sz w:val="24"/>
                <w:szCs w:val="24"/>
              </w:rPr>
            </w:pPr>
            <w:r w:rsidRPr="006F79DC">
              <w:rPr>
                <w:rFonts w:eastAsia="仿宋"/>
                <w:sz w:val="24"/>
                <w:szCs w:val="24"/>
              </w:rPr>
              <w:t>上述股东关联关系或一致行动的说明</w:t>
            </w:r>
          </w:p>
        </w:tc>
        <w:tc>
          <w:tcPr>
            <w:tcW w:w="3938" w:type="pct"/>
            <w:gridSpan w:val="9"/>
            <w:tcBorders>
              <w:top w:val="single" w:sz="2" w:space="0" w:color="auto"/>
              <w:left w:val="single" w:sz="2" w:space="0" w:color="auto"/>
              <w:bottom w:val="single" w:sz="2" w:space="0" w:color="auto"/>
              <w:right w:val="single" w:sz="2" w:space="0" w:color="auto"/>
            </w:tcBorders>
            <w:vAlign w:val="center"/>
          </w:tcPr>
          <w:p w:rsidR="004659D2" w:rsidRPr="006F79DC" w:rsidRDefault="00D75A68">
            <w:pPr>
              <w:spacing w:line="288" w:lineRule="auto"/>
              <w:rPr>
                <w:rFonts w:eastAsia="仿宋"/>
                <w:sz w:val="24"/>
                <w:szCs w:val="24"/>
              </w:rPr>
            </w:pPr>
            <w:r w:rsidRPr="006F79DC">
              <w:rPr>
                <w:rFonts w:eastAsia="仿宋"/>
                <w:sz w:val="24"/>
                <w:szCs w:val="24"/>
              </w:rPr>
              <w:t>普通股前十名股东之间，马学沛与林明玲系夫妻关系，马学沛为南京优志投资管理合伙企业（有限合伙）的执行事务合伙人。上述其他股东之间未知是否存在关联关系或属于一致行动人。</w:t>
            </w:r>
          </w:p>
        </w:tc>
      </w:tr>
    </w:tbl>
    <w:p w:rsidR="004659D2" w:rsidRDefault="00D75A68">
      <w:pPr>
        <w:spacing w:before="100" w:after="100" w:line="288" w:lineRule="auto"/>
        <w:jc w:val="left"/>
        <w:rPr>
          <w:rFonts w:ascii="仿宋" w:eastAsia="仿宋" w:hAnsi="仿宋" w:cs="宋体"/>
          <w:kern w:val="2"/>
          <w:sz w:val="24"/>
          <w:szCs w:val="24"/>
        </w:rPr>
      </w:pPr>
      <w:r>
        <w:rPr>
          <w:rFonts w:ascii="仿宋" w:eastAsia="仿宋" w:hAnsi="仿宋" w:cs="宋体"/>
          <w:kern w:val="2"/>
          <w:sz w:val="24"/>
          <w:szCs w:val="24"/>
        </w:rPr>
        <w:t>持股5%以上股东、前10名股东及前10名无限售流通股股东参与转融通业务出借股份情况</w:t>
      </w:r>
    </w:p>
    <w:p w:rsidR="004659D2" w:rsidRDefault="00D75A68">
      <w:pPr>
        <w:spacing w:before="100" w:after="100" w:line="288" w:lineRule="auto"/>
        <w:jc w:val="left"/>
        <w:rPr>
          <w:rFonts w:ascii="仿宋" w:eastAsia="仿宋" w:hAnsi="仿宋" w:cs="宋体"/>
          <w:kern w:val="2"/>
          <w:sz w:val="24"/>
          <w:szCs w:val="24"/>
        </w:rPr>
      </w:pPr>
      <w:r>
        <w:rPr>
          <w:rFonts w:ascii="仿宋" w:eastAsia="仿宋" w:hAnsi="仿宋" w:cs="宋体"/>
          <w:kern w:val="2"/>
          <w:sz w:val="24"/>
          <w:szCs w:val="24"/>
        </w:rPr>
        <w:t xml:space="preserve">□适用 </w:t>
      </w:r>
      <w:r>
        <w:rPr>
          <w:rFonts w:ascii="仿宋" w:eastAsia="仿宋" w:hAnsi="仿宋" w:cs="宋体"/>
          <w:kern w:val="2"/>
          <w:sz w:val="24"/>
          <w:szCs w:val="24"/>
        </w:rPr>
        <w:sym w:font="Wingdings 2" w:char="F052"/>
      </w:r>
      <w:r>
        <w:rPr>
          <w:rFonts w:ascii="仿宋" w:eastAsia="仿宋" w:hAnsi="仿宋" w:cs="宋体"/>
          <w:kern w:val="2"/>
          <w:sz w:val="24"/>
          <w:szCs w:val="24"/>
        </w:rPr>
        <w:t>不适用</w:t>
      </w:r>
    </w:p>
    <w:p w:rsidR="004659D2" w:rsidRDefault="00D75A68">
      <w:pPr>
        <w:spacing w:before="100" w:after="100" w:line="288" w:lineRule="auto"/>
        <w:jc w:val="left"/>
        <w:rPr>
          <w:rFonts w:ascii="仿宋" w:eastAsia="仿宋" w:hAnsi="仿宋" w:cs="宋体"/>
          <w:kern w:val="2"/>
          <w:sz w:val="24"/>
          <w:szCs w:val="24"/>
        </w:rPr>
      </w:pPr>
      <w:r>
        <w:rPr>
          <w:rFonts w:ascii="仿宋" w:eastAsia="仿宋" w:hAnsi="仿宋" w:cs="宋体"/>
          <w:kern w:val="2"/>
          <w:sz w:val="24"/>
          <w:szCs w:val="24"/>
        </w:rPr>
        <w:t>前10名股东及前10名无限售流通股股东因转融通出借/归还原因导致较上期发生变化</w:t>
      </w:r>
    </w:p>
    <w:p w:rsidR="004659D2" w:rsidRDefault="00D75A68">
      <w:pPr>
        <w:spacing w:before="100" w:after="100" w:line="288" w:lineRule="auto"/>
        <w:jc w:val="left"/>
        <w:rPr>
          <w:rFonts w:ascii="仿宋" w:eastAsia="仿宋" w:hAnsi="仿宋" w:cs="宋体"/>
          <w:kern w:val="2"/>
          <w:sz w:val="24"/>
          <w:szCs w:val="24"/>
        </w:rPr>
      </w:pPr>
      <w:r>
        <w:rPr>
          <w:rFonts w:ascii="仿宋" w:eastAsia="仿宋" w:hAnsi="仿宋" w:cs="宋体"/>
          <w:kern w:val="2"/>
          <w:sz w:val="24"/>
          <w:szCs w:val="24"/>
        </w:rPr>
        <w:t xml:space="preserve">□适用 </w:t>
      </w:r>
      <w:r>
        <w:rPr>
          <w:rFonts w:ascii="仿宋" w:eastAsia="仿宋" w:hAnsi="仿宋" w:cs="宋体"/>
          <w:kern w:val="2"/>
          <w:sz w:val="24"/>
          <w:szCs w:val="24"/>
        </w:rPr>
        <w:sym w:font="Wingdings 2" w:char="F052"/>
      </w:r>
      <w:r>
        <w:rPr>
          <w:rFonts w:ascii="仿宋" w:eastAsia="仿宋" w:hAnsi="仿宋" w:cs="宋体"/>
          <w:kern w:val="2"/>
          <w:sz w:val="24"/>
          <w:szCs w:val="24"/>
        </w:rPr>
        <w:t>不适用</w:t>
      </w:r>
    </w:p>
    <w:p w:rsidR="004659D2" w:rsidRDefault="00D75A68">
      <w:pPr>
        <w:spacing w:before="100" w:after="100" w:line="288" w:lineRule="auto"/>
        <w:jc w:val="left"/>
        <w:rPr>
          <w:rFonts w:ascii="仿宋" w:eastAsia="仿宋" w:hAnsi="仿宋" w:cs="宋体"/>
          <w:kern w:val="2"/>
          <w:sz w:val="24"/>
          <w:szCs w:val="24"/>
        </w:rPr>
      </w:pPr>
      <w:r>
        <w:rPr>
          <w:rFonts w:ascii="仿宋" w:eastAsia="仿宋" w:hAnsi="仿宋" w:cs="宋体"/>
          <w:kern w:val="2"/>
          <w:sz w:val="24"/>
          <w:szCs w:val="24"/>
        </w:rPr>
        <w:lastRenderedPageBreak/>
        <w:t>公司是否具有表决权差异安排</w:t>
      </w:r>
    </w:p>
    <w:p w:rsidR="004659D2" w:rsidRDefault="00D75A68">
      <w:pPr>
        <w:spacing w:before="100" w:after="100" w:line="288" w:lineRule="auto"/>
        <w:jc w:val="left"/>
        <w:rPr>
          <w:rFonts w:ascii="仿宋" w:eastAsia="仿宋" w:hAnsi="仿宋" w:cs="宋体"/>
          <w:kern w:val="2"/>
          <w:sz w:val="24"/>
          <w:szCs w:val="24"/>
        </w:rPr>
      </w:pPr>
      <w:r>
        <w:rPr>
          <w:rFonts w:ascii="仿宋" w:eastAsia="仿宋" w:hAnsi="仿宋" w:cs="宋体"/>
          <w:kern w:val="2"/>
          <w:sz w:val="24"/>
          <w:szCs w:val="24"/>
        </w:rPr>
        <w:t xml:space="preserve">□适用 </w:t>
      </w:r>
      <w:r>
        <w:rPr>
          <w:rFonts w:ascii="仿宋" w:eastAsia="仿宋" w:hAnsi="仿宋" w:cs="宋体"/>
          <w:kern w:val="2"/>
          <w:sz w:val="24"/>
          <w:szCs w:val="24"/>
        </w:rPr>
        <w:sym w:font="Wingdings 2" w:char="F052"/>
      </w:r>
      <w:r>
        <w:rPr>
          <w:rFonts w:ascii="仿宋" w:eastAsia="仿宋" w:hAnsi="仿宋" w:cs="宋体"/>
          <w:kern w:val="2"/>
          <w:sz w:val="24"/>
          <w:szCs w:val="24"/>
        </w:rPr>
        <w:t>不适用</w:t>
      </w:r>
    </w:p>
    <w:p w:rsidR="004659D2" w:rsidRPr="003B4DCF" w:rsidRDefault="00D75A68" w:rsidP="003B4DCF">
      <w:pPr>
        <w:keepNext/>
        <w:keepLines/>
        <w:spacing w:before="300" w:after="300" w:line="288" w:lineRule="auto"/>
        <w:outlineLvl w:val="2"/>
        <w:rPr>
          <w:rFonts w:ascii="仿宋" w:eastAsia="仿宋" w:hAnsi="仿宋" w:cs="宋体"/>
          <w:b/>
          <w:bCs/>
          <w:sz w:val="24"/>
          <w:szCs w:val="24"/>
        </w:rPr>
      </w:pPr>
      <w:bookmarkStart w:id="9" w:name="_Toc988898"/>
      <w:r w:rsidRPr="003B4DCF">
        <w:rPr>
          <w:rFonts w:ascii="仿宋" w:eastAsia="仿宋" w:hAnsi="仿宋" w:cs="宋体"/>
          <w:b/>
          <w:bCs/>
          <w:sz w:val="24"/>
          <w:szCs w:val="24"/>
        </w:rPr>
        <w:t>（2） 公司优先股股东总数及前10名优先股股东持股情况表</w:t>
      </w:r>
      <w:bookmarkEnd w:id="9"/>
    </w:p>
    <w:p w:rsidR="004659D2" w:rsidRDefault="00D75A68" w:rsidP="003B4DCF">
      <w:pPr>
        <w:keepNext/>
        <w:keepLines/>
        <w:spacing w:before="300" w:after="300" w:line="288" w:lineRule="auto"/>
        <w:jc w:val="left"/>
        <w:rPr>
          <w:rFonts w:ascii="仿宋" w:eastAsia="仿宋" w:hAnsi="仿宋" w:cs="宋体"/>
          <w:kern w:val="2"/>
          <w:sz w:val="24"/>
          <w:szCs w:val="24"/>
        </w:rPr>
      </w:pPr>
      <w:r>
        <w:rPr>
          <w:rFonts w:ascii="仿宋" w:eastAsia="仿宋" w:hAnsi="仿宋" w:cs="宋体"/>
          <w:kern w:val="2"/>
          <w:sz w:val="24"/>
          <w:szCs w:val="24"/>
        </w:rPr>
        <w:t>公司报告期无优先股股东持股情况。</w:t>
      </w:r>
    </w:p>
    <w:p w:rsidR="004659D2" w:rsidRPr="003B4DCF" w:rsidRDefault="00D75A68" w:rsidP="003B4DCF">
      <w:pPr>
        <w:keepNext/>
        <w:keepLines/>
        <w:spacing w:before="300" w:after="300" w:line="288" w:lineRule="auto"/>
        <w:outlineLvl w:val="2"/>
        <w:rPr>
          <w:rFonts w:ascii="仿宋" w:eastAsia="仿宋" w:hAnsi="仿宋" w:cs="宋体"/>
          <w:b/>
          <w:bCs/>
          <w:sz w:val="24"/>
          <w:szCs w:val="24"/>
        </w:rPr>
      </w:pPr>
      <w:bookmarkStart w:id="10" w:name="_Toc988899"/>
      <w:r w:rsidRPr="003B4DCF">
        <w:rPr>
          <w:rFonts w:ascii="仿宋" w:eastAsia="仿宋" w:hAnsi="仿宋" w:cs="宋体"/>
          <w:b/>
          <w:bCs/>
          <w:sz w:val="24"/>
          <w:szCs w:val="24"/>
        </w:rPr>
        <w:t>（3） 以方框图形式披露公司与实际控制人之间的产权及控制关系</w:t>
      </w:r>
      <w:bookmarkEnd w:id="10"/>
    </w:p>
    <w:p w:rsidR="004659D2" w:rsidRDefault="00D75A68">
      <w:pPr>
        <w:spacing w:before="40" w:after="40" w:line="0" w:lineRule="atLeast"/>
      </w:pPr>
      <w:r>
        <w:rPr>
          <w:noProof/>
        </w:rPr>
        <w:drawing>
          <wp:inline distT="0" distB="0" distL="0" distR="0">
            <wp:extent cx="5683885" cy="3366770"/>
            <wp:effectExtent l="0" t="0" r="5715"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cstate="print"/>
                    <a:stretch>
                      <a:fillRect/>
                    </a:stretch>
                  </pic:blipFill>
                  <pic:spPr>
                    <a:xfrm>
                      <a:off x="0" y="0"/>
                      <a:ext cx="5683885" cy="3366770"/>
                    </a:xfrm>
                    <a:prstGeom prst="rect">
                      <a:avLst/>
                    </a:prstGeom>
                  </pic:spPr>
                </pic:pic>
              </a:graphicData>
            </a:graphic>
          </wp:inline>
        </w:drawing>
      </w:r>
    </w:p>
    <w:p w:rsidR="004659D2" w:rsidRPr="004E3280" w:rsidRDefault="00D75A68" w:rsidP="004E3280">
      <w:pPr>
        <w:keepNext/>
        <w:keepLines/>
        <w:spacing w:beforeLines="50" w:before="156" w:afterLines="50" w:after="156" w:line="280" w:lineRule="exact"/>
        <w:jc w:val="left"/>
        <w:outlineLvl w:val="1"/>
        <w:rPr>
          <w:rFonts w:ascii="仿宋" w:eastAsia="仿宋" w:hAnsi="仿宋" w:cs="仿宋"/>
          <w:b/>
          <w:bCs/>
          <w:sz w:val="28"/>
          <w:szCs w:val="21"/>
        </w:rPr>
      </w:pPr>
      <w:bookmarkStart w:id="11" w:name="_Toc988900"/>
      <w:r w:rsidRPr="004E3280">
        <w:rPr>
          <w:rFonts w:ascii="仿宋" w:eastAsia="仿宋" w:hAnsi="仿宋" w:cs="仿宋"/>
          <w:b/>
          <w:bCs/>
          <w:sz w:val="28"/>
          <w:szCs w:val="21"/>
        </w:rPr>
        <w:t>5</w:t>
      </w:r>
      <w:r w:rsidR="003B4DCF" w:rsidRPr="004E3280">
        <w:rPr>
          <w:rFonts w:ascii="仿宋" w:eastAsia="仿宋" w:hAnsi="仿宋" w:cs="仿宋" w:hint="eastAsia"/>
          <w:b/>
          <w:bCs/>
          <w:sz w:val="28"/>
          <w:szCs w:val="21"/>
        </w:rPr>
        <w:t>.</w:t>
      </w:r>
      <w:r w:rsidRPr="004E3280">
        <w:rPr>
          <w:rFonts w:ascii="仿宋" w:eastAsia="仿宋" w:hAnsi="仿宋" w:cs="仿宋"/>
          <w:b/>
          <w:bCs/>
          <w:sz w:val="28"/>
          <w:szCs w:val="21"/>
        </w:rPr>
        <w:t>在年度报告批准报出日存续的债券情况</w:t>
      </w:r>
      <w:bookmarkEnd w:id="11"/>
    </w:p>
    <w:p w:rsidR="004659D2" w:rsidRPr="003B4DCF" w:rsidRDefault="00D75A68" w:rsidP="003B4DCF">
      <w:pPr>
        <w:pStyle w:val="a3"/>
        <w:widowControl/>
        <w:spacing w:before="120" w:beforeAutospacing="0" w:after="120" w:afterAutospacing="0" w:line="288" w:lineRule="auto"/>
        <w:ind w:firstLine="480"/>
        <w:jc w:val="both"/>
        <w:rPr>
          <w:rFonts w:ascii="仿宋" w:eastAsia="仿宋" w:hAnsi="仿宋" w:cs="仿宋"/>
          <w:color w:val="000000"/>
          <w:szCs w:val="24"/>
        </w:rPr>
      </w:pPr>
      <w:r w:rsidRPr="003B4DCF">
        <w:rPr>
          <w:rFonts w:ascii="仿宋" w:eastAsia="仿宋" w:hAnsi="仿宋" w:cs="仿宋"/>
          <w:color w:val="000000"/>
          <w:szCs w:val="24"/>
        </w:rPr>
        <w:t xml:space="preserve">□适用 </w:t>
      </w:r>
      <w:r w:rsidRPr="003B4DCF">
        <w:rPr>
          <w:rFonts w:ascii="仿宋" w:eastAsia="仿宋" w:hAnsi="仿宋" w:cs="仿宋"/>
          <w:color w:val="000000"/>
          <w:szCs w:val="24"/>
        </w:rPr>
        <w:sym w:font="Wingdings 2" w:char="F052"/>
      </w:r>
      <w:r w:rsidRPr="003B4DCF">
        <w:rPr>
          <w:rFonts w:ascii="仿宋" w:eastAsia="仿宋" w:hAnsi="仿宋" w:cs="仿宋"/>
          <w:color w:val="000000"/>
          <w:szCs w:val="24"/>
        </w:rPr>
        <w:t>不适用</w:t>
      </w:r>
    </w:p>
    <w:p w:rsidR="004659D2" w:rsidRPr="00DD1120" w:rsidRDefault="00D75A68" w:rsidP="004E3280">
      <w:pPr>
        <w:pStyle w:val="2"/>
        <w:spacing w:before="0" w:after="0" w:line="288" w:lineRule="auto"/>
        <w:rPr>
          <w:rFonts w:ascii="仿宋" w:eastAsia="仿宋" w:hAnsi="仿宋" w:cs="宋体"/>
          <w:b/>
          <w:bCs/>
          <w:sz w:val="28"/>
          <w:szCs w:val="24"/>
        </w:rPr>
      </w:pPr>
      <w:bookmarkStart w:id="12" w:name="_Toc988901"/>
      <w:r w:rsidRPr="00DD1120">
        <w:rPr>
          <w:rFonts w:ascii="仿宋" w:eastAsia="仿宋" w:hAnsi="仿宋" w:cs="宋体"/>
          <w:b/>
          <w:bCs/>
          <w:sz w:val="28"/>
          <w:szCs w:val="24"/>
        </w:rPr>
        <w:t>三、重要事项</w:t>
      </w:r>
      <w:bookmarkEnd w:id="12"/>
    </w:p>
    <w:p w:rsidR="004659D2" w:rsidRPr="003B4DCF" w:rsidRDefault="00D75A68" w:rsidP="003B4DCF">
      <w:pPr>
        <w:pStyle w:val="a3"/>
        <w:widowControl/>
        <w:spacing w:before="120" w:beforeAutospacing="0" w:after="120" w:afterAutospacing="0" w:line="288" w:lineRule="auto"/>
        <w:ind w:firstLine="480"/>
        <w:jc w:val="both"/>
        <w:rPr>
          <w:rFonts w:ascii="仿宋" w:eastAsia="仿宋" w:hAnsi="仿宋" w:cs="仿宋"/>
          <w:color w:val="000000"/>
          <w:szCs w:val="24"/>
        </w:rPr>
      </w:pPr>
      <w:r w:rsidRPr="003B4DCF">
        <w:rPr>
          <w:rFonts w:ascii="仿宋" w:eastAsia="仿宋" w:hAnsi="仿宋" w:cs="仿宋" w:hint="eastAsia"/>
          <w:color w:val="000000"/>
          <w:szCs w:val="24"/>
        </w:rPr>
        <w:t>无。</w:t>
      </w:r>
    </w:p>
    <w:p w:rsidR="004659D2" w:rsidRDefault="003B4DCF" w:rsidP="003B4DCF">
      <w:pPr>
        <w:pStyle w:val="a3"/>
        <w:widowControl/>
        <w:spacing w:before="120" w:beforeAutospacing="0" w:after="120" w:afterAutospacing="0" w:line="288" w:lineRule="auto"/>
        <w:ind w:firstLine="480"/>
        <w:jc w:val="right"/>
        <w:rPr>
          <w:rFonts w:ascii="仿宋" w:eastAsia="仿宋" w:hAnsi="仿宋" w:cs="仿宋"/>
          <w:color w:val="000000"/>
          <w:szCs w:val="24"/>
        </w:rPr>
      </w:pPr>
      <w:r w:rsidRPr="003B4DCF">
        <w:rPr>
          <w:rFonts w:ascii="仿宋" w:eastAsia="仿宋" w:hAnsi="仿宋" w:cs="仿宋" w:hint="eastAsia"/>
          <w:color w:val="000000"/>
          <w:szCs w:val="24"/>
        </w:rPr>
        <w:t>广东天亿马信息产业股份有限公司</w:t>
      </w:r>
    </w:p>
    <w:p w:rsidR="004E3280" w:rsidRPr="003B4DCF" w:rsidRDefault="00130A84" w:rsidP="004E3280">
      <w:pPr>
        <w:pStyle w:val="a3"/>
        <w:widowControl/>
        <w:spacing w:before="120" w:beforeAutospacing="0" w:after="120" w:afterAutospacing="0" w:line="288" w:lineRule="auto"/>
        <w:ind w:right="480" w:firstLine="480"/>
        <w:jc w:val="right"/>
        <w:rPr>
          <w:rFonts w:ascii="仿宋" w:eastAsia="仿宋" w:hAnsi="仿宋" w:cs="仿宋"/>
          <w:color w:val="000000"/>
          <w:szCs w:val="24"/>
        </w:rPr>
      </w:pPr>
      <w:r>
        <w:rPr>
          <w:rFonts w:ascii="仿宋" w:eastAsia="仿宋" w:hAnsi="仿宋" w:cs="仿宋" w:hint="eastAsia"/>
          <w:color w:val="000000"/>
          <w:szCs w:val="24"/>
        </w:rPr>
        <w:t>董事会</w:t>
      </w:r>
      <w:bookmarkStart w:id="13" w:name="_GoBack"/>
      <w:bookmarkEnd w:id="13"/>
    </w:p>
    <w:p w:rsidR="003B4DCF" w:rsidRPr="003B4DCF" w:rsidRDefault="003B4DCF" w:rsidP="003B4DCF">
      <w:pPr>
        <w:pStyle w:val="a3"/>
        <w:widowControl/>
        <w:spacing w:before="120" w:beforeAutospacing="0" w:after="120" w:afterAutospacing="0" w:line="288" w:lineRule="auto"/>
        <w:ind w:firstLine="480"/>
        <w:jc w:val="right"/>
        <w:rPr>
          <w:rFonts w:ascii="仿宋" w:eastAsia="仿宋" w:hAnsi="仿宋" w:cs="仿宋"/>
          <w:color w:val="000000"/>
          <w:szCs w:val="24"/>
        </w:rPr>
      </w:pPr>
      <w:r w:rsidRPr="003B4DCF">
        <w:rPr>
          <w:rFonts w:ascii="仿宋" w:eastAsia="仿宋" w:hAnsi="仿宋" w:cs="仿宋" w:hint="eastAsia"/>
          <w:color w:val="000000"/>
          <w:szCs w:val="24"/>
        </w:rPr>
        <w:t>2025年4月22日</w:t>
      </w:r>
    </w:p>
    <w:sectPr w:rsidR="003B4DCF" w:rsidRPr="003B4DCF">
      <w:headerReference w:type="default" r:id="rId9"/>
      <w:footerReference w:type="default" r:id="rId10"/>
      <w:pgSz w:w="11905" w:h="16840"/>
      <w:pgMar w:top="850" w:right="1134" w:bottom="85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2758" w:rsidRDefault="00982758">
      <w:r>
        <w:separator/>
      </w:r>
    </w:p>
  </w:endnote>
  <w:endnote w:type="continuationSeparator" w:id="0">
    <w:p w:rsidR="00982758" w:rsidRDefault="00982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9D2" w:rsidRDefault="00D75A68">
    <w:pPr>
      <w:jc w:val="right"/>
    </w:pPr>
    <w:r>
      <w:rPr>
        <w:rFonts w:ascii="仿宋" w:eastAsia="仿宋"/>
        <w:szCs w:val="21"/>
      </w:rPr>
      <w:fldChar w:fldCharType="begin"/>
    </w:r>
    <w:r>
      <w:rPr>
        <w:rFonts w:ascii="仿宋" w:eastAsia="仿宋"/>
        <w:szCs w:val="21"/>
      </w:rPr>
      <w:instrText>PAGE   \* MERGEFORMAT</w:instrText>
    </w:r>
    <w:r>
      <w:rPr>
        <w:rFonts w:ascii="仿宋" w:eastAsia="仿宋"/>
        <w:szCs w:val="21"/>
      </w:rPr>
      <w:fldChar w:fldCharType="separate"/>
    </w:r>
    <w:r w:rsidR="00130A84">
      <w:rPr>
        <w:rFonts w:ascii="仿宋" w:eastAsia="仿宋"/>
        <w:noProof/>
        <w:szCs w:val="21"/>
      </w:rPr>
      <w:t>6</w:t>
    </w:r>
    <w:r>
      <w:rPr>
        <w:rFonts w:ascii="仿宋" w:eastAsia="仿宋"/>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2758" w:rsidRDefault="00982758">
      <w:r>
        <w:separator/>
      </w:r>
    </w:p>
  </w:footnote>
  <w:footnote w:type="continuationSeparator" w:id="0">
    <w:p w:rsidR="00982758" w:rsidRDefault="009827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9D2" w:rsidRDefault="00D75A68">
    <w:pPr>
      <w:pBdr>
        <w:bottom w:val="single" w:sz="6" w:space="1" w:color="auto"/>
      </w:pBdr>
      <w:jc w:val="right"/>
    </w:pPr>
    <w:r>
      <w:rPr>
        <w:rFonts w:ascii="宋体"/>
        <w:sz w:val="18"/>
        <w:szCs w:val="18"/>
      </w:rPr>
      <w:t>广东天亿马信息产业股份有限公司2024年年度报告摘要</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E97D4"/>
    <w:multiLevelType w:val="singleLevel"/>
    <w:tmpl w:val="FFFE97D4"/>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
  <w:rsids>
    <w:rsidRoot w:val="004659D2"/>
    <w:rsid w:val="DB9F82F5"/>
    <w:rsid w:val="DDFF1D7B"/>
    <w:rsid w:val="00024815"/>
    <w:rsid w:val="0004202B"/>
    <w:rsid w:val="000D3675"/>
    <w:rsid w:val="00104701"/>
    <w:rsid w:val="00112439"/>
    <w:rsid w:val="00130A84"/>
    <w:rsid w:val="00375173"/>
    <w:rsid w:val="003B4DCF"/>
    <w:rsid w:val="003D7AF7"/>
    <w:rsid w:val="0044668D"/>
    <w:rsid w:val="004659D2"/>
    <w:rsid w:val="004E3280"/>
    <w:rsid w:val="006F79DC"/>
    <w:rsid w:val="007B7BC1"/>
    <w:rsid w:val="007B7FE1"/>
    <w:rsid w:val="00927060"/>
    <w:rsid w:val="00982758"/>
    <w:rsid w:val="009E11C9"/>
    <w:rsid w:val="00A25703"/>
    <w:rsid w:val="00A5270D"/>
    <w:rsid w:val="00A911F5"/>
    <w:rsid w:val="00AF5591"/>
    <w:rsid w:val="00B44905"/>
    <w:rsid w:val="00B70AA9"/>
    <w:rsid w:val="00CF205F"/>
    <w:rsid w:val="00D75A68"/>
    <w:rsid w:val="00D76082"/>
    <w:rsid w:val="00DD1120"/>
    <w:rsid w:val="00DF160E"/>
    <w:rsid w:val="00E5190F"/>
    <w:rsid w:val="00F64A0E"/>
    <w:rsid w:val="454FF0A6"/>
    <w:rsid w:val="73BFEC21"/>
    <w:rsid w:val="79B79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sz w:val="21"/>
      <w:szCs w:val="22"/>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pPr>
      <w:keepNext/>
      <w:keepLines/>
      <w:spacing w:before="300" w:after="300" w:line="241" w:lineRule="auto"/>
      <w:outlineLvl w:val="2"/>
    </w:pPr>
    <w:rPr>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sz w:val="24"/>
    </w:rPr>
  </w:style>
  <w:style w:type="paragraph" w:styleId="a4">
    <w:name w:val="header"/>
    <w:basedOn w:val="a"/>
    <w:link w:val="Char"/>
    <w:rsid w:val="003B4D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B4DCF"/>
    <w:rPr>
      <w:sz w:val="18"/>
      <w:szCs w:val="18"/>
    </w:rPr>
  </w:style>
  <w:style w:type="paragraph" w:styleId="a5">
    <w:name w:val="footer"/>
    <w:basedOn w:val="a"/>
    <w:link w:val="Char0"/>
    <w:rsid w:val="003B4DCF"/>
    <w:pPr>
      <w:tabs>
        <w:tab w:val="center" w:pos="4153"/>
        <w:tab w:val="right" w:pos="8306"/>
      </w:tabs>
      <w:snapToGrid w:val="0"/>
      <w:jc w:val="left"/>
    </w:pPr>
    <w:rPr>
      <w:sz w:val="18"/>
      <w:szCs w:val="18"/>
    </w:rPr>
  </w:style>
  <w:style w:type="character" w:customStyle="1" w:styleId="Char0">
    <w:name w:val="页脚 Char"/>
    <w:basedOn w:val="a0"/>
    <w:link w:val="a5"/>
    <w:rsid w:val="003B4DCF"/>
    <w:rPr>
      <w:sz w:val="18"/>
      <w:szCs w:val="18"/>
    </w:rPr>
  </w:style>
  <w:style w:type="paragraph" w:styleId="a6">
    <w:name w:val="Balloon Text"/>
    <w:basedOn w:val="a"/>
    <w:link w:val="Char1"/>
    <w:rsid w:val="003B4DCF"/>
    <w:rPr>
      <w:sz w:val="18"/>
      <w:szCs w:val="18"/>
    </w:rPr>
  </w:style>
  <w:style w:type="character" w:customStyle="1" w:styleId="Char1">
    <w:name w:val="批注框文本 Char"/>
    <w:basedOn w:val="a0"/>
    <w:link w:val="a6"/>
    <w:rsid w:val="003B4DC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sz w:val="21"/>
      <w:szCs w:val="22"/>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pPr>
      <w:keepNext/>
      <w:keepLines/>
      <w:spacing w:before="300" w:after="300" w:line="241" w:lineRule="auto"/>
      <w:outlineLvl w:val="2"/>
    </w:pPr>
    <w:rPr>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sz w:val="24"/>
    </w:rPr>
  </w:style>
  <w:style w:type="paragraph" w:styleId="a4">
    <w:name w:val="header"/>
    <w:basedOn w:val="a"/>
    <w:link w:val="Char"/>
    <w:rsid w:val="003B4D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B4DCF"/>
    <w:rPr>
      <w:sz w:val="18"/>
      <w:szCs w:val="18"/>
    </w:rPr>
  </w:style>
  <w:style w:type="paragraph" w:styleId="a5">
    <w:name w:val="footer"/>
    <w:basedOn w:val="a"/>
    <w:link w:val="Char0"/>
    <w:rsid w:val="003B4DCF"/>
    <w:pPr>
      <w:tabs>
        <w:tab w:val="center" w:pos="4153"/>
        <w:tab w:val="right" w:pos="8306"/>
      </w:tabs>
      <w:snapToGrid w:val="0"/>
      <w:jc w:val="left"/>
    </w:pPr>
    <w:rPr>
      <w:sz w:val="18"/>
      <w:szCs w:val="18"/>
    </w:rPr>
  </w:style>
  <w:style w:type="character" w:customStyle="1" w:styleId="Char0">
    <w:name w:val="页脚 Char"/>
    <w:basedOn w:val="a0"/>
    <w:link w:val="a5"/>
    <w:rsid w:val="003B4DCF"/>
    <w:rPr>
      <w:sz w:val="18"/>
      <w:szCs w:val="18"/>
    </w:rPr>
  </w:style>
  <w:style w:type="paragraph" w:styleId="a6">
    <w:name w:val="Balloon Text"/>
    <w:basedOn w:val="a"/>
    <w:link w:val="Char1"/>
    <w:rsid w:val="003B4DCF"/>
    <w:rPr>
      <w:sz w:val="18"/>
      <w:szCs w:val="18"/>
    </w:rPr>
  </w:style>
  <w:style w:type="character" w:customStyle="1" w:styleId="Char1">
    <w:name w:val="批注框文本 Char"/>
    <w:basedOn w:val="a0"/>
    <w:link w:val="a6"/>
    <w:rsid w:val="003B4D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6</Pages>
  <Words>646</Words>
  <Characters>3686</Characters>
  <Application>Microsoft Office Word</Application>
  <DocSecurity>0</DocSecurity>
  <Lines>30</Lines>
  <Paragraphs>8</Paragraphs>
  <ScaleCrop>false</ScaleCrop>
  <Company>Microsoft</Company>
  <LinksUpToDate>false</LinksUpToDate>
  <CharactersWithSpaces>4324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hsq</cp:lastModifiedBy>
  <cp:revision>21</cp:revision>
  <dcterms:created xsi:type="dcterms:W3CDTF">2025-04-20T16:44:00Z</dcterms:created>
  <dcterms:modified xsi:type="dcterms:W3CDTF">2025-04-21T04:24:00Z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136961F204D9F965E3BA046883A179B4_42</vt:lpwstr>
  </property>
</Properties>
</file>