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7B0" w:rsidRDefault="004407B0" w:rsidP="004407B0">
      <w:pPr>
        <w:autoSpaceDE w:val="0"/>
        <w:autoSpaceDN w:val="0"/>
        <w:adjustRightInd w:val="0"/>
        <w:spacing w:line="360" w:lineRule="auto"/>
        <w:jc w:val="center"/>
        <w:rPr>
          <w:rFonts w:ascii="黑体" w:eastAsia="黑体" w:hAnsi="黑体"/>
          <w:sz w:val="36"/>
          <w:szCs w:val="36"/>
        </w:rPr>
      </w:pPr>
      <w:r>
        <w:rPr>
          <w:rFonts w:ascii="仿宋" w:eastAsia="仿宋" w:hAnsi="仿宋" w:hint="eastAsia"/>
          <w:color w:val="000000"/>
          <w:sz w:val="28"/>
        </w:rPr>
        <w:t>证券代码：301178     证券简称：天亿马     公告编号：2025-0</w:t>
      </w:r>
      <w:r w:rsidR="00902617">
        <w:rPr>
          <w:rFonts w:ascii="仿宋" w:eastAsia="仿宋" w:hAnsi="仿宋" w:hint="eastAsia"/>
          <w:color w:val="000000"/>
          <w:sz w:val="28"/>
        </w:rPr>
        <w:t>3</w:t>
      </w:r>
      <w:r>
        <w:rPr>
          <w:rFonts w:ascii="仿宋" w:eastAsia="仿宋" w:hAnsi="仿宋" w:hint="eastAsia"/>
          <w:color w:val="000000"/>
          <w:sz w:val="28"/>
        </w:rPr>
        <w:t>8</w:t>
      </w:r>
      <w:r>
        <w:rPr>
          <w:rFonts w:ascii="黑体" w:eastAsia="黑体" w:hAnsi="黑体" w:hint="eastAsia"/>
          <w:sz w:val="36"/>
          <w:szCs w:val="36"/>
        </w:rPr>
        <w:t>广东天亿马信息产业股份有限公司</w:t>
      </w:r>
      <w:bookmarkStart w:id="0" w:name="_GoBack"/>
      <w:bookmarkEnd w:id="0"/>
    </w:p>
    <w:p w:rsidR="004407B0" w:rsidRDefault="004407B0" w:rsidP="004407B0">
      <w:pPr>
        <w:spacing w:afterLines="100" w:after="312"/>
        <w:jc w:val="center"/>
        <w:rPr>
          <w:rFonts w:ascii="黑体" w:eastAsia="黑体" w:hAnsi="黑体"/>
          <w:sz w:val="36"/>
          <w:szCs w:val="36"/>
        </w:rPr>
      </w:pPr>
      <w:r w:rsidRPr="004407B0">
        <w:rPr>
          <w:rFonts w:ascii="黑体" w:eastAsia="黑体" w:hAnsi="黑体" w:hint="eastAsia"/>
          <w:sz w:val="36"/>
          <w:szCs w:val="36"/>
        </w:rPr>
        <w:t>未来三年（2025-2027年）股东回报规划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4407B0" w:rsidTr="003F124F">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4407B0" w:rsidRDefault="004407B0" w:rsidP="003F124F">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为进一步完善</w:t>
      </w:r>
      <w:r w:rsidRPr="0076693B">
        <w:rPr>
          <w:rFonts w:ascii="仿宋" w:eastAsia="仿宋" w:hAnsi="仿宋" w:hint="eastAsia"/>
          <w:sz w:val="28"/>
          <w:szCs w:val="28"/>
        </w:rPr>
        <w:t>广东天亿马信息产业股份有限公司</w:t>
      </w:r>
      <w:r>
        <w:rPr>
          <w:rFonts w:ascii="仿宋" w:eastAsia="仿宋" w:hAnsi="仿宋" w:hint="eastAsia"/>
          <w:sz w:val="28"/>
          <w:szCs w:val="28"/>
        </w:rPr>
        <w:t>（以下简称“天亿马”“公司”）</w:t>
      </w:r>
      <w:r w:rsidRPr="005379EC">
        <w:rPr>
          <w:rFonts w:ascii="仿宋" w:eastAsia="仿宋" w:hAnsi="仿宋" w:hint="eastAsia"/>
          <w:sz w:val="28"/>
          <w:szCs w:val="28"/>
        </w:rPr>
        <w:t>利润分配政策，建立对投资者持续、稳定、科学的回报机制，保持利润分配政策的连续性和稳定性，引导投资者树立长期投资和理性投资理念，公司根据证监会下发的《关于进一步落实上市公司现金分红有关事项的通知》《上市公司监管指引第3号——上市公司现金分红》及《公司章程》有关规定，结合实际情况，制定了公司《未来三年（2025-2027年）股东分红回报规划》（以下简称“本规划”或“分红回报规划”）。具体如下：</w:t>
      </w:r>
    </w:p>
    <w:p w:rsidR="0076693B" w:rsidRPr="005379EC" w:rsidRDefault="0076693B" w:rsidP="001614C9">
      <w:pPr>
        <w:spacing w:beforeLines="50" w:before="156" w:line="360" w:lineRule="auto"/>
        <w:ind w:firstLineChars="200" w:firstLine="562"/>
        <w:jc w:val="left"/>
        <w:outlineLvl w:val="0"/>
        <w:rPr>
          <w:rFonts w:ascii="仿宋" w:eastAsia="仿宋" w:hAnsi="仿宋"/>
          <w:b/>
          <w:sz w:val="28"/>
          <w:szCs w:val="28"/>
        </w:rPr>
      </w:pPr>
      <w:r w:rsidRPr="005379EC">
        <w:rPr>
          <w:rFonts w:ascii="仿宋" w:eastAsia="仿宋" w:hAnsi="仿宋" w:hint="eastAsia"/>
          <w:b/>
          <w:sz w:val="28"/>
          <w:szCs w:val="28"/>
        </w:rPr>
        <w:t>一、规划制定考虑因素</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公司着眼于长远和可持续发展，在综合分析公司发展规划、经营状况、股东要求和意愿、社会资金成本、外部融资环境等因素的基础上，充分考虑公司目前及未来盈利模式、现金流量状况、发展所处阶段、项目投资资金需求、银行信贷及债权融资环境等情况，建立对投资者持续、稳定、科学的回报规划与机制，从而对利润分配作出制度性安排，以保持利润分配政策的连续性和稳定性。</w:t>
      </w:r>
    </w:p>
    <w:p w:rsidR="0076693B" w:rsidRPr="005379EC" w:rsidRDefault="0076693B" w:rsidP="001614C9">
      <w:pPr>
        <w:spacing w:beforeLines="50" w:before="156" w:line="360" w:lineRule="auto"/>
        <w:ind w:firstLineChars="200" w:firstLine="562"/>
        <w:jc w:val="left"/>
        <w:outlineLvl w:val="0"/>
        <w:rPr>
          <w:rFonts w:ascii="仿宋" w:eastAsia="仿宋" w:hAnsi="仿宋"/>
          <w:b/>
          <w:sz w:val="28"/>
          <w:szCs w:val="28"/>
        </w:rPr>
      </w:pPr>
      <w:r w:rsidRPr="005379EC">
        <w:rPr>
          <w:rFonts w:ascii="仿宋" w:eastAsia="仿宋" w:hAnsi="仿宋" w:hint="eastAsia"/>
          <w:b/>
          <w:sz w:val="28"/>
          <w:szCs w:val="28"/>
        </w:rPr>
        <w:t>二、本制度制定原则</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lastRenderedPageBreak/>
        <w:t>规划制定应符合相关法律、行政法规、部门规范性文件和《公司章程》关于利润分配的规定，重视对投资者的合理投资回报并兼顾公司的可持续发展，同时充分考虑、听取公司独立董事和中小股东的意见、诉求，保持利润分配政策的持续性、稳定性和科学性。</w:t>
      </w:r>
    </w:p>
    <w:p w:rsidR="0076693B" w:rsidRPr="005379EC" w:rsidRDefault="0076693B" w:rsidP="001614C9">
      <w:pPr>
        <w:spacing w:beforeLines="50" w:before="156" w:line="360" w:lineRule="auto"/>
        <w:ind w:firstLineChars="200" w:firstLine="562"/>
        <w:jc w:val="left"/>
        <w:outlineLvl w:val="0"/>
        <w:rPr>
          <w:rFonts w:ascii="仿宋" w:eastAsia="仿宋" w:hAnsi="仿宋"/>
          <w:b/>
          <w:sz w:val="28"/>
          <w:szCs w:val="28"/>
        </w:rPr>
      </w:pPr>
      <w:r w:rsidRPr="005379EC">
        <w:rPr>
          <w:rFonts w:ascii="仿宋" w:eastAsia="仿宋" w:hAnsi="仿宋" w:hint="eastAsia"/>
          <w:b/>
          <w:sz w:val="28"/>
          <w:szCs w:val="28"/>
        </w:rPr>
        <w:t>三、未来三年（2025-2027年）股东分红回报规划的具体内容</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（1）公司可采取现金、股票或现金与股票相结合的方式或者法律、法规允许的其他方式分配利润。在有条件的情况下，公司可以进行中期利润分配。</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（2）在同时满足以下条件时，公司可实施现金分红：</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①公司该年度实现的可分配利润(即公司弥补亏损、提取公积金后所余的税后利润)为正值；</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②审计机构对公司该年度财务报告出具标准无保留意见的审计报告；</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（3）公司每年以现金方式分配的利润应不低于当年实现的可分配利润的10%。公司在实施上述现金分配股利的同时，可以派发股票股利。</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公司董事会应当综合考虑所处行业特点、发展阶段、自身经营模式、盈利水平以及是否有重大资金支出安排等因素，区分下列情形，并按照公司章程规定的程序，提出差异化的现金分红政策：</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①公司发展阶段属成熟期且无重大资金支出安排的，进行利润分</w:t>
      </w:r>
      <w:r w:rsidRPr="005379EC">
        <w:rPr>
          <w:rFonts w:ascii="仿宋" w:eastAsia="仿宋" w:hAnsi="仿宋" w:hint="eastAsia"/>
          <w:sz w:val="28"/>
          <w:szCs w:val="28"/>
        </w:rPr>
        <w:lastRenderedPageBreak/>
        <w:t>配时，现金分红在本次利润分配中所占比例最低应达到80%；</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②公司发展阶段属成熟期且有重大资金支出安排的，进行利润分配时，现金分红在本次利润分配中所占比例最低应达到40%；</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③公司发展阶段属成长期且有重大资金支出安排的，进行利润分配时，现金分红在本次利润分配中所占比例最低应达到20%；</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公司发展阶段不易区分但有重大资金支出安排的，可以按照前款规定处理。</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重大资金支出是指：公司未来十二个月内拟对外投资、收购资产或购买设备的累计支出超过公司最近一期经审计总资产的30%；或公司未来十二个月内拟对外投资、收购资产或购买设备的累计支出达到或超过公司最近一期经审计净资产50%，且绝对金额超过3,000万元。</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（4）在满足上述现金分红条件的情况下，公司将积极采取现金分红方式分配股利，原则上每年度进行一次现金分红，公司董事会可以根据公司的盈利状况及资金需求状况提议公司进行中期现金分红。</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（5）公司在经营情况良好且董事会认为公司股票价格与公司股本规模不匹配、发放股票股利有利于公司全体股东整体利益时，可以在满足上述现金分红的条件下，公司可以采用发放股票股利方式进行利润分配。</w:t>
      </w:r>
    </w:p>
    <w:p w:rsidR="0076693B" w:rsidRPr="005379EC" w:rsidRDefault="0076693B" w:rsidP="001614C9">
      <w:pPr>
        <w:spacing w:beforeLines="50" w:before="156" w:line="360" w:lineRule="auto"/>
        <w:ind w:firstLineChars="200" w:firstLine="562"/>
        <w:jc w:val="left"/>
        <w:outlineLvl w:val="0"/>
        <w:rPr>
          <w:rFonts w:ascii="仿宋" w:eastAsia="仿宋" w:hAnsi="仿宋"/>
          <w:b/>
          <w:sz w:val="28"/>
          <w:szCs w:val="28"/>
        </w:rPr>
      </w:pPr>
      <w:r w:rsidRPr="005379EC">
        <w:rPr>
          <w:rFonts w:ascii="仿宋" w:eastAsia="仿宋" w:hAnsi="仿宋" w:hint="eastAsia"/>
          <w:b/>
          <w:sz w:val="28"/>
          <w:szCs w:val="28"/>
        </w:rPr>
        <w:t>四、未来股东回报规划的制定周期和相关决策机制</w:t>
      </w:r>
    </w:p>
    <w:p w:rsidR="0076693B" w:rsidRPr="005379EC"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（1）公司董事会应每三年重新审阅一次股东回报规划，确保股</w:t>
      </w:r>
      <w:r w:rsidRPr="005379EC">
        <w:rPr>
          <w:rFonts w:ascii="仿宋" w:eastAsia="仿宋" w:hAnsi="仿宋" w:hint="eastAsia"/>
          <w:sz w:val="28"/>
          <w:szCs w:val="28"/>
        </w:rPr>
        <w:lastRenderedPageBreak/>
        <w:t>东回报规划内容不违反公司章程确定的利润分配政策。</w:t>
      </w:r>
    </w:p>
    <w:p w:rsidR="0076693B" w:rsidRDefault="0076693B" w:rsidP="0076693B">
      <w:pPr>
        <w:spacing w:beforeLines="50" w:before="156" w:line="360" w:lineRule="auto"/>
        <w:ind w:firstLineChars="200" w:firstLine="560"/>
        <w:jc w:val="left"/>
        <w:rPr>
          <w:rFonts w:ascii="仿宋" w:eastAsia="仿宋" w:hAnsi="仿宋"/>
          <w:sz w:val="28"/>
          <w:szCs w:val="28"/>
        </w:rPr>
      </w:pPr>
      <w:r w:rsidRPr="005379EC">
        <w:rPr>
          <w:rFonts w:ascii="仿宋" w:eastAsia="仿宋" w:hAnsi="仿宋" w:hint="eastAsia"/>
          <w:sz w:val="28"/>
          <w:szCs w:val="28"/>
        </w:rPr>
        <w:t>（2）公司如遇战争、自然灾害等不可抗力，或者公司生产经营情况、投资规划和长期发展或因外部经营环境、自身经营状况发生较大变化，或者有权部门下发利润分配相关新规定的情况，需要调整或变更利润分配政策和股东回报规划的，调整或变更后的利润分配政策和股东回报规划不得违反相关法律、行政法规、部门规章及本章程的有关规定。公司有关调整或变更利润分配政策和股东回报</w:t>
      </w:r>
      <w:r>
        <w:rPr>
          <w:rFonts w:ascii="仿宋" w:eastAsia="仿宋" w:hAnsi="仿宋" w:hint="eastAsia"/>
          <w:sz w:val="28"/>
          <w:szCs w:val="28"/>
        </w:rPr>
        <w:t>规划的议案需经董事会详细论证并充分考虑监事会和公众投资者的意见</w:t>
      </w:r>
      <w:r w:rsidRPr="005379EC">
        <w:rPr>
          <w:rFonts w:ascii="仿宋" w:eastAsia="仿宋" w:hAnsi="仿宋" w:hint="eastAsia"/>
          <w:sz w:val="28"/>
          <w:szCs w:val="28"/>
        </w:rPr>
        <w:t>。</w:t>
      </w:r>
    </w:p>
    <w:p w:rsidR="004407B0" w:rsidRPr="004407B0" w:rsidRDefault="004407B0" w:rsidP="001614C9">
      <w:pPr>
        <w:spacing w:beforeLines="50" w:before="156" w:line="360" w:lineRule="auto"/>
        <w:ind w:firstLineChars="200" w:firstLine="562"/>
        <w:jc w:val="left"/>
        <w:outlineLvl w:val="0"/>
        <w:rPr>
          <w:rFonts w:ascii="仿宋" w:eastAsia="仿宋" w:hAnsi="仿宋"/>
          <w:b/>
          <w:sz w:val="28"/>
          <w:szCs w:val="28"/>
        </w:rPr>
      </w:pPr>
      <w:r w:rsidRPr="004407B0">
        <w:rPr>
          <w:rFonts w:ascii="仿宋" w:eastAsia="仿宋" w:hAnsi="仿宋" w:hint="eastAsia"/>
          <w:b/>
          <w:sz w:val="28"/>
          <w:szCs w:val="28"/>
        </w:rPr>
        <w:t>五、其他</w:t>
      </w:r>
    </w:p>
    <w:p w:rsidR="004407B0" w:rsidRPr="004407B0" w:rsidRDefault="004407B0" w:rsidP="004407B0">
      <w:pPr>
        <w:spacing w:beforeLines="50" w:before="156" w:line="360" w:lineRule="auto"/>
        <w:ind w:firstLineChars="200" w:firstLine="560"/>
        <w:jc w:val="left"/>
        <w:rPr>
          <w:rFonts w:ascii="仿宋" w:eastAsia="仿宋" w:hAnsi="仿宋"/>
          <w:sz w:val="28"/>
          <w:szCs w:val="28"/>
        </w:rPr>
      </w:pPr>
      <w:r w:rsidRPr="004407B0">
        <w:rPr>
          <w:rFonts w:ascii="仿宋" w:eastAsia="仿宋" w:hAnsi="仿宋" w:hint="eastAsia"/>
          <w:sz w:val="28"/>
          <w:szCs w:val="28"/>
        </w:rPr>
        <w:t>本规划未尽事宜，依照相关法律法规、规范性文件及《公司章程》规定执行。</w:t>
      </w:r>
    </w:p>
    <w:p w:rsidR="004407B0" w:rsidRPr="005379EC" w:rsidRDefault="004407B0" w:rsidP="004407B0">
      <w:pPr>
        <w:spacing w:beforeLines="50" w:before="156" w:line="360" w:lineRule="auto"/>
        <w:ind w:firstLineChars="200" w:firstLine="560"/>
        <w:jc w:val="left"/>
        <w:rPr>
          <w:rFonts w:ascii="仿宋" w:eastAsia="仿宋" w:hAnsi="仿宋"/>
          <w:sz w:val="28"/>
          <w:szCs w:val="28"/>
        </w:rPr>
      </w:pPr>
      <w:r w:rsidRPr="004407B0">
        <w:rPr>
          <w:rFonts w:ascii="仿宋" w:eastAsia="仿宋" w:hAnsi="仿宋" w:hint="eastAsia"/>
          <w:sz w:val="28"/>
          <w:szCs w:val="28"/>
        </w:rPr>
        <w:t>本规划由公司董事会负责解释，自公司股东会审议通过之日起实施。</w:t>
      </w:r>
    </w:p>
    <w:p w:rsidR="004407B0" w:rsidRDefault="004407B0" w:rsidP="004407B0">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rsidR="004407B0" w:rsidRDefault="004407B0" w:rsidP="004407B0">
      <w:pPr>
        <w:spacing w:line="360" w:lineRule="auto"/>
        <w:ind w:firstLineChars="200" w:firstLine="560"/>
        <w:jc w:val="right"/>
        <w:rPr>
          <w:rFonts w:ascii="仿宋" w:eastAsia="仿宋" w:hAnsi="仿宋"/>
          <w:sz w:val="28"/>
          <w:szCs w:val="28"/>
        </w:rPr>
      </w:pPr>
      <w:r>
        <w:rPr>
          <w:rFonts w:ascii="仿宋" w:eastAsia="仿宋" w:hAnsi="仿宋" w:hint="eastAsia"/>
          <w:sz w:val="28"/>
          <w:szCs w:val="28"/>
        </w:rPr>
        <w:t>董事会</w:t>
      </w:r>
    </w:p>
    <w:p w:rsidR="004407B0" w:rsidRDefault="004407B0" w:rsidP="004407B0">
      <w:pPr>
        <w:spacing w:line="360" w:lineRule="auto"/>
        <w:ind w:firstLineChars="200" w:firstLine="560"/>
        <w:jc w:val="right"/>
        <w:rPr>
          <w:rFonts w:ascii="仿宋" w:eastAsia="仿宋" w:hAnsi="仿宋"/>
          <w:color w:val="000000"/>
          <w:sz w:val="28"/>
          <w:szCs w:val="28"/>
        </w:rPr>
      </w:pPr>
      <w:r>
        <w:rPr>
          <w:rFonts w:ascii="仿宋" w:eastAsia="仿宋" w:hAnsi="仿宋" w:hint="eastAsia"/>
          <w:sz w:val="28"/>
          <w:szCs w:val="28"/>
        </w:rPr>
        <w:t>2025年4月22日</w:t>
      </w:r>
    </w:p>
    <w:p w:rsidR="0076693B" w:rsidRPr="0076693B" w:rsidRDefault="0076693B" w:rsidP="0076693B">
      <w:pPr>
        <w:jc w:val="left"/>
      </w:pPr>
    </w:p>
    <w:sectPr w:rsidR="0076693B" w:rsidRPr="007669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3A51" w:rsidRDefault="00C63A51" w:rsidP="004C0764">
      <w:r>
        <w:separator/>
      </w:r>
    </w:p>
  </w:endnote>
  <w:endnote w:type="continuationSeparator" w:id="0">
    <w:p w:rsidR="00C63A51" w:rsidRDefault="00C63A51" w:rsidP="004C0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3A51" w:rsidRDefault="00C63A51" w:rsidP="004C0764">
      <w:r>
        <w:separator/>
      </w:r>
    </w:p>
  </w:footnote>
  <w:footnote w:type="continuationSeparator" w:id="0">
    <w:p w:rsidR="00C63A51" w:rsidRDefault="00C63A51" w:rsidP="004C07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0F7"/>
    <w:rsid w:val="00021F02"/>
    <w:rsid w:val="00077BC2"/>
    <w:rsid w:val="0009358D"/>
    <w:rsid w:val="00130FB7"/>
    <w:rsid w:val="001614C9"/>
    <w:rsid w:val="001A707B"/>
    <w:rsid w:val="001D4CA3"/>
    <w:rsid w:val="001D739E"/>
    <w:rsid w:val="001F19E8"/>
    <w:rsid w:val="002251EE"/>
    <w:rsid w:val="00233670"/>
    <w:rsid w:val="00256EA4"/>
    <w:rsid w:val="002877EC"/>
    <w:rsid w:val="002B54E8"/>
    <w:rsid w:val="002B74AA"/>
    <w:rsid w:val="002C5108"/>
    <w:rsid w:val="002D47C5"/>
    <w:rsid w:val="002E7BAA"/>
    <w:rsid w:val="003270F4"/>
    <w:rsid w:val="00327295"/>
    <w:rsid w:val="0035208E"/>
    <w:rsid w:val="0037092D"/>
    <w:rsid w:val="003A661C"/>
    <w:rsid w:val="003F0BDF"/>
    <w:rsid w:val="003F67B8"/>
    <w:rsid w:val="0040489A"/>
    <w:rsid w:val="004108D8"/>
    <w:rsid w:val="004407B0"/>
    <w:rsid w:val="00493848"/>
    <w:rsid w:val="004B64B5"/>
    <w:rsid w:val="004C0764"/>
    <w:rsid w:val="004C4E72"/>
    <w:rsid w:val="004E2E66"/>
    <w:rsid w:val="004E6E16"/>
    <w:rsid w:val="00516C93"/>
    <w:rsid w:val="0054394D"/>
    <w:rsid w:val="00543FD4"/>
    <w:rsid w:val="00555E52"/>
    <w:rsid w:val="00573691"/>
    <w:rsid w:val="005C6F47"/>
    <w:rsid w:val="005F4E7F"/>
    <w:rsid w:val="00607264"/>
    <w:rsid w:val="006149DC"/>
    <w:rsid w:val="00692D51"/>
    <w:rsid w:val="006B45EB"/>
    <w:rsid w:val="006C399B"/>
    <w:rsid w:val="006C40F7"/>
    <w:rsid w:val="0072358E"/>
    <w:rsid w:val="00723F49"/>
    <w:rsid w:val="007412F5"/>
    <w:rsid w:val="00762A07"/>
    <w:rsid w:val="0076693B"/>
    <w:rsid w:val="007926C7"/>
    <w:rsid w:val="007C5E8E"/>
    <w:rsid w:val="007D3E87"/>
    <w:rsid w:val="00822558"/>
    <w:rsid w:val="008479C3"/>
    <w:rsid w:val="00875A5F"/>
    <w:rsid w:val="0088707F"/>
    <w:rsid w:val="008D4B97"/>
    <w:rsid w:val="00902617"/>
    <w:rsid w:val="00925E08"/>
    <w:rsid w:val="009647B5"/>
    <w:rsid w:val="009701DD"/>
    <w:rsid w:val="009846E3"/>
    <w:rsid w:val="00986A6F"/>
    <w:rsid w:val="00A019BD"/>
    <w:rsid w:val="00A225BB"/>
    <w:rsid w:val="00A769D8"/>
    <w:rsid w:val="00A93E51"/>
    <w:rsid w:val="00AC4732"/>
    <w:rsid w:val="00AE308D"/>
    <w:rsid w:val="00B14C16"/>
    <w:rsid w:val="00B171DB"/>
    <w:rsid w:val="00B34FC2"/>
    <w:rsid w:val="00B4386B"/>
    <w:rsid w:val="00B632B8"/>
    <w:rsid w:val="00BC36D6"/>
    <w:rsid w:val="00BE6AEB"/>
    <w:rsid w:val="00BF7340"/>
    <w:rsid w:val="00C22616"/>
    <w:rsid w:val="00C378BF"/>
    <w:rsid w:val="00C63A51"/>
    <w:rsid w:val="00CB06FB"/>
    <w:rsid w:val="00CC724F"/>
    <w:rsid w:val="00CE2FB9"/>
    <w:rsid w:val="00D0440F"/>
    <w:rsid w:val="00D07238"/>
    <w:rsid w:val="00D0727A"/>
    <w:rsid w:val="00D31AB4"/>
    <w:rsid w:val="00D67864"/>
    <w:rsid w:val="00DD1B2C"/>
    <w:rsid w:val="00DE2A46"/>
    <w:rsid w:val="00E2099D"/>
    <w:rsid w:val="00E6209F"/>
    <w:rsid w:val="00EC0B3E"/>
    <w:rsid w:val="00F24B5D"/>
    <w:rsid w:val="00F82441"/>
    <w:rsid w:val="00FA0F5B"/>
    <w:rsid w:val="00FD1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B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F4E7F"/>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4C07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C0764"/>
    <w:rPr>
      <w:rFonts w:ascii="Times New Roman" w:eastAsia="宋体" w:hAnsi="Times New Roman" w:cs="Times New Roman"/>
      <w:sz w:val="18"/>
      <w:szCs w:val="18"/>
    </w:rPr>
  </w:style>
  <w:style w:type="paragraph" w:styleId="a5">
    <w:name w:val="footer"/>
    <w:basedOn w:val="a"/>
    <w:link w:val="Char0"/>
    <w:uiPriority w:val="99"/>
    <w:unhideWhenUsed/>
    <w:rsid w:val="004C0764"/>
    <w:pPr>
      <w:tabs>
        <w:tab w:val="center" w:pos="4153"/>
        <w:tab w:val="right" w:pos="8306"/>
      </w:tabs>
      <w:snapToGrid w:val="0"/>
      <w:jc w:val="left"/>
    </w:pPr>
    <w:rPr>
      <w:sz w:val="18"/>
      <w:szCs w:val="18"/>
    </w:rPr>
  </w:style>
  <w:style w:type="character" w:customStyle="1" w:styleId="Char0">
    <w:name w:val="页脚 Char"/>
    <w:basedOn w:val="a0"/>
    <w:link w:val="a5"/>
    <w:uiPriority w:val="99"/>
    <w:rsid w:val="004C0764"/>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B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F4E7F"/>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4C07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C0764"/>
    <w:rPr>
      <w:rFonts w:ascii="Times New Roman" w:eastAsia="宋体" w:hAnsi="Times New Roman" w:cs="Times New Roman"/>
      <w:sz w:val="18"/>
      <w:szCs w:val="18"/>
    </w:rPr>
  </w:style>
  <w:style w:type="paragraph" w:styleId="a5">
    <w:name w:val="footer"/>
    <w:basedOn w:val="a"/>
    <w:link w:val="Char0"/>
    <w:uiPriority w:val="99"/>
    <w:unhideWhenUsed/>
    <w:rsid w:val="004C0764"/>
    <w:pPr>
      <w:tabs>
        <w:tab w:val="center" w:pos="4153"/>
        <w:tab w:val="right" w:pos="8306"/>
      </w:tabs>
      <w:snapToGrid w:val="0"/>
      <w:jc w:val="left"/>
    </w:pPr>
    <w:rPr>
      <w:sz w:val="18"/>
      <w:szCs w:val="18"/>
    </w:rPr>
  </w:style>
  <w:style w:type="character" w:customStyle="1" w:styleId="Char0">
    <w:name w:val="页脚 Char"/>
    <w:basedOn w:val="a0"/>
    <w:link w:val="a5"/>
    <w:uiPriority w:val="99"/>
    <w:rsid w:val="004C076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4</Pages>
  <Words>285</Words>
  <Characters>1627</Characters>
  <Application>Microsoft Office Word</Application>
  <DocSecurity>0</DocSecurity>
  <Lines>13</Lines>
  <Paragraphs>3</Paragraphs>
  <ScaleCrop>false</ScaleCrop>
  <Company>Microsoft</Company>
  <LinksUpToDate>false</LinksUpToDate>
  <CharactersWithSpaces>1909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83</cp:revision>
  <dcterms:created xsi:type="dcterms:W3CDTF">2023-11-16T01:58:00Z</dcterms:created>
  <dcterms:modified xsi:type="dcterms:W3CDTF">2025-04-21T03:03:00Z</dcterms:modified>
</cp:coreProperties>
</file>