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396B9A9" w14:textId="77777777" w:rsidR="00743C89" w:rsidRDefault="00743C89">
      <w:pPr>
        <w:pStyle w:val="a9"/>
        <w:rPr>
          <w:rFonts w:asciiTheme="minorEastAsia" w:hAnsiTheme="minorEastAsia" w:cstheme="minorEastAsia"/>
        </w:rPr>
      </w:pPr>
    </w:p>
    <w:p w14:paraId="385D64EF" w14:textId="77777777" w:rsidR="00743C89" w:rsidRDefault="00743C89">
      <w:pPr>
        <w:spacing w:line="500" w:lineRule="exact"/>
        <w:jc w:val="center"/>
        <w:rPr>
          <w:rFonts w:asciiTheme="minorEastAsia" w:hAnsiTheme="minorEastAsia" w:cstheme="minorEastAsia"/>
          <w:sz w:val="32"/>
        </w:rPr>
      </w:pPr>
    </w:p>
    <w:p w14:paraId="71F5E4CF" w14:textId="77777777" w:rsidR="00743C89" w:rsidRDefault="00743C89">
      <w:pPr>
        <w:spacing w:line="500" w:lineRule="exact"/>
        <w:jc w:val="center"/>
        <w:rPr>
          <w:rFonts w:asciiTheme="minorEastAsia" w:hAnsiTheme="minorEastAsia" w:cstheme="minorEastAsia"/>
          <w:sz w:val="32"/>
        </w:rPr>
      </w:pPr>
    </w:p>
    <w:p w14:paraId="0157DE0D" w14:textId="77777777" w:rsidR="00743C89" w:rsidRDefault="00743C89">
      <w:pPr>
        <w:spacing w:line="500" w:lineRule="exact"/>
        <w:jc w:val="center"/>
        <w:rPr>
          <w:rFonts w:asciiTheme="minorEastAsia" w:hAnsiTheme="minorEastAsia" w:cstheme="minorEastAsia"/>
          <w:sz w:val="32"/>
        </w:rPr>
      </w:pPr>
    </w:p>
    <w:p w14:paraId="22EE4E26" w14:textId="77777777" w:rsidR="00743C89" w:rsidRDefault="00743C89">
      <w:pPr>
        <w:spacing w:line="500" w:lineRule="exact"/>
        <w:jc w:val="center"/>
        <w:rPr>
          <w:rFonts w:asciiTheme="minorEastAsia" w:hAnsiTheme="minorEastAsia" w:cstheme="minorEastAsia"/>
          <w:sz w:val="52"/>
        </w:rPr>
      </w:pPr>
    </w:p>
    <w:p w14:paraId="2B38CED7" w14:textId="77777777" w:rsidR="00743C89" w:rsidRPr="00A31E4E" w:rsidRDefault="000F5B55">
      <w:pPr>
        <w:jc w:val="center"/>
        <w:rPr>
          <w:rFonts w:asciiTheme="minorEastAsia" w:hAnsiTheme="minorEastAsia" w:cstheme="minorEastAsia"/>
          <w:b/>
          <w:sz w:val="52"/>
        </w:rPr>
      </w:pPr>
      <w:r w:rsidRPr="00A31E4E">
        <w:rPr>
          <w:rFonts w:asciiTheme="minorEastAsia" w:hAnsiTheme="minorEastAsia" w:cstheme="minorEastAsia" w:hint="eastAsia"/>
          <w:b/>
          <w:sz w:val="52"/>
        </w:rPr>
        <w:t>广东天亿马信息产业股份有限公司</w:t>
      </w:r>
    </w:p>
    <w:p w14:paraId="3D63D493" w14:textId="77777777" w:rsidR="00743C89" w:rsidRPr="00A31E4E" w:rsidRDefault="00743C89">
      <w:pPr>
        <w:jc w:val="center"/>
        <w:rPr>
          <w:rFonts w:asciiTheme="minorEastAsia" w:hAnsiTheme="minorEastAsia" w:cstheme="minorEastAsia"/>
          <w:b/>
          <w:sz w:val="52"/>
        </w:rPr>
      </w:pPr>
    </w:p>
    <w:p w14:paraId="39DEF204" w14:textId="77777777" w:rsidR="00743C89" w:rsidRPr="00A31E4E" w:rsidRDefault="00743C89">
      <w:pPr>
        <w:jc w:val="center"/>
        <w:rPr>
          <w:rFonts w:asciiTheme="minorEastAsia" w:hAnsiTheme="minorEastAsia" w:cstheme="minorEastAsia"/>
          <w:b/>
          <w:sz w:val="52"/>
        </w:rPr>
      </w:pPr>
    </w:p>
    <w:p w14:paraId="38F7671C" w14:textId="77777777" w:rsidR="00743C89" w:rsidRPr="00A31E4E" w:rsidRDefault="000F5B55">
      <w:pPr>
        <w:jc w:val="center"/>
        <w:rPr>
          <w:rFonts w:asciiTheme="minorEastAsia" w:hAnsiTheme="minorEastAsia" w:cstheme="minorEastAsia"/>
          <w:b/>
          <w:sz w:val="52"/>
        </w:rPr>
      </w:pPr>
      <w:r w:rsidRPr="00A31E4E">
        <w:rPr>
          <w:rFonts w:asciiTheme="minorEastAsia" w:hAnsiTheme="minorEastAsia" w:cstheme="minorEastAsia" w:hint="eastAsia"/>
          <w:b/>
          <w:sz w:val="52"/>
        </w:rPr>
        <w:t>章程</w:t>
      </w:r>
    </w:p>
    <w:p w14:paraId="082E4F1D" w14:textId="77777777" w:rsidR="00743C89" w:rsidRDefault="00743C89">
      <w:pPr>
        <w:jc w:val="center"/>
        <w:rPr>
          <w:rFonts w:asciiTheme="minorEastAsia" w:hAnsiTheme="minorEastAsia" w:cstheme="minorEastAsia"/>
          <w:sz w:val="52"/>
        </w:rPr>
      </w:pPr>
    </w:p>
    <w:p w14:paraId="2FEA5B70" w14:textId="77777777" w:rsidR="00743C89" w:rsidRDefault="00743C89">
      <w:pPr>
        <w:jc w:val="center"/>
        <w:rPr>
          <w:rFonts w:asciiTheme="minorEastAsia" w:hAnsiTheme="minorEastAsia" w:cstheme="minorEastAsia"/>
          <w:sz w:val="84"/>
        </w:rPr>
      </w:pPr>
    </w:p>
    <w:p w14:paraId="4CC2B0A0" w14:textId="77777777" w:rsidR="00743C89" w:rsidRDefault="00743C89">
      <w:pPr>
        <w:jc w:val="center"/>
        <w:rPr>
          <w:rFonts w:asciiTheme="minorEastAsia" w:hAnsiTheme="minorEastAsia" w:cstheme="minorEastAsia"/>
          <w:sz w:val="84"/>
        </w:rPr>
      </w:pPr>
    </w:p>
    <w:p w14:paraId="63FEDB44" w14:textId="77777777" w:rsidR="00743C89" w:rsidRDefault="00743C89">
      <w:pPr>
        <w:jc w:val="center"/>
        <w:rPr>
          <w:rFonts w:asciiTheme="minorEastAsia" w:hAnsiTheme="minorEastAsia" w:cstheme="minorEastAsia"/>
          <w:sz w:val="84"/>
        </w:rPr>
      </w:pPr>
    </w:p>
    <w:p w14:paraId="432EA42F" w14:textId="713927C9" w:rsidR="00743C89" w:rsidRDefault="000F5B55">
      <w:pPr>
        <w:jc w:val="center"/>
        <w:rPr>
          <w:rFonts w:asciiTheme="minorEastAsia" w:hAnsiTheme="minorEastAsia" w:cstheme="minorEastAsia"/>
          <w:sz w:val="32"/>
          <w:szCs w:val="32"/>
        </w:rPr>
      </w:pPr>
      <w:r>
        <w:rPr>
          <w:rFonts w:asciiTheme="minorEastAsia" w:hAnsiTheme="minorEastAsia" w:cstheme="minorEastAsia" w:hint="eastAsia"/>
          <w:sz w:val="32"/>
          <w:szCs w:val="32"/>
        </w:rPr>
        <w:t>二〇二</w:t>
      </w:r>
      <w:r w:rsidR="00EE51F1">
        <w:rPr>
          <w:rFonts w:asciiTheme="minorEastAsia" w:hAnsiTheme="minorEastAsia" w:cstheme="minorEastAsia" w:hint="eastAsia"/>
          <w:sz w:val="32"/>
          <w:szCs w:val="32"/>
        </w:rPr>
        <w:t>五</w:t>
      </w:r>
      <w:r>
        <w:rPr>
          <w:rFonts w:asciiTheme="minorEastAsia" w:hAnsiTheme="minorEastAsia" w:cstheme="minorEastAsia" w:hint="eastAsia"/>
          <w:sz w:val="32"/>
          <w:szCs w:val="32"/>
        </w:rPr>
        <w:t>年</w:t>
      </w:r>
      <w:r w:rsidR="00A31E4E">
        <w:rPr>
          <w:rFonts w:asciiTheme="minorEastAsia" w:hAnsiTheme="minorEastAsia" w:cstheme="minorEastAsia" w:hint="eastAsia"/>
          <w:sz w:val="32"/>
          <w:szCs w:val="32"/>
        </w:rPr>
        <w:t>四</w:t>
      </w:r>
      <w:r>
        <w:rPr>
          <w:rFonts w:asciiTheme="minorEastAsia" w:hAnsiTheme="minorEastAsia" w:cstheme="minorEastAsia" w:hint="eastAsia"/>
          <w:sz w:val="32"/>
          <w:szCs w:val="32"/>
        </w:rPr>
        <w:t>月</w:t>
      </w:r>
    </w:p>
    <w:p w14:paraId="6F5D68CD" w14:textId="77777777" w:rsidR="00743C89" w:rsidRDefault="000F5B55">
      <w:pPr>
        <w:spacing w:line="500" w:lineRule="exact"/>
        <w:rPr>
          <w:rFonts w:asciiTheme="minorEastAsia" w:hAnsiTheme="minorEastAsia" w:cstheme="minorEastAsia"/>
          <w:sz w:val="84"/>
        </w:rPr>
      </w:pPr>
      <w:r>
        <w:rPr>
          <w:rFonts w:asciiTheme="minorEastAsia" w:hAnsiTheme="minorEastAsia" w:cstheme="minorEastAsia" w:hint="eastAsia"/>
          <w:sz w:val="84"/>
        </w:rPr>
        <w:br w:type="page"/>
      </w:r>
    </w:p>
    <w:p w14:paraId="6D8A767B" w14:textId="77777777" w:rsidR="00743C89" w:rsidRDefault="000F5B55">
      <w:pPr>
        <w:jc w:val="center"/>
        <w:rPr>
          <w:rFonts w:asciiTheme="minorEastAsia" w:hAnsiTheme="minorEastAsia" w:cstheme="minorEastAsia"/>
          <w:b/>
          <w:sz w:val="32"/>
        </w:rPr>
      </w:pPr>
      <w:r>
        <w:rPr>
          <w:rFonts w:asciiTheme="minorEastAsia" w:hAnsiTheme="minorEastAsia" w:cstheme="minorEastAsia" w:hint="eastAsia"/>
          <w:b/>
          <w:sz w:val="32"/>
        </w:rPr>
        <w:lastRenderedPageBreak/>
        <w:t>目录</w:t>
      </w:r>
    </w:p>
    <w:p w14:paraId="73F0502E" w14:textId="77777777" w:rsidR="00743C89" w:rsidRDefault="00743C89">
      <w:pPr>
        <w:spacing w:line="500" w:lineRule="exact"/>
        <w:rPr>
          <w:rFonts w:asciiTheme="minorEastAsia" w:hAnsiTheme="minorEastAsia" w:cstheme="minorEastAsia"/>
          <w:sz w:val="24"/>
        </w:rPr>
      </w:pPr>
    </w:p>
    <w:p w14:paraId="211F102C" w14:textId="77777777" w:rsidR="00743C89" w:rsidRDefault="000F5B55">
      <w:pPr>
        <w:pStyle w:val="10"/>
        <w:tabs>
          <w:tab w:val="right" w:leader="dot" w:pos="9638"/>
        </w:tabs>
      </w:pP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 TOC \o "1-5" \h \z \u </w:instrText>
      </w:r>
      <w:r>
        <w:rPr>
          <w:rFonts w:asciiTheme="minorEastAsia" w:hAnsiTheme="minorEastAsia" w:cstheme="minorEastAsia" w:hint="eastAsia"/>
          <w:sz w:val="24"/>
        </w:rPr>
        <w:fldChar w:fldCharType="separate"/>
      </w:r>
      <w:hyperlink w:anchor="_Toc18227" w:history="1">
        <w:r>
          <w:rPr>
            <w:rFonts w:asciiTheme="minorEastAsia" w:hAnsiTheme="minorEastAsia" w:cstheme="minorEastAsia" w:hint="eastAsia"/>
            <w:szCs w:val="32"/>
          </w:rPr>
          <w:t>第一章　总则</w:t>
        </w:r>
        <w:r>
          <w:tab/>
        </w:r>
        <w:r>
          <w:fldChar w:fldCharType="begin"/>
        </w:r>
        <w:r>
          <w:instrText xml:space="preserve"> PAGEREF _Toc18227 \h </w:instrText>
        </w:r>
        <w:r>
          <w:fldChar w:fldCharType="separate"/>
        </w:r>
        <w:r>
          <w:t>3</w:t>
        </w:r>
        <w:r>
          <w:fldChar w:fldCharType="end"/>
        </w:r>
      </w:hyperlink>
    </w:p>
    <w:p w14:paraId="4FF41D53" w14:textId="77777777" w:rsidR="00743C89" w:rsidRDefault="00D922AC">
      <w:pPr>
        <w:pStyle w:val="10"/>
        <w:tabs>
          <w:tab w:val="right" w:leader="dot" w:pos="9638"/>
        </w:tabs>
      </w:pPr>
      <w:hyperlink w:anchor="_Toc1749" w:history="1">
        <w:r w:rsidR="000F5B55">
          <w:rPr>
            <w:rFonts w:asciiTheme="minorEastAsia" w:hAnsiTheme="minorEastAsia" w:cstheme="minorEastAsia" w:hint="eastAsia"/>
            <w:szCs w:val="32"/>
          </w:rPr>
          <w:t>第二章　经营宗旨和范围</w:t>
        </w:r>
        <w:r w:rsidR="000F5B55">
          <w:tab/>
        </w:r>
        <w:r w:rsidR="000F5B55">
          <w:fldChar w:fldCharType="begin"/>
        </w:r>
        <w:r w:rsidR="000F5B55">
          <w:instrText xml:space="preserve"> PAGEREF _Toc1749 \h </w:instrText>
        </w:r>
        <w:r w:rsidR="000F5B55">
          <w:fldChar w:fldCharType="separate"/>
        </w:r>
        <w:r w:rsidR="000F5B55">
          <w:t>4</w:t>
        </w:r>
        <w:r w:rsidR="000F5B55">
          <w:fldChar w:fldCharType="end"/>
        </w:r>
      </w:hyperlink>
    </w:p>
    <w:p w14:paraId="2E1A6088" w14:textId="77777777" w:rsidR="00743C89" w:rsidRDefault="00D922AC">
      <w:pPr>
        <w:pStyle w:val="10"/>
        <w:tabs>
          <w:tab w:val="right" w:leader="dot" w:pos="9638"/>
        </w:tabs>
      </w:pPr>
      <w:hyperlink w:anchor="_Toc24875" w:history="1">
        <w:r w:rsidR="000F5B55">
          <w:rPr>
            <w:rFonts w:asciiTheme="minorEastAsia" w:hAnsiTheme="minorEastAsia" w:cstheme="minorEastAsia" w:hint="eastAsia"/>
            <w:szCs w:val="32"/>
          </w:rPr>
          <w:t>第三章　股份</w:t>
        </w:r>
        <w:r w:rsidR="000F5B55">
          <w:tab/>
        </w:r>
        <w:r w:rsidR="000F5B55">
          <w:fldChar w:fldCharType="begin"/>
        </w:r>
        <w:r w:rsidR="000F5B55">
          <w:instrText xml:space="preserve"> PAGEREF _Toc24875 \h </w:instrText>
        </w:r>
        <w:r w:rsidR="000F5B55">
          <w:fldChar w:fldCharType="separate"/>
        </w:r>
        <w:r w:rsidR="000F5B55">
          <w:t>4</w:t>
        </w:r>
        <w:r w:rsidR="000F5B55">
          <w:fldChar w:fldCharType="end"/>
        </w:r>
      </w:hyperlink>
    </w:p>
    <w:p w14:paraId="761305D4" w14:textId="77777777" w:rsidR="00743C89" w:rsidRDefault="00D922AC">
      <w:pPr>
        <w:pStyle w:val="20"/>
        <w:tabs>
          <w:tab w:val="right" w:leader="dot" w:pos="9638"/>
        </w:tabs>
      </w:pPr>
      <w:hyperlink w:anchor="_Toc230" w:history="1">
        <w:r w:rsidR="000F5B55">
          <w:rPr>
            <w:rFonts w:asciiTheme="minorEastAsia" w:hAnsiTheme="minorEastAsia" w:cstheme="minorEastAsia" w:hint="eastAsia"/>
            <w:szCs w:val="28"/>
          </w:rPr>
          <w:t>第一节　股份发行</w:t>
        </w:r>
        <w:r w:rsidR="000F5B55">
          <w:tab/>
        </w:r>
        <w:r w:rsidR="000F5B55">
          <w:fldChar w:fldCharType="begin"/>
        </w:r>
        <w:r w:rsidR="000F5B55">
          <w:instrText xml:space="preserve"> PAGEREF _Toc230 \h </w:instrText>
        </w:r>
        <w:r w:rsidR="000F5B55">
          <w:fldChar w:fldCharType="separate"/>
        </w:r>
        <w:r w:rsidR="000F5B55">
          <w:t>4</w:t>
        </w:r>
        <w:r w:rsidR="000F5B55">
          <w:fldChar w:fldCharType="end"/>
        </w:r>
      </w:hyperlink>
    </w:p>
    <w:p w14:paraId="65874C54" w14:textId="77777777" w:rsidR="00743C89" w:rsidRDefault="00D922AC">
      <w:pPr>
        <w:pStyle w:val="20"/>
        <w:tabs>
          <w:tab w:val="right" w:leader="dot" w:pos="9638"/>
        </w:tabs>
      </w:pPr>
      <w:hyperlink w:anchor="_Toc26160" w:history="1">
        <w:r w:rsidR="000F5B55">
          <w:rPr>
            <w:rFonts w:asciiTheme="minorEastAsia" w:hAnsiTheme="minorEastAsia" w:cstheme="minorEastAsia" w:hint="eastAsia"/>
            <w:szCs w:val="28"/>
          </w:rPr>
          <w:t>第二节　股份增减和回购</w:t>
        </w:r>
        <w:r w:rsidR="000F5B55">
          <w:tab/>
        </w:r>
        <w:r w:rsidR="000F5B55">
          <w:fldChar w:fldCharType="begin"/>
        </w:r>
        <w:r w:rsidR="000F5B55">
          <w:instrText xml:space="preserve"> PAGEREF _Toc26160 \h </w:instrText>
        </w:r>
        <w:r w:rsidR="000F5B55">
          <w:fldChar w:fldCharType="separate"/>
        </w:r>
        <w:r w:rsidR="000F5B55">
          <w:t>5</w:t>
        </w:r>
        <w:r w:rsidR="000F5B55">
          <w:fldChar w:fldCharType="end"/>
        </w:r>
      </w:hyperlink>
    </w:p>
    <w:p w14:paraId="1C894B62" w14:textId="77777777" w:rsidR="00743C89" w:rsidRDefault="00D922AC">
      <w:pPr>
        <w:pStyle w:val="20"/>
        <w:tabs>
          <w:tab w:val="right" w:leader="dot" w:pos="9638"/>
        </w:tabs>
      </w:pPr>
      <w:hyperlink w:anchor="_Toc14035" w:history="1">
        <w:r w:rsidR="000F5B55">
          <w:rPr>
            <w:rFonts w:asciiTheme="minorEastAsia" w:hAnsiTheme="minorEastAsia" w:cstheme="minorEastAsia" w:hint="eastAsia"/>
            <w:szCs w:val="28"/>
          </w:rPr>
          <w:t>第三节　股份转让</w:t>
        </w:r>
        <w:r w:rsidR="000F5B55">
          <w:tab/>
        </w:r>
        <w:r w:rsidR="000F5B55">
          <w:fldChar w:fldCharType="begin"/>
        </w:r>
        <w:r w:rsidR="000F5B55">
          <w:instrText xml:space="preserve"> PAGEREF _Toc14035 \h </w:instrText>
        </w:r>
        <w:r w:rsidR="000F5B55">
          <w:fldChar w:fldCharType="separate"/>
        </w:r>
        <w:r w:rsidR="000F5B55">
          <w:t>6</w:t>
        </w:r>
        <w:r w:rsidR="000F5B55">
          <w:fldChar w:fldCharType="end"/>
        </w:r>
      </w:hyperlink>
    </w:p>
    <w:p w14:paraId="5C2D6A55" w14:textId="77777777" w:rsidR="00743C89" w:rsidRDefault="00D922AC">
      <w:pPr>
        <w:pStyle w:val="10"/>
        <w:tabs>
          <w:tab w:val="right" w:leader="dot" w:pos="9638"/>
        </w:tabs>
      </w:pPr>
      <w:hyperlink w:anchor="_Toc6555" w:history="1">
        <w:r w:rsidR="000F5B55">
          <w:rPr>
            <w:rFonts w:asciiTheme="minorEastAsia" w:hAnsiTheme="minorEastAsia" w:cstheme="minorEastAsia" w:hint="eastAsia"/>
            <w:szCs w:val="32"/>
          </w:rPr>
          <w:t>第四章　股东和股东会</w:t>
        </w:r>
        <w:r w:rsidR="000F5B55">
          <w:tab/>
        </w:r>
        <w:r w:rsidR="000F5B55">
          <w:fldChar w:fldCharType="begin"/>
        </w:r>
        <w:r w:rsidR="000F5B55">
          <w:instrText xml:space="preserve"> PAGEREF _Toc6555 \h </w:instrText>
        </w:r>
        <w:r w:rsidR="000F5B55">
          <w:fldChar w:fldCharType="separate"/>
        </w:r>
        <w:r w:rsidR="000F5B55">
          <w:t>7</w:t>
        </w:r>
        <w:r w:rsidR="000F5B55">
          <w:fldChar w:fldCharType="end"/>
        </w:r>
      </w:hyperlink>
    </w:p>
    <w:p w14:paraId="02AA21E1" w14:textId="77777777" w:rsidR="00743C89" w:rsidRDefault="00D922AC">
      <w:pPr>
        <w:pStyle w:val="20"/>
        <w:tabs>
          <w:tab w:val="right" w:leader="dot" w:pos="9638"/>
        </w:tabs>
      </w:pPr>
      <w:hyperlink w:anchor="_Toc12449" w:history="1">
        <w:r w:rsidR="000F5B55">
          <w:rPr>
            <w:rFonts w:asciiTheme="minorEastAsia" w:hAnsiTheme="minorEastAsia" w:cstheme="minorEastAsia" w:hint="eastAsia"/>
            <w:szCs w:val="28"/>
          </w:rPr>
          <w:t>第一节　股东</w:t>
        </w:r>
        <w:r w:rsidR="000F5B55">
          <w:tab/>
        </w:r>
        <w:r w:rsidR="000F5B55">
          <w:fldChar w:fldCharType="begin"/>
        </w:r>
        <w:r w:rsidR="000F5B55">
          <w:instrText xml:space="preserve"> PAGEREF _Toc12449 \h </w:instrText>
        </w:r>
        <w:r w:rsidR="000F5B55">
          <w:fldChar w:fldCharType="separate"/>
        </w:r>
        <w:r w:rsidR="000F5B55">
          <w:t>7</w:t>
        </w:r>
        <w:r w:rsidR="000F5B55">
          <w:fldChar w:fldCharType="end"/>
        </w:r>
      </w:hyperlink>
    </w:p>
    <w:p w14:paraId="524AEE45" w14:textId="77777777" w:rsidR="00743C89" w:rsidRDefault="00D922AC">
      <w:pPr>
        <w:pStyle w:val="20"/>
        <w:tabs>
          <w:tab w:val="right" w:leader="dot" w:pos="9638"/>
        </w:tabs>
      </w:pPr>
      <w:hyperlink w:anchor="_Toc13604" w:history="1">
        <w:r w:rsidR="000F5B55">
          <w:rPr>
            <w:rFonts w:asciiTheme="minorEastAsia" w:hAnsiTheme="minorEastAsia" w:cstheme="minorEastAsia" w:hint="eastAsia"/>
            <w:szCs w:val="28"/>
          </w:rPr>
          <w:t>第二节　股东会的一般规定</w:t>
        </w:r>
        <w:r w:rsidR="000F5B55">
          <w:tab/>
        </w:r>
        <w:r w:rsidR="000F5B55">
          <w:fldChar w:fldCharType="begin"/>
        </w:r>
        <w:r w:rsidR="000F5B55">
          <w:instrText xml:space="preserve"> PAGEREF _Toc13604 \h </w:instrText>
        </w:r>
        <w:r w:rsidR="000F5B55">
          <w:fldChar w:fldCharType="separate"/>
        </w:r>
        <w:r w:rsidR="000F5B55">
          <w:t>9</w:t>
        </w:r>
        <w:r w:rsidR="000F5B55">
          <w:fldChar w:fldCharType="end"/>
        </w:r>
      </w:hyperlink>
    </w:p>
    <w:p w14:paraId="5EB5A781" w14:textId="77777777" w:rsidR="00743C89" w:rsidRDefault="00D922AC">
      <w:pPr>
        <w:pStyle w:val="20"/>
        <w:tabs>
          <w:tab w:val="right" w:leader="dot" w:pos="9638"/>
        </w:tabs>
      </w:pPr>
      <w:hyperlink w:anchor="_Toc29642" w:history="1">
        <w:r w:rsidR="000F5B55">
          <w:rPr>
            <w:rFonts w:asciiTheme="minorEastAsia" w:hAnsiTheme="minorEastAsia" w:cstheme="minorEastAsia" w:hint="eastAsia"/>
            <w:szCs w:val="28"/>
          </w:rPr>
          <w:t>第三节　股东会的召集</w:t>
        </w:r>
        <w:r w:rsidR="000F5B55">
          <w:tab/>
        </w:r>
        <w:r w:rsidR="000F5B55">
          <w:fldChar w:fldCharType="begin"/>
        </w:r>
        <w:r w:rsidR="000F5B55">
          <w:instrText xml:space="preserve"> PAGEREF _Toc29642 \h </w:instrText>
        </w:r>
        <w:r w:rsidR="000F5B55">
          <w:fldChar w:fldCharType="separate"/>
        </w:r>
        <w:r w:rsidR="000F5B55">
          <w:t>13</w:t>
        </w:r>
        <w:r w:rsidR="000F5B55">
          <w:fldChar w:fldCharType="end"/>
        </w:r>
      </w:hyperlink>
    </w:p>
    <w:p w14:paraId="6FE50C9C" w14:textId="77777777" w:rsidR="00743C89" w:rsidRDefault="00D922AC">
      <w:pPr>
        <w:pStyle w:val="20"/>
        <w:tabs>
          <w:tab w:val="right" w:leader="dot" w:pos="9638"/>
        </w:tabs>
      </w:pPr>
      <w:hyperlink w:anchor="_Toc6266" w:history="1">
        <w:r w:rsidR="000F5B55">
          <w:rPr>
            <w:rFonts w:asciiTheme="minorEastAsia" w:hAnsiTheme="minorEastAsia" w:cstheme="minorEastAsia" w:hint="eastAsia"/>
            <w:szCs w:val="28"/>
          </w:rPr>
          <w:t>第四节　股东会的提案与通知</w:t>
        </w:r>
        <w:r w:rsidR="000F5B55">
          <w:tab/>
        </w:r>
        <w:r w:rsidR="000F5B55">
          <w:fldChar w:fldCharType="begin"/>
        </w:r>
        <w:r w:rsidR="000F5B55">
          <w:instrText xml:space="preserve"> PAGEREF _Toc6266 \h </w:instrText>
        </w:r>
        <w:r w:rsidR="000F5B55">
          <w:fldChar w:fldCharType="separate"/>
        </w:r>
        <w:r w:rsidR="000F5B55">
          <w:t>15</w:t>
        </w:r>
        <w:r w:rsidR="000F5B55">
          <w:fldChar w:fldCharType="end"/>
        </w:r>
      </w:hyperlink>
    </w:p>
    <w:p w14:paraId="5FE849AB" w14:textId="77777777" w:rsidR="00743C89" w:rsidRDefault="00D922AC">
      <w:pPr>
        <w:pStyle w:val="20"/>
        <w:tabs>
          <w:tab w:val="right" w:leader="dot" w:pos="9638"/>
        </w:tabs>
      </w:pPr>
      <w:hyperlink w:anchor="_Toc30965" w:history="1">
        <w:r w:rsidR="000F5B55">
          <w:rPr>
            <w:rFonts w:asciiTheme="minorEastAsia" w:hAnsiTheme="minorEastAsia" w:cstheme="minorEastAsia" w:hint="eastAsia"/>
            <w:szCs w:val="28"/>
          </w:rPr>
          <w:t>第五节　股东会的召开</w:t>
        </w:r>
        <w:r w:rsidR="000F5B55">
          <w:tab/>
        </w:r>
        <w:r w:rsidR="000F5B55">
          <w:fldChar w:fldCharType="begin"/>
        </w:r>
        <w:r w:rsidR="000F5B55">
          <w:instrText xml:space="preserve"> PAGEREF _Toc30965 \h </w:instrText>
        </w:r>
        <w:r w:rsidR="000F5B55">
          <w:fldChar w:fldCharType="separate"/>
        </w:r>
        <w:r w:rsidR="000F5B55">
          <w:t>16</w:t>
        </w:r>
        <w:r w:rsidR="000F5B55">
          <w:fldChar w:fldCharType="end"/>
        </w:r>
      </w:hyperlink>
    </w:p>
    <w:p w14:paraId="596DB201" w14:textId="77777777" w:rsidR="00743C89" w:rsidRDefault="00D922AC">
      <w:pPr>
        <w:pStyle w:val="20"/>
        <w:tabs>
          <w:tab w:val="right" w:leader="dot" w:pos="9638"/>
        </w:tabs>
      </w:pPr>
      <w:hyperlink w:anchor="_Toc23185" w:history="1">
        <w:r w:rsidR="000F5B55">
          <w:rPr>
            <w:rFonts w:asciiTheme="minorEastAsia" w:hAnsiTheme="minorEastAsia" w:cstheme="minorEastAsia" w:hint="eastAsia"/>
            <w:szCs w:val="28"/>
          </w:rPr>
          <w:t>第六节　股东会的表决和决议</w:t>
        </w:r>
        <w:r w:rsidR="000F5B55">
          <w:tab/>
        </w:r>
        <w:r w:rsidR="000F5B55">
          <w:fldChar w:fldCharType="begin"/>
        </w:r>
        <w:r w:rsidR="000F5B55">
          <w:instrText xml:space="preserve"> PAGEREF _Toc23185 \h </w:instrText>
        </w:r>
        <w:r w:rsidR="000F5B55">
          <w:fldChar w:fldCharType="separate"/>
        </w:r>
        <w:r w:rsidR="000F5B55">
          <w:t>19</w:t>
        </w:r>
        <w:r w:rsidR="000F5B55">
          <w:fldChar w:fldCharType="end"/>
        </w:r>
      </w:hyperlink>
    </w:p>
    <w:p w14:paraId="10042897" w14:textId="77777777" w:rsidR="00743C89" w:rsidRDefault="00D922AC">
      <w:pPr>
        <w:pStyle w:val="10"/>
        <w:tabs>
          <w:tab w:val="right" w:leader="dot" w:pos="9638"/>
        </w:tabs>
      </w:pPr>
      <w:hyperlink w:anchor="_Toc8326" w:history="1">
        <w:r w:rsidR="000F5B55">
          <w:rPr>
            <w:rFonts w:asciiTheme="minorEastAsia" w:hAnsiTheme="minorEastAsia" w:cstheme="minorEastAsia" w:hint="eastAsia"/>
            <w:szCs w:val="32"/>
          </w:rPr>
          <w:t>第五章　董事会</w:t>
        </w:r>
        <w:r w:rsidR="000F5B55">
          <w:tab/>
        </w:r>
        <w:r w:rsidR="000F5B55">
          <w:fldChar w:fldCharType="begin"/>
        </w:r>
        <w:r w:rsidR="000F5B55">
          <w:instrText xml:space="preserve"> PAGEREF _Toc8326 \h </w:instrText>
        </w:r>
        <w:r w:rsidR="000F5B55">
          <w:fldChar w:fldCharType="separate"/>
        </w:r>
        <w:r w:rsidR="000F5B55">
          <w:t>22</w:t>
        </w:r>
        <w:r w:rsidR="000F5B55">
          <w:fldChar w:fldCharType="end"/>
        </w:r>
      </w:hyperlink>
    </w:p>
    <w:p w14:paraId="3A8E0664" w14:textId="77777777" w:rsidR="00743C89" w:rsidRDefault="00D922AC">
      <w:pPr>
        <w:pStyle w:val="20"/>
        <w:tabs>
          <w:tab w:val="right" w:leader="dot" w:pos="9638"/>
        </w:tabs>
      </w:pPr>
      <w:hyperlink w:anchor="_Toc29301" w:history="1">
        <w:r w:rsidR="000F5B55">
          <w:rPr>
            <w:rFonts w:asciiTheme="minorEastAsia" w:hAnsiTheme="minorEastAsia" w:cstheme="minorEastAsia" w:hint="eastAsia"/>
            <w:szCs w:val="28"/>
          </w:rPr>
          <w:t>第一节　董事</w:t>
        </w:r>
        <w:r w:rsidR="000F5B55">
          <w:tab/>
        </w:r>
        <w:r w:rsidR="000F5B55">
          <w:fldChar w:fldCharType="begin"/>
        </w:r>
        <w:r w:rsidR="000F5B55">
          <w:instrText xml:space="preserve"> PAGEREF _Toc29301 \h </w:instrText>
        </w:r>
        <w:r w:rsidR="000F5B55">
          <w:fldChar w:fldCharType="separate"/>
        </w:r>
        <w:r w:rsidR="000F5B55">
          <w:t>22</w:t>
        </w:r>
        <w:r w:rsidR="000F5B55">
          <w:fldChar w:fldCharType="end"/>
        </w:r>
      </w:hyperlink>
    </w:p>
    <w:p w14:paraId="46D043BF" w14:textId="77777777" w:rsidR="00743C89" w:rsidRDefault="00D922AC">
      <w:pPr>
        <w:pStyle w:val="20"/>
        <w:tabs>
          <w:tab w:val="right" w:leader="dot" w:pos="9638"/>
        </w:tabs>
      </w:pPr>
      <w:hyperlink w:anchor="_Toc9390" w:history="1">
        <w:r w:rsidR="000F5B55">
          <w:rPr>
            <w:rFonts w:asciiTheme="minorEastAsia" w:hAnsiTheme="minorEastAsia" w:cstheme="minorEastAsia" w:hint="eastAsia"/>
            <w:szCs w:val="28"/>
          </w:rPr>
          <w:t>第二节　董事会</w:t>
        </w:r>
        <w:r w:rsidR="000F5B55">
          <w:tab/>
        </w:r>
        <w:r w:rsidR="000F5B55">
          <w:fldChar w:fldCharType="begin"/>
        </w:r>
        <w:r w:rsidR="000F5B55">
          <w:instrText xml:space="preserve"> PAGEREF _Toc9390 \h </w:instrText>
        </w:r>
        <w:r w:rsidR="000F5B55">
          <w:fldChar w:fldCharType="separate"/>
        </w:r>
        <w:r w:rsidR="000F5B55">
          <w:t>25</w:t>
        </w:r>
        <w:r w:rsidR="000F5B55">
          <w:fldChar w:fldCharType="end"/>
        </w:r>
      </w:hyperlink>
    </w:p>
    <w:p w14:paraId="72069241" w14:textId="77777777" w:rsidR="00743C89" w:rsidRDefault="00D922AC">
      <w:pPr>
        <w:pStyle w:val="10"/>
        <w:tabs>
          <w:tab w:val="right" w:leader="dot" w:pos="9638"/>
        </w:tabs>
      </w:pPr>
      <w:hyperlink w:anchor="_Toc7075" w:history="1">
        <w:r w:rsidR="000F5B55">
          <w:rPr>
            <w:rFonts w:asciiTheme="minorEastAsia" w:hAnsiTheme="minorEastAsia" w:cstheme="minorEastAsia" w:hint="eastAsia"/>
            <w:szCs w:val="32"/>
          </w:rPr>
          <w:t>第六章　总经理及其他高级管理人员</w:t>
        </w:r>
        <w:r w:rsidR="000F5B55">
          <w:tab/>
        </w:r>
        <w:r w:rsidR="000F5B55">
          <w:fldChar w:fldCharType="begin"/>
        </w:r>
        <w:r w:rsidR="000F5B55">
          <w:instrText xml:space="preserve"> PAGEREF _Toc7075 \h </w:instrText>
        </w:r>
        <w:r w:rsidR="000F5B55">
          <w:fldChar w:fldCharType="separate"/>
        </w:r>
        <w:r w:rsidR="000F5B55">
          <w:t>30</w:t>
        </w:r>
        <w:r w:rsidR="000F5B55">
          <w:fldChar w:fldCharType="end"/>
        </w:r>
      </w:hyperlink>
    </w:p>
    <w:p w14:paraId="64D0209E" w14:textId="77777777" w:rsidR="00743C89" w:rsidRDefault="00D922AC">
      <w:pPr>
        <w:pStyle w:val="10"/>
        <w:tabs>
          <w:tab w:val="right" w:leader="dot" w:pos="9638"/>
        </w:tabs>
      </w:pPr>
      <w:hyperlink w:anchor="_Toc15574" w:history="1">
        <w:r w:rsidR="000F5B55">
          <w:rPr>
            <w:rFonts w:asciiTheme="minorEastAsia" w:hAnsiTheme="minorEastAsia" w:cstheme="minorEastAsia" w:hint="eastAsia"/>
            <w:szCs w:val="32"/>
          </w:rPr>
          <w:t>第七章　监事会</w:t>
        </w:r>
        <w:r w:rsidR="000F5B55">
          <w:tab/>
        </w:r>
        <w:r w:rsidR="000F5B55">
          <w:fldChar w:fldCharType="begin"/>
        </w:r>
        <w:r w:rsidR="000F5B55">
          <w:instrText xml:space="preserve"> PAGEREF _Toc15574 \h </w:instrText>
        </w:r>
        <w:r w:rsidR="000F5B55">
          <w:fldChar w:fldCharType="separate"/>
        </w:r>
        <w:r w:rsidR="000F5B55">
          <w:t>32</w:t>
        </w:r>
        <w:r w:rsidR="000F5B55">
          <w:fldChar w:fldCharType="end"/>
        </w:r>
      </w:hyperlink>
    </w:p>
    <w:p w14:paraId="427FE80A" w14:textId="77777777" w:rsidR="00743C89" w:rsidRDefault="00D922AC">
      <w:pPr>
        <w:pStyle w:val="20"/>
        <w:tabs>
          <w:tab w:val="right" w:leader="dot" w:pos="9638"/>
        </w:tabs>
      </w:pPr>
      <w:hyperlink w:anchor="_Toc31285" w:history="1">
        <w:r w:rsidR="000F5B55">
          <w:rPr>
            <w:rFonts w:asciiTheme="minorEastAsia" w:hAnsiTheme="minorEastAsia" w:cstheme="minorEastAsia" w:hint="eastAsia"/>
            <w:szCs w:val="28"/>
          </w:rPr>
          <w:t>第一节　监事</w:t>
        </w:r>
        <w:r w:rsidR="000F5B55">
          <w:tab/>
        </w:r>
        <w:r w:rsidR="000F5B55">
          <w:fldChar w:fldCharType="begin"/>
        </w:r>
        <w:r w:rsidR="000F5B55">
          <w:instrText xml:space="preserve"> PAGEREF _Toc31285 \h </w:instrText>
        </w:r>
        <w:r w:rsidR="000F5B55">
          <w:fldChar w:fldCharType="separate"/>
        </w:r>
        <w:r w:rsidR="000F5B55">
          <w:t>32</w:t>
        </w:r>
        <w:r w:rsidR="000F5B55">
          <w:fldChar w:fldCharType="end"/>
        </w:r>
      </w:hyperlink>
    </w:p>
    <w:p w14:paraId="3639B19E" w14:textId="77777777" w:rsidR="00743C89" w:rsidRDefault="00D922AC">
      <w:pPr>
        <w:pStyle w:val="20"/>
        <w:tabs>
          <w:tab w:val="right" w:leader="dot" w:pos="9638"/>
        </w:tabs>
      </w:pPr>
      <w:hyperlink w:anchor="_Toc1444" w:history="1">
        <w:r w:rsidR="000F5B55">
          <w:rPr>
            <w:rFonts w:asciiTheme="minorEastAsia" w:hAnsiTheme="minorEastAsia" w:cstheme="minorEastAsia" w:hint="eastAsia"/>
            <w:szCs w:val="28"/>
          </w:rPr>
          <w:t>第二节　监事会</w:t>
        </w:r>
        <w:r w:rsidR="000F5B55">
          <w:tab/>
        </w:r>
        <w:r w:rsidR="000F5B55">
          <w:fldChar w:fldCharType="begin"/>
        </w:r>
        <w:r w:rsidR="000F5B55">
          <w:instrText xml:space="preserve"> PAGEREF _Toc1444 \h </w:instrText>
        </w:r>
        <w:r w:rsidR="000F5B55">
          <w:fldChar w:fldCharType="separate"/>
        </w:r>
        <w:r w:rsidR="000F5B55">
          <w:t>33</w:t>
        </w:r>
        <w:r w:rsidR="000F5B55">
          <w:fldChar w:fldCharType="end"/>
        </w:r>
      </w:hyperlink>
    </w:p>
    <w:p w14:paraId="1B927E26" w14:textId="77777777" w:rsidR="00743C89" w:rsidRDefault="00D922AC">
      <w:pPr>
        <w:pStyle w:val="10"/>
        <w:tabs>
          <w:tab w:val="right" w:leader="dot" w:pos="9638"/>
        </w:tabs>
      </w:pPr>
      <w:hyperlink w:anchor="_Toc25956" w:history="1">
        <w:r w:rsidR="000F5B55">
          <w:rPr>
            <w:rFonts w:asciiTheme="minorEastAsia" w:hAnsiTheme="minorEastAsia" w:cstheme="minorEastAsia" w:hint="eastAsia"/>
            <w:szCs w:val="32"/>
          </w:rPr>
          <w:t>第八章　财务会计制度、利润分配和审计</w:t>
        </w:r>
        <w:r w:rsidR="000F5B55">
          <w:tab/>
        </w:r>
        <w:r w:rsidR="000F5B55">
          <w:fldChar w:fldCharType="begin"/>
        </w:r>
        <w:r w:rsidR="000F5B55">
          <w:instrText xml:space="preserve"> PAGEREF _Toc25956 \h </w:instrText>
        </w:r>
        <w:r w:rsidR="000F5B55">
          <w:fldChar w:fldCharType="separate"/>
        </w:r>
        <w:r w:rsidR="000F5B55">
          <w:t>34</w:t>
        </w:r>
        <w:r w:rsidR="000F5B55">
          <w:fldChar w:fldCharType="end"/>
        </w:r>
      </w:hyperlink>
    </w:p>
    <w:p w14:paraId="67A6BB97" w14:textId="77777777" w:rsidR="00743C89" w:rsidRDefault="00D922AC">
      <w:pPr>
        <w:pStyle w:val="20"/>
        <w:tabs>
          <w:tab w:val="right" w:leader="dot" w:pos="9638"/>
        </w:tabs>
      </w:pPr>
      <w:hyperlink w:anchor="_Toc6635" w:history="1">
        <w:r w:rsidR="000F5B55">
          <w:rPr>
            <w:rFonts w:asciiTheme="minorEastAsia" w:hAnsiTheme="minorEastAsia" w:cstheme="minorEastAsia" w:hint="eastAsia"/>
            <w:szCs w:val="28"/>
          </w:rPr>
          <w:t>第一节　财务会计制度</w:t>
        </w:r>
        <w:r w:rsidR="000F5B55">
          <w:tab/>
        </w:r>
        <w:r w:rsidR="000F5B55">
          <w:fldChar w:fldCharType="begin"/>
        </w:r>
        <w:r w:rsidR="000F5B55">
          <w:instrText xml:space="preserve"> PAGEREF _Toc6635 \h </w:instrText>
        </w:r>
        <w:r w:rsidR="000F5B55">
          <w:fldChar w:fldCharType="separate"/>
        </w:r>
        <w:r w:rsidR="000F5B55">
          <w:t>34</w:t>
        </w:r>
        <w:r w:rsidR="000F5B55">
          <w:fldChar w:fldCharType="end"/>
        </w:r>
      </w:hyperlink>
    </w:p>
    <w:p w14:paraId="6F9F1092" w14:textId="77777777" w:rsidR="00743C89" w:rsidRDefault="00D922AC">
      <w:pPr>
        <w:pStyle w:val="20"/>
        <w:tabs>
          <w:tab w:val="right" w:leader="dot" w:pos="9638"/>
        </w:tabs>
      </w:pPr>
      <w:hyperlink w:anchor="_Toc13105" w:history="1">
        <w:r w:rsidR="000F5B55">
          <w:rPr>
            <w:rFonts w:asciiTheme="minorEastAsia" w:hAnsiTheme="minorEastAsia" w:cstheme="minorEastAsia" w:hint="eastAsia"/>
            <w:szCs w:val="28"/>
          </w:rPr>
          <w:t>第二节  利润分配</w:t>
        </w:r>
        <w:r w:rsidR="000F5B55">
          <w:tab/>
        </w:r>
        <w:r w:rsidR="000F5B55">
          <w:fldChar w:fldCharType="begin"/>
        </w:r>
        <w:r w:rsidR="000F5B55">
          <w:instrText xml:space="preserve"> PAGEREF _Toc13105 \h </w:instrText>
        </w:r>
        <w:r w:rsidR="000F5B55">
          <w:fldChar w:fldCharType="separate"/>
        </w:r>
        <w:r w:rsidR="000F5B55">
          <w:t>35</w:t>
        </w:r>
        <w:r w:rsidR="000F5B55">
          <w:fldChar w:fldCharType="end"/>
        </w:r>
      </w:hyperlink>
    </w:p>
    <w:p w14:paraId="7FC3DB28" w14:textId="77777777" w:rsidR="00743C89" w:rsidRDefault="00D922AC">
      <w:pPr>
        <w:pStyle w:val="20"/>
        <w:tabs>
          <w:tab w:val="right" w:leader="dot" w:pos="9638"/>
        </w:tabs>
      </w:pPr>
      <w:hyperlink w:anchor="_Toc27710" w:history="1">
        <w:r w:rsidR="000F5B55">
          <w:rPr>
            <w:rFonts w:asciiTheme="minorEastAsia" w:hAnsiTheme="minorEastAsia" w:cstheme="minorEastAsia" w:hint="eastAsia"/>
            <w:szCs w:val="28"/>
          </w:rPr>
          <w:t>第三节　内部审计</w:t>
        </w:r>
        <w:r w:rsidR="000F5B55">
          <w:tab/>
        </w:r>
        <w:r w:rsidR="000F5B55">
          <w:fldChar w:fldCharType="begin"/>
        </w:r>
        <w:r w:rsidR="000F5B55">
          <w:instrText xml:space="preserve"> PAGEREF _Toc27710 \h </w:instrText>
        </w:r>
        <w:r w:rsidR="000F5B55">
          <w:fldChar w:fldCharType="separate"/>
        </w:r>
        <w:r w:rsidR="000F5B55">
          <w:t>37</w:t>
        </w:r>
        <w:r w:rsidR="000F5B55">
          <w:fldChar w:fldCharType="end"/>
        </w:r>
      </w:hyperlink>
    </w:p>
    <w:p w14:paraId="56B3E1C9" w14:textId="77777777" w:rsidR="00743C89" w:rsidRDefault="00D922AC">
      <w:pPr>
        <w:pStyle w:val="20"/>
        <w:tabs>
          <w:tab w:val="right" w:leader="dot" w:pos="9638"/>
        </w:tabs>
      </w:pPr>
      <w:hyperlink w:anchor="_Toc30255" w:history="1">
        <w:r w:rsidR="000F5B55">
          <w:rPr>
            <w:rFonts w:asciiTheme="minorEastAsia" w:hAnsiTheme="minorEastAsia" w:cstheme="minorEastAsia" w:hint="eastAsia"/>
            <w:szCs w:val="28"/>
          </w:rPr>
          <w:t>第四节　会计师事务所的聘任</w:t>
        </w:r>
        <w:r w:rsidR="000F5B55">
          <w:tab/>
        </w:r>
        <w:r w:rsidR="000F5B55">
          <w:fldChar w:fldCharType="begin"/>
        </w:r>
        <w:r w:rsidR="000F5B55">
          <w:instrText xml:space="preserve"> PAGEREF _Toc30255 \h </w:instrText>
        </w:r>
        <w:r w:rsidR="000F5B55">
          <w:fldChar w:fldCharType="separate"/>
        </w:r>
        <w:r w:rsidR="000F5B55">
          <w:t>38</w:t>
        </w:r>
        <w:r w:rsidR="000F5B55">
          <w:fldChar w:fldCharType="end"/>
        </w:r>
      </w:hyperlink>
    </w:p>
    <w:p w14:paraId="26F11EE2" w14:textId="77777777" w:rsidR="00743C89" w:rsidRDefault="00D922AC">
      <w:pPr>
        <w:pStyle w:val="10"/>
        <w:tabs>
          <w:tab w:val="right" w:leader="dot" w:pos="9638"/>
        </w:tabs>
      </w:pPr>
      <w:hyperlink w:anchor="_Toc11778" w:history="1">
        <w:r w:rsidR="000F5B55">
          <w:rPr>
            <w:rFonts w:asciiTheme="minorEastAsia" w:hAnsiTheme="minorEastAsia" w:cstheme="minorEastAsia" w:hint="eastAsia"/>
            <w:szCs w:val="32"/>
          </w:rPr>
          <w:t>第九章　通知和公告</w:t>
        </w:r>
        <w:r w:rsidR="000F5B55">
          <w:tab/>
        </w:r>
        <w:r w:rsidR="000F5B55">
          <w:fldChar w:fldCharType="begin"/>
        </w:r>
        <w:r w:rsidR="000F5B55">
          <w:instrText xml:space="preserve"> PAGEREF _Toc11778 \h </w:instrText>
        </w:r>
        <w:r w:rsidR="000F5B55">
          <w:fldChar w:fldCharType="separate"/>
        </w:r>
        <w:r w:rsidR="000F5B55">
          <w:t>38</w:t>
        </w:r>
        <w:r w:rsidR="000F5B55">
          <w:fldChar w:fldCharType="end"/>
        </w:r>
      </w:hyperlink>
    </w:p>
    <w:p w14:paraId="5AC4AD8E" w14:textId="77777777" w:rsidR="00743C89" w:rsidRDefault="00D922AC">
      <w:pPr>
        <w:pStyle w:val="20"/>
        <w:tabs>
          <w:tab w:val="right" w:leader="dot" w:pos="9638"/>
        </w:tabs>
      </w:pPr>
      <w:hyperlink w:anchor="_Toc26310" w:history="1">
        <w:r w:rsidR="000F5B55">
          <w:rPr>
            <w:rFonts w:asciiTheme="minorEastAsia" w:hAnsiTheme="minorEastAsia" w:cstheme="minorEastAsia" w:hint="eastAsia"/>
            <w:szCs w:val="28"/>
          </w:rPr>
          <w:t>第一节　通知</w:t>
        </w:r>
        <w:r w:rsidR="000F5B55">
          <w:tab/>
        </w:r>
        <w:r w:rsidR="000F5B55">
          <w:fldChar w:fldCharType="begin"/>
        </w:r>
        <w:r w:rsidR="000F5B55">
          <w:instrText xml:space="preserve"> PAGEREF _Toc26310 \h </w:instrText>
        </w:r>
        <w:r w:rsidR="000F5B55">
          <w:fldChar w:fldCharType="separate"/>
        </w:r>
        <w:r w:rsidR="000F5B55">
          <w:t>38</w:t>
        </w:r>
        <w:r w:rsidR="000F5B55">
          <w:fldChar w:fldCharType="end"/>
        </w:r>
      </w:hyperlink>
    </w:p>
    <w:p w14:paraId="6778F263" w14:textId="77777777" w:rsidR="00743C89" w:rsidRDefault="00D922AC">
      <w:pPr>
        <w:pStyle w:val="20"/>
        <w:tabs>
          <w:tab w:val="right" w:leader="dot" w:pos="9638"/>
        </w:tabs>
      </w:pPr>
      <w:hyperlink w:anchor="_Toc14389" w:history="1">
        <w:r w:rsidR="000F5B55">
          <w:rPr>
            <w:rFonts w:asciiTheme="minorEastAsia" w:hAnsiTheme="minorEastAsia" w:cstheme="minorEastAsia" w:hint="eastAsia"/>
            <w:szCs w:val="28"/>
          </w:rPr>
          <w:t>第二节　公告</w:t>
        </w:r>
        <w:r w:rsidR="000F5B55">
          <w:tab/>
        </w:r>
        <w:r w:rsidR="000F5B55">
          <w:fldChar w:fldCharType="begin"/>
        </w:r>
        <w:r w:rsidR="000F5B55">
          <w:instrText xml:space="preserve"> PAGEREF _Toc14389 \h </w:instrText>
        </w:r>
        <w:r w:rsidR="000F5B55">
          <w:fldChar w:fldCharType="separate"/>
        </w:r>
        <w:r w:rsidR="000F5B55">
          <w:t>39</w:t>
        </w:r>
        <w:r w:rsidR="000F5B55">
          <w:fldChar w:fldCharType="end"/>
        </w:r>
      </w:hyperlink>
    </w:p>
    <w:p w14:paraId="04EFD37F" w14:textId="77777777" w:rsidR="00743C89" w:rsidRDefault="00D922AC">
      <w:pPr>
        <w:pStyle w:val="10"/>
        <w:tabs>
          <w:tab w:val="right" w:leader="dot" w:pos="9638"/>
        </w:tabs>
      </w:pPr>
      <w:hyperlink w:anchor="_Toc15207" w:history="1">
        <w:r w:rsidR="000F5B55">
          <w:rPr>
            <w:rFonts w:asciiTheme="minorEastAsia" w:hAnsiTheme="minorEastAsia" w:cstheme="minorEastAsia" w:hint="eastAsia"/>
            <w:szCs w:val="32"/>
          </w:rPr>
          <w:t>第十章　合并、分立、增资、减资、解散和清算</w:t>
        </w:r>
        <w:r w:rsidR="000F5B55">
          <w:tab/>
        </w:r>
        <w:r w:rsidR="000F5B55">
          <w:fldChar w:fldCharType="begin"/>
        </w:r>
        <w:r w:rsidR="000F5B55">
          <w:instrText xml:space="preserve"> PAGEREF _Toc15207 \h </w:instrText>
        </w:r>
        <w:r w:rsidR="000F5B55">
          <w:fldChar w:fldCharType="separate"/>
        </w:r>
        <w:r w:rsidR="000F5B55">
          <w:t>39</w:t>
        </w:r>
        <w:r w:rsidR="000F5B55">
          <w:fldChar w:fldCharType="end"/>
        </w:r>
      </w:hyperlink>
    </w:p>
    <w:p w14:paraId="39257D83" w14:textId="77777777" w:rsidR="00743C89" w:rsidRDefault="00D922AC">
      <w:pPr>
        <w:pStyle w:val="20"/>
        <w:tabs>
          <w:tab w:val="right" w:leader="dot" w:pos="9638"/>
        </w:tabs>
      </w:pPr>
      <w:hyperlink w:anchor="_Toc19267" w:history="1">
        <w:r w:rsidR="000F5B55">
          <w:rPr>
            <w:rFonts w:asciiTheme="minorEastAsia" w:hAnsiTheme="minorEastAsia" w:cstheme="minorEastAsia" w:hint="eastAsia"/>
            <w:szCs w:val="28"/>
          </w:rPr>
          <w:t>第一节　合并、分立、增资和减资</w:t>
        </w:r>
        <w:r w:rsidR="000F5B55">
          <w:tab/>
        </w:r>
        <w:r w:rsidR="000F5B55">
          <w:fldChar w:fldCharType="begin"/>
        </w:r>
        <w:r w:rsidR="000F5B55">
          <w:instrText xml:space="preserve"> PAGEREF _Toc19267 \h </w:instrText>
        </w:r>
        <w:r w:rsidR="000F5B55">
          <w:fldChar w:fldCharType="separate"/>
        </w:r>
        <w:r w:rsidR="000F5B55">
          <w:t>39</w:t>
        </w:r>
        <w:r w:rsidR="000F5B55">
          <w:fldChar w:fldCharType="end"/>
        </w:r>
      </w:hyperlink>
    </w:p>
    <w:p w14:paraId="4C61C326" w14:textId="77777777" w:rsidR="00743C89" w:rsidRDefault="00D922AC">
      <w:pPr>
        <w:pStyle w:val="20"/>
        <w:tabs>
          <w:tab w:val="right" w:leader="dot" w:pos="9638"/>
        </w:tabs>
      </w:pPr>
      <w:hyperlink w:anchor="_Toc3977" w:history="1">
        <w:r w:rsidR="000F5B55">
          <w:rPr>
            <w:rFonts w:asciiTheme="minorEastAsia" w:hAnsiTheme="minorEastAsia" w:cstheme="minorEastAsia" w:hint="eastAsia"/>
            <w:szCs w:val="28"/>
          </w:rPr>
          <w:t>第二节　解散和清算</w:t>
        </w:r>
        <w:r w:rsidR="000F5B55">
          <w:tab/>
        </w:r>
        <w:r w:rsidR="000F5B55">
          <w:fldChar w:fldCharType="begin"/>
        </w:r>
        <w:r w:rsidR="000F5B55">
          <w:instrText xml:space="preserve"> PAGEREF _Toc3977 \h </w:instrText>
        </w:r>
        <w:r w:rsidR="000F5B55">
          <w:fldChar w:fldCharType="separate"/>
        </w:r>
        <w:r w:rsidR="000F5B55">
          <w:t>40</w:t>
        </w:r>
        <w:r w:rsidR="000F5B55">
          <w:fldChar w:fldCharType="end"/>
        </w:r>
      </w:hyperlink>
    </w:p>
    <w:p w14:paraId="3C0FB749" w14:textId="77777777" w:rsidR="00743C89" w:rsidRDefault="00D922AC">
      <w:pPr>
        <w:pStyle w:val="10"/>
        <w:tabs>
          <w:tab w:val="right" w:leader="dot" w:pos="9638"/>
        </w:tabs>
      </w:pPr>
      <w:hyperlink w:anchor="_Toc26266" w:history="1">
        <w:r w:rsidR="000F5B55">
          <w:rPr>
            <w:rFonts w:asciiTheme="minorEastAsia" w:hAnsiTheme="minorEastAsia" w:cstheme="minorEastAsia" w:hint="eastAsia"/>
            <w:szCs w:val="32"/>
          </w:rPr>
          <w:t>第十一章　修改章程</w:t>
        </w:r>
        <w:r w:rsidR="000F5B55">
          <w:tab/>
        </w:r>
        <w:r w:rsidR="000F5B55">
          <w:fldChar w:fldCharType="begin"/>
        </w:r>
        <w:r w:rsidR="000F5B55">
          <w:instrText xml:space="preserve"> PAGEREF _Toc26266 \h </w:instrText>
        </w:r>
        <w:r w:rsidR="000F5B55">
          <w:fldChar w:fldCharType="separate"/>
        </w:r>
        <w:r w:rsidR="000F5B55">
          <w:t>42</w:t>
        </w:r>
        <w:r w:rsidR="000F5B55">
          <w:fldChar w:fldCharType="end"/>
        </w:r>
      </w:hyperlink>
    </w:p>
    <w:p w14:paraId="5CA40FC2" w14:textId="77777777" w:rsidR="00743C89" w:rsidRDefault="00D922AC">
      <w:pPr>
        <w:pStyle w:val="10"/>
        <w:tabs>
          <w:tab w:val="right" w:leader="dot" w:pos="9638"/>
        </w:tabs>
      </w:pPr>
      <w:hyperlink w:anchor="_Toc14184" w:history="1">
        <w:r w:rsidR="000F5B55">
          <w:rPr>
            <w:rFonts w:asciiTheme="minorEastAsia" w:hAnsiTheme="minorEastAsia" w:cstheme="minorEastAsia" w:hint="eastAsia"/>
            <w:szCs w:val="32"/>
          </w:rPr>
          <w:t>第十二章　附则</w:t>
        </w:r>
        <w:r w:rsidR="000F5B55">
          <w:tab/>
        </w:r>
        <w:r w:rsidR="000F5B55">
          <w:fldChar w:fldCharType="begin"/>
        </w:r>
        <w:r w:rsidR="000F5B55">
          <w:instrText xml:space="preserve"> PAGEREF _Toc14184 \h </w:instrText>
        </w:r>
        <w:r w:rsidR="000F5B55">
          <w:fldChar w:fldCharType="separate"/>
        </w:r>
        <w:r w:rsidR="000F5B55">
          <w:t>42</w:t>
        </w:r>
        <w:r w:rsidR="000F5B55">
          <w:fldChar w:fldCharType="end"/>
        </w:r>
      </w:hyperlink>
    </w:p>
    <w:p w14:paraId="03C38716" w14:textId="77777777" w:rsidR="00743C89" w:rsidRDefault="000F5B55">
      <w:pPr>
        <w:tabs>
          <w:tab w:val="right" w:leader="dot" w:pos="9639"/>
        </w:tabs>
        <w:spacing w:line="360" w:lineRule="exact"/>
        <w:rPr>
          <w:rFonts w:asciiTheme="minorEastAsia" w:hAnsiTheme="minorEastAsia" w:cstheme="minorEastAsia"/>
        </w:rPr>
      </w:pPr>
      <w:r>
        <w:rPr>
          <w:rFonts w:asciiTheme="minorEastAsia" w:hAnsiTheme="minorEastAsia" w:cstheme="minorEastAsia" w:hint="eastAsia"/>
        </w:rPr>
        <w:fldChar w:fldCharType="end"/>
      </w:r>
    </w:p>
    <w:p w14:paraId="2731B3F2" w14:textId="77777777" w:rsidR="00743C89" w:rsidRDefault="00743C89">
      <w:pPr>
        <w:pStyle w:val="af1"/>
        <w:spacing w:line="500" w:lineRule="exact"/>
        <w:rPr>
          <w:rFonts w:asciiTheme="minorEastAsia" w:eastAsiaTheme="minorEastAsia" w:hAnsiTheme="minorEastAsia" w:cstheme="minorEastAsia"/>
        </w:rPr>
        <w:sectPr w:rsidR="00743C89">
          <w:footerReference w:type="default" r:id="rId11"/>
          <w:pgSz w:w="11906" w:h="16838"/>
          <w:pgMar w:top="1134" w:right="1134" w:bottom="993" w:left="1134" w:header="851" w:footer="992" w:gutter="0"/>
          <w:cols w:space="720"/>
          <w:docGrid w:type="lines" w:linePitch="312"/>
        </w:sectPr>
      </w:pPr>
    </w:p>
    <w:p w14:paraId="564C2289" w14:textId="77777777" w:rsidR="00743C89" w:rsidRDefault="000F5B55">
      <w:pPr>
        <w:pStyle w:val="af1"/>
        <w:spacing w:before="0" w:after="0" w:line="360" w:lineRule="auto"/>
        <w:outlineLvl w:val="0"/>
        <w:rPr>
          <w:rFonts w:asciiTheme="minorEastAsia" w:eastAsiaTheme="minorEastAsia" w:hAnsiTheme="minorEastAsia" w:cstheme="minorEastAsia"/>
          <w:b/>
          <w:sz w:val="32"/>
          <w:szCs w:val="32"/>
        </w:rPr>
      </w:pPr>
      <w:bookmarkStart w:id="0" w:name="_Toc18227"/>
      <w:r>
        <w:rPr>
          <w:rFonts w:asciiTheme="minorEastAsia" w:eastAsiaTheme="minorEastAsia" w:hAnsiTheme="minorEastAsia" w:cstheme="minorEastAsia" w:hint="eastAsia"/>
          <w:b/>
          <w:sz w:val="32"/>
          <w:szCs w:val="32"/>
        </w:rPr>
        <w:lastRenderedPageBreak/>
        <w:t xml:space="preserve">第一章　</w:t>
      </w:r>
      <w:bookmarkStart w:id="1" w:name="_Toc261168808"/>
      <w:r>
        <w:rPr>
          <w:rFonts w:asciiTheme="minorEastAsia" w:eastAsiaTheme="minorEastAsia" w:hAnsiTheme="minorEastAsia" w:cstheme="minorEastAsia" w:hint="eastAsia"/>
          <w:b/>
          <w:sz w:val="32"/>
          <w:szCs w:val="32"/>
        </w:rPr>
        <w:t>总则</w:t>
      </w:r>
      <w:bookmarkEnd w:id="0"/>
      <w:bookmarkEnd w:id="1"/>
    </w:p>
    <w:p w14:paraId="41D5BB75"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为维护公司、股东和债权人的合法权益，规范公司的组织和行为，根据《中华人民共和国公司法》（以下简称“《公司法》”）《中华人民共和国证券法》（以下简称“《证券法》”）《上市公司章程指引》和其他有关规定，制订本章程。</w:t>
      </w:r>
    </w:p>
    <w:p w14:paraId="3F85619A"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广东天亿马信息产业股份有限公司系依照《公司法》和其他有关规定成立的股份有限公司（以下简称“公司”）。</w:t>
      </w:r>
    </w:p>
    <w:p w14:paraId="7AFE3293" w14:textId="77777777" w:rsidR="00743C89" w:rsidRDefault="000F5B55">
      <w:pPr>
        <w:tabs>
          <w:tab w:val="left" w:pos="0"/>
          <w:tab w:val="left" w:pos="1440"/>
        </w:tabs>
        <w:spacing w:line="360" w:lineRule="auto"/>
        <w:ind w:firstLine="480"/>
        <w:rPr>
          <w:rFonts w:asciiTheme="minorEastAsia" w:hAnsiTheme="minorEastAsia" w:cstheme="minorEastAsia"/>
          <w:sz w:val="24"/>
        </w:rPr>
      </w:pPr>
      <w:r>
        <w:rPr>
          <w:rFonts w:asciiTheme="minorEastAsia" w:hAnsiTheme="minorEastAsia" w:cstheme="minorEastAsia" w:hint="eastAsia"/>
          <w:sz w:val="24"/>
        </w:rPr>
        <w:t>公司系广东天亿马信息产业有限公司按账面净资产值折股整体变更设立的股份有限公司，在汕头市市场监督管理局注册登记并取得营业执照,统一社会信用代码为914405007080295548。</w:t>
      </w:r>
    </w:p>
    <w:p w14:paraId="2F112B6D"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公司于2021年9月7日经中国证券监督管理委员会同意注册，首次向社会公众发行人民币普通股1,177.80万股，于2021年11月12日在深圳证券交易所创业板上市。</w:t>
      </w:r>
    </w:p>
    <w:p w14:paraId="328C8E78"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公司名称：</w:t>
      </w:r>
    </w:p>
    <w:p w14:paraId="0CE4426D" w14:textId="77777777" w:rsidR="00743C89" w:rsidRDefault="000F5B55">
      <w:pPr>
        <w:tabs>
          <w:tab w:val="left" w:pos="0"/>
          <w:tab w:val="left" w:pos="1440"/>
        </w:tabs>
        <w:spacing w:line="360" w:lineRule="auto"/>
        <w:ind w:firstLine="480"/>
        <w:rPr>
          <w:rFonts w:asciiTheme="minorEastAsia" w:hAnsiTheme="minorEastAsia" w:cstheme="minorEastAsia"/>
          <w:sz w:val="24"/>
        </w:rPr>
      </w:pPr>
      <w:r>
        <w:rPr>
          <w:rFonts w:asciiTheme="minorEastAsia" w:hAnsiTheme="minorEastAsia" w:cstheme="minorEastAsia" w:hint="eastAsia"/>
          <w:sz w:val="24"/>
        </w:rPr>
        <w:t>中文名称：广东天亿马信息产业股份有限公司</w:t>
      </w:r>
    </w:p>
    <w:p w14:paraId="2BD50207" w14:textId="77777777" w:rsidR="00743C89" w:rsidRDefault="000F5B55">
      <w:pPr>
        <w:spacing w:line="360" w:lineRule="auto"/>
        <w:ind w:firstLineChars="200" w:firstLine="480"/>
        <w:rPr>
          <w:rFonts w:asciiTheme="minorEastAsia" w:hAnsiTheme="minorEastAsia" w:cstheme="minorEastAsia"/>
          <w:kern w:val="0"/>
          <w:szCs w:val="21"/>
        </w:rPr>
      </w:pPr>
      <w:r>
        <w:rPr>
          <w:rFonts w:asciiTheme="minorEastAsia" w:hAnsiTheme="minorEastAsia" w:cstheme="minorEastAsia" w:hint="eastAsia"/>
          <w:sz w:val="24"/>
        </w:rPr>
        <w:t>英文名称：Guangdong TianYiMa Information Industry Co.,Ltd.</w:t>
      </w:r>
    </w:p>
    <w:p w14:paraId="6FD6FBC2"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公司住所：</w:t>
      </w:r>
      <w:r>
        <w:rPr>
          <w:rFonts w:asciiTheme="minorEastAsia" w:hAnsiTheme="minorEastAsia" w:cstheme="minorEastAsia" w:hint="eastAsia"/>
          <w:kern w:val="0"/>
          <w:sz w:val="24"/>
        </w:rPr>
        <w:t>汕头市嵩山路南20号天澜国际大厦西塔2111-2112房，515041</w:t>
      </w:r>
      <w:r>
        <w:rPr>
          <w:rFonts w:asciiTheme="minorEastAsia" w:hAnsiTheme="minorEastAsia" w:cstheme="minorEastAsia" w:hint="eastAsia"/>
          <w:kern w:val="0"/>
          <w:sz w:val="24"/>
          <w:lang w:val="zh-CN"/>
        </w:rPr>
        <w:t>。</w:t>
      </w:r>
    </w:p>
    <w:p w14:paraId="258544AE" w14:textId="75A6FEA0" w:rsidR="00743C89" w:rsidRDefault="000F5B55" w:rsidP="00F72934">
      <w:pPr>
        <w:numPr>
          <w:ilvl w:val="0"/>
          <w:numId w:val="1"/>
        </w:numPr>
        <w:tabs>
          <w:tab w:val="left" w:pos="0"/>
          <w:tab w:val="left" w:pos="1440"/>
          <w:tab w:val="left" w:pos="2040"/>
        </w:tabs>
        <w:spacing w:line="360" w:lineRule="auto"/>
        <w:rPr>
          <w:rFonts w:asciiTheme="minorEastAsia" w:hAnsiTheme="minorEastAsia" w:cstheme="minorEastAsia"/>
          <w:sz w:val="24"/>
        </w:rPr>
      </w:pPr>
      <w:r>
        <w:rPr>
          <w:rFonts w:asciiTheme="minorEastAsia" w:hAnsiTheme="minorEastAsia" w:cstheme="minorEastAsia" w:hint="eastAsia"/>
          <w:sz w:val="24"/>
        </w:rPr>
        <w:t>公司注册资本为人民币</w:t>
      </w:r>
      <w:r w:rsidR="00F72934" w:rsidRPr="00F72934">
        <w:rPr>
          <w:rFonts w:asciiTheme="minorEastAsia" w:hAnsiTheme="minorEastAsia" w:cstheme="minorEastAsia"/>
          <w:sz w:val="24"/>
        </w:rPr>
        <w:t>6,685.28</w:t>
      </w:r>
      <w:r>
        <w:rPr>
          <w:rFonts w:asciiTheme="minorEastAsia" w:hAnsiTheme="minorEastAsia" w:cstheme="minorEastAsia" w:hint="eastAsia"/>
          <w:sz w:val="24"/>
        </w:rPr>
        <w:t>万</w:t>
      </w:r>
      <w:r>
        <w:rPr>
          <w:rFonts w:asciiTheme="minorEastAsia" w:hAnsiTheme="minorEastAsia" w:cstheme="minorEastAsia" w:hint="eastAsia"/>
          <w:kern w:val="0"/>
          <w:sz w:val="24"/>
        </w:rPr>
        <w:t>元</w:t>
      </w:r>
      <w:r>
        <w:rPr>
          <w:rFonts w:asciiTheme="minorEastAsia" w:hAnsiTheme="minorEastAsia" w:cstheme="minorEastAsia" w:hint="eastAsia"/>
          <w:sz w:val="24"/>
        </w:rPr>
        <w:t>。</w:t>
      </w:r>
    </w:p>
    <w:p w14:paraId="04A87CCA"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公司为永久存续的股份有限公司。</w:t>
      </w:r>
    </w:p>
    <w:p w14:paraId="4EC7FFFD"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董事长为公司的法定代表人。董事长辞任的，视为同时辞去法定代表人。法定代表人辞任的，公司应当在法定代表人辞任之日起三十日内确定新的法定代表人。</w:t>
      </w:r>
    </w:p>
    <w:p w14:paraId="69B465FF"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公司全部资产分为等额股份，公司股东以其认购的股份为限对公司承担责任，公司以其全部资产对公司的债务承担责任。</w:t>
      </w:r>
    </w:p>
    <w:p w14:paraId="5FAD7B1B"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本公司章程自生效之日起，即成为规范公司的组织与行为、公司与股东、股东与股东之间权利义务关系的具有法律约束力的文件，对公司、股东、董事、监事、高级管理人员具有法律约束力的文件。依据本章程，股东可以起诉股东，股东可以起诉公司董事、监事、经理和其他高级管理人员，股东可以起诉公司，公司可以起诉股东、董事、监事、经理和其他高级管理人员。公司、股东、董事、监事、高级管理人员之间涉及章程规定的纠纷，应当先行通过协商解决。协商不成的，任何一方均有权向公司所在地人民法院提起诉讼。</w:t>
      </w:r>
    </w:p>
    <w:p w14:paraId="663E1B52"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本章程所称其他高级管理人员是指公司的副总经理、财务负责人、董事会秘书和其他依本章程规定被公司董事会聘任为高级管理人员的公司雇员。</w:t>
      </w:r>
    </w:p>
    <w:p w14:paraId="17635715"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lastRenderedPageBreak/>
        <w:t>公司根据中国共产党章程的规定，设立共产党组织、开展党的活动。公司为党组织的活动提供必要条件。</w:t>
      </w:r>
    </w:p>
    <w:p w14:paraId="77AB07C1" w14:textId="77777777" w:rsidR="00743C89" w:rsidRDefault="000F5B55">
      <w:pPr>
        <w:pStyle w:val="af1"/>
        <w:spacing w:before="0" w:after="0" w:line="360" w:lineRule="auto"/>
        <w:outlineLvl w:val="0"/>
        <w:rPr>
          <w:rFonts w:asciiTheme="minorEastAsia" w:eastAsiaTheme="minorEastAsia" w:hAnsiTheme="minorEastAsia" w:cstheme="minorEastAsia"/>
          <w:b/>
          <w:sz w:val="32"/>
          <w:szCs w:val="32"/>
        </w:rPr>
      </w:pPr>
      <w:bookmarkStart w:id="2" w:name="_Toc1749"/>
      <w:r>
        <w:rPr>
          <w:rFonts w:asciiTheme="minorEastAsia" w:eastAsiaTheme="minorEastAsia" w:hAnsiTheme="minorEastAsia" w:cstheme="minorEastAsia" w:hint="eastAsia"/>
          <w:b/>
          <w:sz w:val="32"/>
          <w:szCs w:val="32"/>
        </w:rPr>
        <w:t xml:space="preserve">第二章　</w:t>
      </w:r>
      <w:bookmarkStart w:id="3" w:name="_Toc261168809"/>
      <w:r>
        <w:rPr>
          <w:rFonts w:asciiTheme="minorEastAsia" w:eastAsiaTheme="minorEastAsia" w:hAnsiTheme="minorEastAsia" w:cstheme="minorEastAsia" w:hint="eastAsia"/>
          <w:b/>
          <w:sz w:val="32"/>
          <w:szCs w:val="32"/>
        </w:rPr>
        <w:t>经营宗旨和范围</w:t>
      </w:r>
      <w:bookmarkEnd w:id="2"/>
      <w:bookmarkEnd w:id="3"/>
    </w:p>
    <w:p w14:paraId="0462E53C"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公司的经营宗旨：致力IT产品与服务解决方案提供，秉承“技术缔造价值，服务成就未来”的经营理念，成为智慧城市建设与行业应用提供商。</w:t>
      </w:r>
    </w:p>
    <w:p w14:paraId="4D78A20A"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的经营范围：计算机软件开发，计算机及信息化配套产品的研发，计算机信息系统集成及服务；智慧城市项目、电子政务项目、建筑智能化工程、电子自动化工程、防雷工程、通信工程、城市交通设施工程、电力工程的设计、施工及服务；计算机信息系统安全服务；安全技术防范系统设计、施工、维修；电子信息技术服务；交通信号灯系统、道路交通安全设施的制作及安装；电子计算机及配件、教学仪器、实验实训设备、通信设备、办公自动化设备的销售、维护、维修、安装、调试；地理信息数据处理，地理信息系统的技术开发及服务；销售：电子计算机软件，电子通信设备，通用机械设备，文化办公机械，文化用品，五金交电，空调、无线电设备，汽车、摩托车及零配件、新能源汽车整车；设计、制作、发布、代理国内外各类广告；档案管理咨询、评估、鉴定、整理、修复、档案管理技术和数字化服务；增值电信业务；电子产品租赁；新兴能源技术研发；新能源原动设备销售；发电技术服务；电气安装服务；输电、供电、受电设施的安装、维修和试验；以下项目限由其分支机构经营：生产：计算机及信息化配套产品；电子出版物零售。(依法须经批准的项目，经相关部门批准后方可开展经营活动)</w:t>
      </w:r>
    </w:p>
    <w:p w14:paraId="327485BB" w14:textId="77777777" w:rsidR="00743C89" w:rsidRDefault="000F5B55">
      <w:pPr>
        <w:tabs>
          <w:tab w:val="left" w:pos="0"/>
          <w:tab w:val="left" w:pos="1440"/>
        </w:tabs>
        <w:spacing w:line="360" w:lineRule="auto"/>
        <w:ind w:firstLine="480"/>
        <w:rPr>
          <w:rFonts w:asciiTheme="minorEastAsia" w:hAnsiTheme="minorEastAsia" w:cstheme="minorEastAsia"/>
          <w:sz w:val="24"/>
        </w:rPr>
      </w:pPr>
      <w:r>
        <w:rPr>
          <w:rFonts w:asciiTheme="minorEastAsia" w:hAnsiTheme="minorEastAsia" w:cstheme="minorEastAsia" w:hint="eastAsia"/>
          <w:sz w:val="24"/>
        </w:rPr>
        <w:t>前款所指的公司经营范围以公司登记机关核准登记的为准。</w:t>
      </w:r>
    </w:p>
    <w:p w14:paraId="64F99992" w14:textId="77777777" w:rsidR="00743C89" w:rsidRDefault="000F5B55">
      <w:pPr>
        <w:tabs>
          <w:tab w:val="left" w:pos="0"/>
          <w:tab w:val="left" w:pos="1440"/>
        </w:tabs>
        <w:spacing w:line="360" w:lineRule="auto"/>
        <w:ind w:firstLine="480"/>
        <w:rPr>
          <w:rFonts w:asciiTheme="minorEastAsia" w:hAnsiTheme="minorEastAsia" w:cstheme="minorEastAsia"/>
          <w:sz w:val="24"/>
        </w:rPr>
      </w:pPr>
      <w:r>
        <w:rPr>
          <w:rFonts w:asciiTheme="minorEastAsia" w:hAnsiTheme="minorEastAsia" w:cstheme="minorEastAsia" w:hint="eastAsia"/>
          <w:sz w:val="24"/>
        </w:rPr>
        <w:t>公司可以按照市场导向，根据经营发展的需要和自身能力，调整经营范围，并按规定办理有关变更登记手续。</w:t>
      </w:r>
    </w:p>
    <w:p w14:paraId="56856382" w14:textId="77777777" w:rsidR="00743C89" w:rsidRDefault="000F5B55">
      <w:pPr>
        <w:pStyle w:val="af1"/>
        <w:spacing w:before="0" w:after="0" w:line="360" w:lineRule="auto"/>
        <w:outlineLvl w:val="0"/>
        <w:rPr>
          <w:rFonts w:asciiTheme="minorEastAsia" w:eastAsiaTheme="minorEastAsia" w:hAnsiTheme="minorEastAsia" w:cstheme="minorEastAsia"/>
          <w:b/>
          <w:sz w:val="32"/>
          <w:szCs w:val="32"/>
        </w:rPr>
      </w:pPr>
      <w:bookmarkStart w:id="4" w:name="_Toc24875"/>
      <w:r>
        <w:rPr>
          <w:rFonts w:asciiTheme="minorEastAsia" w:eastAsiaTheme="minorEastAsia" w:hAnsiTheme="minorEastAsia" w:cstheme="minorEastAsia" w:hint="eastAsia"/>
          <w:b/>
          <w:sz w:val="32"/>
          <w:szCs w:val="32"/>
        </w:rPr>
        <w:t>第三章　股份</w:t>
      </w:r>
      <w:bookmarkEnd w:id="4"/>
    </w:p>
    <w:p w14:paraId="56475A87" w14:textId="77777777" w:rsidR="00743C89" w:rsidRDefault="000F5B55">
      <w:pPr>
        <w:pStyle w:val="af0"/>
        <w:spacing w:before="0" w:after="0" w:line="360" w:lineRule="auto"/>
        <w:outlineLvl w:val="1"/>
        <w:rPr>
          <w:rFonts w:asciiTheme="minorEastAsia" w:eastAsiaTheme="minorEastAsia" w:hAnsiTheme="minorEastAsia" w:cstheme="minorEastAsia"/>
          <w:sz w:val="28"/>
          <w:szCs w:val="28"/>
        </w:rPr>
      </w:pPr>
      <w:bookmarkStart w:id="5" w:name="_Toc230"/>
      <w:r>
        <w:rPr>
          <w:rFonts w:asciiTheme="minorEastAsia" w:eastAsiaTheme="minorEastAsia" w:hAnsiTheme="minorEastAsia" w:cstheme="minorEastAsia" w:hint="eastAsia"/>
          <w:sz w:val="28"/>
          <w:szCs w:val="28"/>
        </w:rPr>
        <w:t>第一节　股份发行</w:t>
      </w:r>
      <w:bookmarkEnd w:id="5"/>
    </w:p>
    <w:p w14:paraId="0A68C0E4"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公司的股份采取股票的形式。</w:t>
      </w:r>
    </w:p>
    <w:p w14:paraId="6FBCA81E"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公司股份的发行，实行公开、公平、公正的原则，同种类的每一股份应当具有同等权利。同次发行的同种类股票，每股的发行条件和价格应当相同；任何单位或者个人所认购的股份，每股应当支付相同价额。</w:t>
      </w:r>
    </w:p>
    <w:p w14:paraId="338A7711" w14:textId="77777777" w:rsidR="00743C89" w:rsidRDefault="000F5B55">
      <w:pPr>
        <w:numPr>
          <w:ilvl w:val="0"/>
          <w:numId w:val="1"/>
        </w:numPr>
        <w:tabs>
          <w:tab w:val="left" w:pos="0"/>
          <w:tab w:val="left" w:pos="1440"/>
          <w:tab w:val="left" w:pos="2040"/>
        </w:tabs>
        <w:spacing w:line="360" w:lineRule="auto"/>
        <w:ind w:left="0" w:firstLine="540"/>
        <w:rPr>
          <w:rFonts w:asciiTheme="minorEastAsia" w:hAnsiTheme="minorEastAsia" w:cstheme="minorEastAsia"/>
          <w:sz w:val="24"/>
        </w:rPr>
      </w:pPr>
      <w:r>
        <w:rPr>
          <w:rFonts w:asciiTheme="minorEastAsia" w:hAnsiTheme="minorEastAsia" w:cstheme="minorEastAsia" w:hint="eastAsia"/>
          <w:sz w:val="24"/>
        </w:rPr>
        <w:t>公司发行的股票，以人民币标明面值，每股面值人民币1元。</w:t>
      </w:r>
    </w:p>
    <w:p w14:paraId="0633BD6F" w14:textId="77777777" w:rsidR="00743C89" w:rsidRDefault="000F5B55">
      <w:pPr>
        <w:numPr>
          <w:ilvl w:val="0"/>
          <w:numId w:val="1"/>
        </w:numPr>
        <w:tabs>
          <w:tab w:val="left" w:pos="0"/>
          <w:tab w:val="left" w:pos="1440"/>
          <w:tab w:val="left" w:pos="2040"/>
        </w:tabs>
        <w:spacing w:line="360" w:lineRule="auto"/>
        <w:ind w:left="0" w:firstLine="539"/>
        <w:rPr>
          <w:rFonts w:asciiTheme="minorEastAsia" w:hAnsiTheme="minorEastAsia" w:cstheme="minorEastAsia"/>
          <w:sz w:val="24"/>
        </w:rPr>
      </w:pPr>
      <w:r>
        <w:rPr>
          <w:rFonts w:asciiTheme="minorEastAsia" w:hAnsiTheme="minorEastAsia" w:cstheme="minorEastAsia" w:hint="eastAsia"/>
          <w:sz w:val="24"/>
        </w:rPr>
        <w:t>公司发行的股份，在中国证券登记结算有限责任公司深圳分公司集中存管。</w:t>
      </w:r>
    </w:p>
    <w:p w14:paraId="4C2DE072" w14:textId="77777777" w:rsidR="00743C89" w:rsidRDefault="000F5B55">
      <w:pPr>
        <w:numPr>
          <w:ilvl w:val="0"/>
          <w:numId w:val="1"/>
        </w:numPr>
        <w:tabs>
          <w:tab w:val="left" w:pos="0"/>
          <w:tab w:val="left" w:pos="1440"/>
          <w:tab w:val="left" w:pos="2040"/>
        </w:tabs>
        <w:spacing w:line="360" w:lineRule="auto"/>
        <w:ind w:left="0" w:firstLine="539"/>
        <w:rPr>
          <w:rFonts w:asciiTheme="minorEastAsia" w:hAnsiTheme="minorEastAsia" w:cstheme="minorEastAsia"/>
          <w:sz w:val="24"/>
        </w:rPr>
      </w:pPr>
      <w:r>
        <w:rPr>
          <w:rFonts w:asciiTheme="minorEastAsia" w:hAnsiTheme="minorEastAsia" w:cstheme="minorEastAsia" w:hint="eastAsia"/>
          <w:sz w:val="24"/>
        </w:rPr>
        <w:lastRenderedPageBreak/>
        <w:t>公司设立时各发起人及其持有的公司股份数额、比例情况如下：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2722"/>
        <w:gridCol w:w="1707"/>
        <w:gridCol w:w="1561"/>
        <w:gridCol w:w="1415"/>
        <w:gridCol w:w="1807"/>
      </w:tblGrid>
      <w:tr w:rsidR="00743C89" w14:paraId="0F1E8BB1" w14:textId="77777777">
        <w:trPr>
          <w:trHeight w:val="20"/>
          <w:jc w:val="center"/>
        </w:trPr>
        <w:tc>
          <w:tcPr>
            <w:tcW w:w="326" w:type="pct"/>
            <w:shd w:val="clear" w:color="auto" w:fill="D9D9D9" w:themeFill="background1" w:themeFillShade="D9"/>
            <w:vAlign w:val="center"/>
          </w:tcPr>
          <w:p w14:paraId="6EE039B8" w14:textId="77777777" w:rsidR="00743C89" w:rsidRDefault="000F5B55">
            <w:pPr>
              <w:jc w:val="center"/>
              <w:rPr>
                <w:rFonts w:asciiTheme="minorEastAsia" w:hAnsiTheme="minorEastAsia" w:cstheme="minorEastAsia"/>
                <w:b/>
                <w:caps/>
                <w:szCs w:val="21"/>
              </w:rPr>
            </w:pPr>
            <w:r>
              <w:rPr>
                <w:rFonts w:asciiTheme="minorEastAsia" w:hAnsiTheme="minorEastAsia" w:cstheme="minorEastAsia" w:hint="eastAsia"/>
                <w:b/>
                <w:caps/>
                <w:szCs w:val="21"/>
              </w:rPr>
              <w:t>序号</w:t>
            </w:r>
          </w:p>
        </w:tc>
        <w:tc>
          <w:tcPr>
            <w:tcW w:w="1381" w:type="pct"/>
            <w:shd w:val="clear" w:color="auto" w:fill="D9D9D9" w:themeFill="background1" w:themeFillShade="D9"/>
            <w:vAlign w:val="center"/>
          </w:tcPr>
          <w:p w14:paraId="2B13334B" w14:textId="77777777" w:rsidR="00743C89" w:rsidRDefault="000F5B55">
            <w:pPr>
              <w:widowControl/>
              <w:jc w:val="center"/>
              <w:rPr>
                <w:rFonts w:asciiTheme="minorEastAsia" w:hAnsiTheme="minorEastAsia" w:cstheme="minorEastAsia"/>
                <w:b/>
                <w:caps/>
                <w:szCs w:val="21"/>
              </w:rPr>
            </w:pPr>
            <w:r>
              <w:rPr>
                <w:rFonts w:asciiTheme="minorEastAsia" w:hAnsiTheme="minorEastAsia" w:cstheme="minorEastAsia" w:hint="eastAsia"/>
                <w:b/>
                <w:caps/>
                <w:szCs w:val="21"/>
              </w:rPr>
              <w:t>发起人姓名/名称</w:t>
            </w:r>
          </w:p>
        </w:tc>
        <w:tc>
          <w:tcPr>
            <w:tcW w:w="866" w:type="pct"/>
            <w:shd w:val="clear" w:color="auto" w:fill="D9D9D9" w:themeFill="background1" w:themeFillShade="D9"/>
            <w:vAlign w:val="center"/>
          </w:tcPr>
          <w:p w14:paraId="1AA38A02" w14:textId="77777777" w:rsidR="00743C89" w:rsidRDefault="000F5B55">
            <w:pPr>
              <w:widowControl/>
              <w:jc w:val="center"/>
              <w:rPr>
                <w:rFonts w:asciiTheme="minorEastAsia" w:hAnsiTheme="minorEastAsia" w:cstheme="minorEastAsia"/>
                <w:b/>
                <w:caps/>
                <w:szCs w:val="21"/>
              </w:rPr>
            </w:pPr>
            <w:r>
              <w:rPr>
                <w:rFonts w:asciiTheme="minorEastAsia" w:hAnsiTheme="minorEastAsia" w:cstheme="minorEastAsia" w:hint="eastAsia"/>
                <w:b/>
                <w:caps/>
                <w:szCs w:val="21"/>
              </w:rPr>
              <w:t>股份数额（股）</w:t>
            </w:r>
          </w:p>
        </w:tc>
        <w:tc>
          <w:tcPr>
            <w:tcW w:w="792" w:type="pct"/>
            <w:shd w:val="clear" w:color="auto" w:fill="D9D9D9" w:themeFill="background1" w:themeFillShade="D9"/>
            <w:vAlign w:val="center"/>
          </w:tcPr>
          <w:p w14:paraId="0EF22654" w14:textId="77777777" w:rsidR="00743C89" w:rsidRDefault="000F5B55">
            <w:pPr>
              <w:widowControl/>
              <w:jc w:val="center"/>
              <w:rPr>
                <w:rFonts w:asciiTheme="minorEastAsia" w:hAnsiTheme="minorEastAsia" w:cstheme="minorEastAsia"/>
                <w:b/>
                <w:caps/>
                <w:szCs w:val="21"/>
              </w:rPr>
            </w:pPr>
            <w:r>
              <w:rPr>
                <w:rFonts w:asciiTheme="minorEastAsia" w:hAnsiTheme="minorEastAsia" w:cstheme="minorEastAsia" w:hint="eastAsia"/>
                <w:b/>
                <w:caps/>
                <w:szCs w:val="21"/>
              </w:rPr>
              <w:t>股份比例（%）</w:t>
            </w:r>
          </w:p>
        </w:tc>
        <w:tc>
          <w:tcPr>
            <w:tcW w:w="718" w:type="pct"/>
            <w:shd w:val="clear" w:color="auto" w:fill="D9D9D9" w:themeFill="background1" w:themeFillShade="D9"/>
            <w:vAlign w:val="center"/>
          </w:tcPr>
          <w:p w14:paraId="7AB50F72" w14:textId="77777777" w:rsidR="00743C89" w:rsidRDefault="000F5B55">
            <w:pPr>
              <w:widowControl/>
              <w:jc w:val="center"/>
              <w:rPr>
                <w:rFonts w:asciiTheme="minorEastAsia" w:hAnsiTheme="minorEastAsia" w:cstheme="minorEastAsia"/>
                <w:b/>
                <w:caps/>
                <w:szCs w:val="21"/>
              </w:rPr>
            </w:pPr>
            <w:r>
              <w:rPr>
                <w:rFonts w:asciiTheme="minorEastAsia" w:hAnsiTheme="minorEastAsia" w:cstheme="minorEastAsia" w:hint="eastAsia"/>
                <w:b/>
                <w:caps/>
                <w:szCs w:val="21"/>
              </w:rPr>
              <w:t>出资方式</w:t>
            </w:r>
          </w:p>
        </w:tc>
        <w:tc>
          <w:tcPr>
            <w:tcW w:w="917" w:type="pct"/>
            <w:shd w:val="clear" w:color="auto" w:fill="D9D9D9" w:themeFill="background1" w:themeFillShade="D9"/>
            <w:vAlign w:val="center"/>
          </w:tcPr>
          <w:p w14:paraId="0C283241" w14:textId="77777777" w:rsidR="00743C89" w:rsidRDefault="000F5B55">
            <w:pPr>
              <w:widowControl/>
              <w:jc w:val="center"/>
              <w:rPr>
                <w:rFonts w:asciiTheme="minorEastAsia" w:hAnsiTheme="minorEastAsia" w:cstheme="minorEastAsia"/>
                <w:b/>
                <w:caps/>
                <w:szCs w:val="21"/>
              </w:rPr>
            </w:pPr>
            <w:r>
              <w:rPr>
                <w:rFonts w:asciiTheme="minorEastAsia" w:hAnsiTheme="minorEastAsia" w:cstheme="minorEastAsia" w:hint="eastAsia"/>
                <w:b/>
                <w:caps/>
                <w:szCs w:val="21"/>
              </w:rPr>
              <w:t>出资时间</w:t>
            </w:r>
          </w:p>
        </w:tc>
      </w:tr>
      <w:tr w:rsidR="00743C89" w14:paraId="7B7DEFE5" w14:textId="77777777">
        <w:trPr>
          <w:trHeight w:val="20"/>
          <w:jc w:val="center"/>
        </w:trPr>
        <w:tc>
          <w:tcPr>
            <w:tcW w:w="326" w:type="pct"/>
            <w:vAlign w:val="center"/>
          </w:tcPr>
          <w:p w14:paraId="21E1C1C5"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381" w:type="pct"/>
            <w:vAlign w:val="center"/>
          </w:tcPr>
          <w:p w14:paraId="6CD36C71" w14:textId="77777777" w:rsidR="00743C89" w:rsidRDefault="000F5B55">
            <w:pPr>
              <w:widowControl/>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林明玲</w:t>
            </w:r>
          </w:p>
        </w:tc>
        <w:tc>
          <w:tcPr>
            <w:tcW w:w="866" w:type="pct"/>
            <w:vAlign w:val="center"/>
          </w:tcPr>
          <w:p w14:paraId="05F42F01" w14:textId="77777777" w:rsidR="00743C89" w:rsidRDefault="000F5B55">
            <w:pPr>
              <w:widowControl/>
              <w:jc w:val="right"/>
              <w:textAlignment w:val="center"/>
              <w:rPr>
                <w:rFonts w:asciiTheme="minorEastAsia" w:hAnsiTheme="minorEastAsia" w:cstheme="minorEastAsia"/>
                <w:szCs w:val="21"/>
              </w:rPr>
            </w:pPr>
            <w:r>
              <w:rPr>
                <w:rFonts w:asciiTheme="minorEastAsia" w:hAnsiTheme="minorEastAsia" w:cstheme="minorEastAsia" w:hint="eastAsia"/>
                <w:kern w:val="0"/>
                <w:szCs w:val="21"/>
              </w:rPr>
              <w:t>10,441,600</w:t>
            </w:r>
          </w:p>
        </w:tc>
        <w:tc>
          <w:tcPr>
            <w:tcW w:w="792" w:type="pct"/>
            <w:vAlign w:val="center"/>
          </w:tcPr>
          <w:p w14:paraId="03BBE7E6" w14:textId="77777777" w:rsidR="00743C89" w:rsidRDefault="000F5B55">
            <w:pPr>
              <w:widowControl/>
              <w:jc w:val="right"/>
              <w:textAlignment w:val="center"/>
              <w:rPr>
                <w:rFonts w:asciiTheme="minorEastAsia" w:hAnsiTheme="minorEastAsia" w:cstheme="minorEastAsia"/>
                <w:szCs w:val="21"/>
              </w:rPr>
            </w:pPr>
            <w:r>
              <w:rPr>
                <w:rFonts w:asciiTheme="minorEastAsia" w:hAnsiTheme="minorEastAsia" w:cstheme="minorEastAsia" w:hint="eastAsia"/>
                <w:kern w:val="0"/>
                <w:szCs w:val="21"/>
              </w:rPr>
              <w:t>46.80</w:t>
            </w:r>
          </w:p>
        </w:tc>
        <w:tc>
          <w:tcPr>
            <w:tcW w:w="718" w:type="pct"/>
            <w:vAlign w:val="center"/>
          </w:tcPr>
          <w:p w14:paraId="5ABC0E50"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净资产折股</w:t>
            </w:r>
          </w:p>
        </w:tc>
        <w:tc>
          <w:tcPr>
            <w:tcW w:w="917" w:type="pct"/>
            <w:vAlign w:val="center"/>
          </w:tcPr>
          <w:p w14:paraId="4EA18594"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2015年8月28日</w:t>
            </w:r>
          </w:p>
        </w:tc>
      </w:tr>
      <w:tr w:rsidR="00743C89" w14:paraId="7C1D8FB8" w14:textId="77777777">
        <w:trPr>
          <w:trHeight w:val="20"/>
          <w:jc w:val="center"/>
        </w:trPr>
        <w:tc>
          <w:tcPr>
            <w:tcW w:w="326" w:type="pct"/>
            <w:vAlign w:val="center"/>
          </w:tcPr>
          <w:p w14:paraId="2969266B"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381" w:type="pct"/>
            <w:vAlign w:val="center"/>
          </w:tcPr>
          <w:p w14:paraId="41F3A506" w14:textId="77777777" w:rsidR="00743C89" w:rsidRDefault="000F5B55">
            <w:pPr>
              <w:widowControl/>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马学沛</w:t>
            </w:r>
          </w:p>
        </w:tc>
        <w:tc>
          <w:tcPr>
            <w:tcW w:w="866" w:type="pct"/>
            <w:vAlign w:val="center"/>
          </w:tcPr>
          <w:p w14:paraId="3B0E9BF7" w14:textId="77777777" w:rsidR="00743C89" w:rsidRDefault="000F5B55">
            <w:pPr>
              <w:widowControl/>
              <w:jc w:val="right"/>
              <w:textAlignment w:val="center"/>
              <w:rPr>
                <w:rFonts w:asciiTheme="minorEastAsia" w:hAnsiTheme="minorEastAsia" w:cstheme="minorEastAsia"/>
                <w:szCs w:val="21"/>
              </w:rPr>
            </w:pPr>
            <w:r>
              <w:rPr>
                <w:rFonts w:asciiTheme="minorEastAsia" w:hAnsiTheme="minorEastAsia" w:cstheme="minorEastAsia" w:hint="eastAsia"/>
                <w:kern w:val="0"/>
                <w:szCs w:val="21"/>
              </w:rPr>
              <w:t>2,008,000</w:t>
            </w:r>
          </w:p>
        </w:tc>
        <w:tc>
          <w:tcPr>
            <w:tcW w:w="792" w:type="pct"/>
            <w:vAlign w:val="center"/>
          </w:tcPr>
          <w:p w14:paraId="3A8222D4" w14:textId="77777777" w:rsidR="00743C89" w:rsidRDefault="000F5B55">
            <w:pPr>
              <w:widowControl/>
              <w:jc w:val="right"/>
              <w:textAlignment w:val="center"/>
              <w:rPr>
                <w:rFonts w:asciiTheme="minorEastAsia" w:hAnsiTheme="minorEastAsia" w:cstheme="minorEastAsia"/>
                <w:szCs w:val="21"/>
              </w:rPr>
            </w:pPr>
            <w:r>
              <w:rPr>
                <w:rFonts w:asciiTheme="minorEastAsia" w:hAnsiTheme="minorEastAsia" w:cstheme="minorEastAsia" w:hint="eastAsia"/>
                <w:kern w:val="0"/>
                <w:szCs w:val="21"/>
              </w:rPr>
              <w:t>9.00</w:t>
            </w:r>
          </w:p>
        </w:tc>
        <w:tc>
          <w:tcPr>
            <w:tcW w:w="718" w:type="pct"/>
            <w:vAlign w:val="center"/>
          </w:tcPr>
          <w:p w14:paraId="2D7EFF86"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净资产折股</w:t>
            </w:r>
          </w:p>
        </w:tc>
        <w:tc>
          <w:tcPr>
            <w:tcW w:w="917" w:type="pct"/>
            <w:vAlign w:val="center"/>
          </w:tcPr>
          <w:p w14:paraId="5FE18FE0"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2015年8月28日</w:t>
            </w:r>
          </w:p>
        </w:tc>
      </w:tr>
      <w:tr w:rsidR="00743C89" w14:paraId="46E7CD0C" w14:textId="77777777">
        <w:trPr>
          <w:trHeight w:val="20"/>
          <w:jc w:val="center"/>
        </w:trPr>
        <w:tc>
          <w:tcPr>
            <w:tcW w:w="326" w:type="pct"/>
            <w:vAlign w:val="center"/>
          </w:tcPr>
          <w:p w14:paraId="151F7018"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381" w:type="pct"/>
            <w:vAlign w:val="center"/>
          </w:tcPr>
          <w:p w14:paraId="721C1212" w14:textId="77777777" w:rsidR="00743C89" w:rsidRDefault="000F5B55">
            <w:pPr>
              <w:widowControl/>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张传庆</w:t>
            </w:r>
          </w:p>
        </w:tc>
        <w:tc>
          <w:tcPr>
            <w:tcW w:w="866" w:type="pct"/>
            <w:vAlign w:val="center"/>
          </w:tcPr>
          <w:p w14:paraId="39EE3613" w14:textId="77777777" w:rsidR="00743C89" w:rsidRDefault="000F5B55">
            <w:pPr>
              <w:widowControl/>
              <w:jc w:val="right"/>
              <w:textAlignment w:val="center"/>
              <w:rPr>
                <w:rFonts w:asciiTheme="minorEastAsia" w:hAnsiTheme="minorEastAsia" w:cstheme="minorEastAsia"/>
                <w:szCs w:val="21"/>
              </w:rPr>
            </w:pPr>
            <w:r>
              <w:rPr>
                <w:rFonts w:asciiTheme="minorEastAsia" w:hAnsiTheme="minorEastAsia" w:cstheme="minorEastAsia" w:hint="eastAsia"/>
                <w:kern w:val="0"/>
                <w:szCs w:val="21"/>
              </w:rPr>
              <w:t>1,606,400</w:t>
            </w:r>
          </w:p>
        </w:tc>
        <w:tc>
          <w:tcPr>
            <w:tcW w:w="792" w:type="pct"/>
            <w:vAlign w:val="center"/>
          </w:tcPr>
          <w:p w14:paraId="029D425C" w14:textId="77777777" w:rsidR="00743C89" w:rsidRDefault="000F5B55">
            <w:pPr>
              <w:widowControl/>
              <w:jc w:val="right"/>
              <w:textAlignment w:val="center"/>
              <w:rPr>
                <w:rFonts w:asciiTheme="minorEastAsia" w:hAnsiTheme="minorEastAsia" w:cstheme="minorEastAsia"/>
                <w:szCs w:val="21"/>
              </w:rPr>
            </w:pPr>
            <w:r>
              <w:rPr>
                <w:rFonts w:asciiTheme="minorEastAsia" w:hAnsiTheme="minorEastAsia" w:cstheme="minorEastAsia" w:hint="eastAsia"/>
                <w:kern w:val="0"/>
                <w:szCs w:val="21"/>
              </w:rPr>
              <w:t>7.20</w:t>
            </w:r>
          </w:p>
        </w:tc>
        <w:tc>
          <w:tcPr>
            <w:tcW w:w="718" w:type="pct"/>
            <w:vAlign w:val="center"/>
          </w:tcPr>
          <w:p w14:paraId="66077386"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净资产折股</w:t>
            </w:r>
          </w:p>
        </w:tc>
        <w:tc>
          <w:tcPr>
            <w:tcW w:w="917" w:type="pct"/>
            <w:vAlign w:val="center"/>
          </w:tcPr>
          <w:p w14:paraId="63823BF9" w14:textId="77777777" w:rsidR="00743C89" w:rsidRDefault="000F5B55">
            <w:pPr>
              <w:jc w:val="center"/>
              <w:rPr>
                <w:rFonts w:asciiTheme="minorEastAsia" w:hAnsiTheme="minorEastAsia" w:cstheme="minorEastAsia"/>
                <w:szCs w:val="21"/>
              </w:rPr>
            </w:pPr>
            <w:r>
              <w:rPr>
                <w:rFonts w:asciiTheme="minorEastAsia" w:hAnsiTheme="minorEastAsia" w:cstheme="minorEastAsia" w:hint="eastAsia"/>
                <w:szCs w:val="21"/>
              </w:rPr>
              <w:t>2015年8月28日</w:t>
            </w:r>
          </w:p>
        </w:tc>
      </w:tr>
      <w:tr w:rsidR="00743C89" w14:paraId="701EBF02" w14:textId="77777777">
        <w:trPr>
          <w:trHeight w:val="20"/>
          <w:jc w:val="center"/>
        </w:trPr>
        <w:tc>
          <w:tcPr>
            <w:tcW w:w="326" w:type="pct"/>
            <w:vAlign w:val="center"/>
          </w:tcPr>
          <w:p w14:paraId="45B22F62" w14:textId="77777777" w:rsidR="00743C89" w:rsidRDefault="000F5B55">
            <w:pPr>
              <w:widowControl/>
              <w:jc w:val="center"/>
              <w:rPr>
                <w:rFonts w:asciiTheme="minorEastAsia" w:hAnsiTheme="minorEastAsia" w:cstheme="minorEastAsia"/>
                <w:kern w:val="0"/>
                <w:szCs w:val="21"/>
              </w:rPr>
            </w:pPr>
            <w:r>
              <w:rPr>
                <w:rFonts w:asciiTheme="minorEastAsia" w:hAnsiTheme="minorEastAsia" w:cstheme="minorEastAsia" w:hint="eastAsia"/>
                <w:kern w:val="0"/>
                <w:szCs w:val="21"/>
              </w:rPr>
              <w:t>4</w:t>
            </w:r>
          </w:p>
        </w:tc>
        <w:tc>
          <w:tcPr>
            <w:tcW w:w="1381" w:type="pct"/>
            <w:vAlign w:val="center"/>
          </w:tcPr>
          <w:p w14:paraId="5FD09D43" w14:textId="77777777" w:rsidR="00743C89" w:rsidRDefault="000F5B55">
            <w:pPr>
              <w:widowControl/>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广州奥邦投资咨询有限公司</w:t>
            </w:r>
          </w:p>
        </w:tc>
        <w:tc>
          <w:tcPr>
            <w:tcW w:w="866" w:type="pct"/>
            <w:vAlign w:val="center"/>
          </w:tcPr>
          <w:p w14:paraId="612E0B4C" w14:textId="77777777" w:rsidR="00743C89" w:rsidRDefault="000F5B55">
            <w:pPr>
              <w:widowControl/>
              <w:jc w:val="righ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4,016,000</w:t>
            </w:r>
          </w:p>
        </w:tc>
        <w:tc>
          <w:tcPr>
            <w:tcW w:w="792" w:type="pct"/>
            <w:vAlign w:val="center"/>
          </w:tcPr>
          <w:p w14:paraId="3E745B65" w14:textId="77777777" w:rsidR="00743C89" w:rsidRDefault="000F5B55">
            <w:pPr>
              <w:widowControl/>
              <w:jc w:val="righ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18.00</w:t>
            </w:r>
          </w:p>
        </w:tc>
        <w:tc>
          <w:tcPr>
            <w:tcW w:w="718" w:type="pct"/>
            <w:vAlign w:val="center"/>
          </w:tcPr>
          <w:p w14:paraId="10E3040A" w14:textId="77777777" w:rsidR="00743C89" w:rsidRDefault="000F5B55">
            <w:pPr>
              <w:widowControl/>
              <w:jc w:val="center"/>
              <w:rPr>
                <w:rFonts w:asciiTheme="minorEastAsia" w:hAnsiTheme="minorEastAsia" w:cstheme="minorEastAsia"/>
                <w:kern w:val="0"/>
                <w:szCs w:val="21"/>
              </w:rPr>
            </w:pPr>
            <w:r>
              <w:rPr>
                <w:rFonts w:asciiTheme="minorEastAsia" w:hAnsiTheme="minorEastAsia" w:cstheme="minorEastAsia" w:hint="eastAsia"/>
                <w:szCs w:val="21"/>
              </w:rPr>
              <w:t>净资产折股</w:t>
            </w:r>
          </w:p>
        </w:tc>
        <w:tc>
          <w:tcPr>
            <w:tcW w:w="917" w:type="pct"/>
            <w:vAlign w:val="center"/>
          </w:tcPr>
          <w:p w14:paraId="3ACFC51C" w14:textId="77777777" w:rsidR="00743C89" w:rsidRDefault="000F5B55">
            <w:pPr>
              <w:widowControl/>
              <w:jc w:val="center"/>
              <w:rPr>
                <w:rFonts w:asciiTheme="minorEastAsia" w:hAnsiTheme="minorEastAsia" w:cstheme="minorEastAsia"/>
                <w:szCs w:val="21"/>
              </w:rPr>
            </w:pPr>
            <w:r>
              <w:rPr>
                <w:rFonts w:asciiTheme="minorEastAsia" w:hAnsiTheme="minorEastAsia" w:cstheme="minorEastAsia" w:hint="eastAsia"/>
                <w:szCs w:val="21"/>
              </w:rPr>
              <w:t>2015年8月28日</w:t>
            </w:r>
          </w:p>
        </w:tc>
      </w:tr>
      <w:tr w:rsidR="00743C89" w14:paraId="0DA062A0" w14:textId="77777777">
        <w:trPr>
          <w:trHeight w:val="20"/>
          <w:jc w:val="center"/>
        </w:trPr>
        <w:tc>
          <w:tcPr>
            <w:tcW w:w="326" w:type="pct"/>
            <w:vAlign w:val="center"/>
          </w:tcPr>
          <w:p w14:paraId="6692A596" w14:textId="77777777" w:rsidR="00743C89" w:rsidRDefault="000F5B55">
            <w:pPr>
              <w:widowControl/>
              <w:jc w:val="center"/>
              <w:rPr>
                <w:rFonts w:asciiTheme="minorEastAsia" w:hAnsiTheme="minorEastAsia" w:cstheme="minorEastAsia"/>
                <w:kern w:val="0"/>
                <w:szCs w:val="21"/>
              </w:rPr>
            </w:pPr>
            <w:r>
              <w:rPr>
                <w:rFonts w:asciiTheme="minorEastAsia" w:hAnsiTheme="minorEastAsia" w:cstheme="minorEastAsia" w:hint="eastAsia"/>
                <w:kern w:val="0"/>
                <w:szCs w:val="21"/>
              </w:rPr>
              <w:t>5</w:t>
            </w:r>
          </w:p>
        </w:tc>
        <w:tc>
          <w:tcPr>
            <w:tcW w:w="1381" w:type="pct"/>
            <w:vAlign w:val="center"/>
          </w:tcPr>
          <w:p w14:paraId="22E7610F" w14:textId="77777777" w:rsidR="00743C89" w:rsidRDefault="000F5B55">
            <w:pPr>
              <w:widowControl/>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汕头市励志投资管理合伙企业（有限合伙）</w:t>
            </w:r>
          </w:p>
        </w:tc>
        <w:tc>
          <w:tcPr>
            <w:tcW w:w="866" w:type="pct"/>
            <w:vAlign w:val="center"/>
          </w:tcPr>
          <w:p w14:paraId="21832FB4" w14:textId="77777777" w:rsidR="00743C89" w:rsidRDefault="000F5B55">
            <w:pPr>
              <w:widowControl/>
              <w:jc w:val="righ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2,008,000</w:t>
            </w:r>
          </w:p>
        </w:tc>
        <w:tc>
          <w:tcPr>
            <w:tcW w:w="792" w:type="pct"/>
            <w:vAlign w:val="center"/>
          </w:tcPr>
          <w:p w14:paraId="40C9C928" w14:textId="77777777" w:rsidR="00743C89" w:rsidRDefault="000F5B55">
            <w:pPr>
              <w:widowControl/>
              <w:jc w:val="righ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9.00</w:t>
            </w:r>
          </w:p>
        </w:tc>
        <w:tc>
          <w:tcPr>
            <w:tcW w:w="718" w:type="pct"/>
            <w:vAlign w:val="center"/>
          </w:tcPr>
          <w:p w14:paraId="1836E949" w14:textId="77777777" w:rsidR="00743C89" w:rsidRDefault="000F5B55">
            <w:pPr>
              <w:widowControl/>
              <w:jc w:val="center"/>
              <w:rPr>
                <w:rFonts w:asciiTheme="minorEastAsia" w:hAnsiTheme="minorEastAsia" w:cstheme="minorEastAsia"/>
                <w:kern w:val="0"/>
                <w:szCs w:val="21"/>
              </w:rPr>
            </w:pPr>
            <w:r>
              <w:rPr>
                <w:rFonts w:asciiTheme="minorEastAsia" w:hAnsiTheme="minorEastAsia" w:cstheme="minorEastAsia" w:hint="eastAsia"/>
                <w:szCs w:val="21"/>
              </w:rPr>
              <w:t>净资产折股</w:t>
            </w:r>
          </w:p>
        </w:tc>
        <w:tc>
          <w:tcPr>
            <w:tcW w:w="917" w:type="pct"/>
            <w:vAlign w:val="center"/>
          </w:tcPr>
          <w:p w14:paraId="02D32233" w14:textId="77777777" w:rsidR="00743C89" w:rsidRDefault="000F5B55">
            <w:pPr>
              <w:widowControl/>
              <w:jc w:val="center"/>
              <w:rPr>
                <w:rFonts w:asciiTheme="minorEastAsia" w:hAnsiTheme="minorEastAsia" w:cstheme="minorEastAsia"/>
                <w:szCs w:val="21"/>
              </w:rPr>
            </w:pPr>
            <w:r>
              <w:rPr>
                <w:rFonts w:asciiTheme="minorEastAsia" w:hAnsiTheme="minorEastAsia" w:cstheme="minorEastAsia" w:hint="eastAsia"/>
                <w:szCs w:val="21"/>
              </w:rPr>
              <w:t>2015年8月28日</w:t>
            </w:r>
          </w:p>
        </w:tc>
      </w:tr>
      <w:tr w:rsidR="00743C89" w14:paraId="49FD0DF9" w14:textId="77777777">
        <w:trPr>
          <w:trHeight w:val="20"/>
          <w:jc w:val="center"/>
        </w:trPr>
        <w:tc>
          <w:tcPr>
            <w:tcW w:w="326" w:type="pct"/>
            <w:vAlign w:val="center"/>
          </w:tcPr>
          <w:p w14:paraId="5CF44414" w14:textId="77777777" w:rsidR="00743C89" w:rsidRDefault="000F5B55">
            <w:pPr>
              <w:widowControl/>
              <w:jc w:val="center"/>
              <w:rPr>
                <w:rFonts w:asciiTheme="minorEastAsia" w:hAnsiTheme="minorEastAsia" w:cstheme="minorEastAsia"/>
                <w:kern w:val="0"/>
                <w:szCs w:val="21"/>
              </w:rPr>
            </w:pPr>
            <w:r>
              <w:rPr>
                <w:rFonts w:asciiTheme="minorEastAsia" w:hAnsiTheme="minorEastAsia" w:cstheme="minorEastAsia" w:hint="eastAsia"/>
                <w:kern w:val="0"/>
                <w:szCs w:val="21"/>
              </w:rPr>
              <w:t>6</w:t>
            </w:r>
          </w:p>
        </w:tc>
        <w:tc>
          <w:tcPr>
            <w:tcW w:w="1381" w:type="pct"/>
            <w:vAlign w:val="center"/>
          </w:tcPr>
          <w:p w14:paraId="21E496B3" w14:textId="77777777" w:rsidR="00743C89" w:rsidRDefault="000F5B55">
            <w:pPr>
              <w:widowControl/>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西藏思科瑞股权投资中心（有限合伙）</w:t>
            </w:r>
          </w:p>
        </w:tc>
        <w:tc>
          <w:tcPr>
            <w:tcW w:w="866" w:type="pct"/>
            <w:vAlign w:val="center"/>
          </w:tcPr>
          <w:p w14:paraId="597605ED" w14:textId="77777777" w:rsidR="00743C89" w:rsidRDefault="000F5B55">
            <w:pPr>
              <w:widowControl/>
              <w:jc w:val="righ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1,434,286</w:t>
            </w:r>
          </w:p>
        </w:tc>
        <w:tc>
          <w:tcPr>
            <w:tcW w:w="792" w:type="pct"/>
            <w:vAlign w:val="center"/>
          </w:tcPr>
          <w:p w14:paraId="1FCE3815" w14:textId="77777777" w:rsidR="00743C89" w:rsidRDefault="000F5B55">
            <w:pPr>
              <w:widowControl/>
              <w:jc w:val="righ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6.43</w:t>
            </w:r>
          </w:p>
        </w:tc>
        <w:tc>
          <w:tcPr>
            <w:tcW w:w="718" w:type="pct"/>
            <w:vAlign w:val="center"/>
          </w:tcPr>
          <w:p w14:paraId="454A2F15" w14:textId="77777777" w:rsidR="00743C89" w:rsidRDefault="000F5B55">
            <w:pPr>
              <w:widowControl/>
              <w:jc w:val="center"/>
              <w:rPr>
                <w:rFonts w:asciiTheme="minorEastAsia" w:hAnsiTheme="minorEastAsia" w:cstheme="minorEastAsia"/>
                <w:kern w:val="0"/>
                <w:szCs w:val="21"/>
              </w:rPr>
            </w:pPr>
            <w:r>
              <w:rPr>
                <w:rFonts w:asciiTheme="minorEastAsia" w:hAnsiTheme="minorEastAsia" w:cstheme="minorEastAsia" w:hint="eastAsia"/>
                <w:szCs w:val="21"/>
              </w:rPr>
              <w:t>净资产折股</w:t>
            </w:r>
          </w:p>
        </w:tc>
        <w:tc>
          <w:tcPr>
            <w:tcW w:w="917" w:type="pct"/>
            <w:vAlign w:val="center"/>
          </w:tcPr>
          <w:p w14:paraId="6C27249F" w14:textId="77777777" w:rsidR="00743C89" w:rsidRDefault="000F5B55">
            <w:pPr>
              <w:widowControl/>
              <w:jc w:val="center"/>
              <w:rPr>
                <w:rFonts w:asciiTheme="minorEastAsia" w:hAnsiTheme="minorEastAsia" w:cstheme="minorEastAsia"/>
                <w:szCs w:val="21"/>
              </w:rPr>
            </w:pPr>
            <w:r>
              <w:rPr>
                <w:rFonts w:asciiTheme="minorEastAsia" w:hAnsiTheme="minorEastAsia" w:cstheme="minorEastAsia" w:hint="eastAsia"/>
                <w:szCs w:val="21"/>
              </w:rPr>
              <w:t>2015年8月28日</w:t>
            </w:r>
          </w:p>
        </w:tc>
      </w:tr>
      <w:tr w:rsidR="00743C89" w14:paraId="64064CB2" w14:textId="77777777">
        <w:trPr>
          <w:trHeight w:val="20"/>
          <w:jc w:val="center"/>
        </w:trPr>
        <w:tc>
          <w:tcPr>
            <w:tcW w:w="326" w:type="pct"/>
            <w:vAlign w:val="center"/>
          </w:tcPr>
          <w:p w14:paraId="0C0DDF07" w14:textId="77777777" w:rsidR="00743C89" w:rsidRDefault="000F5B55">
            <w:pPr>
              <w:widowControl/>
              <w:jc w:val="center"/>
              <w:rPr>
                <w:rFonts w:asciiTheme="minorEastAsia" w:hAnsiTheme="minorEastAsia" w:cstheme="minorEastAsia"/>
                <w:kern w:val="0"/>
                <w:szCs w:val="21"/>
              </w:rPr>
            </w:pPr>
            <w:r>
              <w:rPr>
                <w:rFonts w:asciiTheme="minorEastAsia" w:hAnsiTheme="minorEastAsia" w:cstheme="minorEastAsia" w:hint="eastAsia"/>
                <w:kern w:val="0"/>
                <w:szCs w:val="21"/>
              </w:rPr>
              <w:t>7</w:t>
            </w:r>
          </w:p>
        </w:tc>
        <w:tc>
          <w:tcPr>
            <w:tcW w:w="1381" w:type="pct"/>
            <w:vAlign w:val="center"/>
          </w:tcPr>
          <w:p w14:paraId="0B31D3A8" w14:textId="77777777" w:rsidR="00743C89" w:rsidRDefault="000F5B55">
            <w:pPr>
              <w:widowControl/>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新疆融汇湘疆创业投资有限合伙企业</w:t>
            </w:r>
          </w:p>
        </w:tc>
        <w:tc>
          <w:tcPr>
            <w:tcW w:w="866" w:type="pct"/>
            <w:vAlign w:val="center"/>
          </w:tcPr>
          <w:p w14:paraId="11918BC8" w14:textId="77777777" w:rsidR="00743C89" w:rsidRDefault="000F5B55">
            <w:pPr>
              <w:widowControl/>
              <w:jc w:val="righ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796,825</w:t>
            </w:r>
          </w:p>
        </w:tc>
        <w:tc>
          <w:tcPr>
            <w:tcW w:w="792" w:type="pct"/>
            <w:vAlign w:val="center"/>
          </w:tcPr>
          <w:p w14:paraId="17AC3088" w14:textId="77777777" w:rsidR="00743C89" w:rsidRDefault="000F5B55">
            <w:pPr>
              <w:widowControl/>
              <w:jc w:val="righ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3.57</w:t>
            </w:r>
          </w:p>
        </w:tc>
        <w:tc>
          <w:tcPr>
            <w:tcW w:w="718" w:type="pct"/>
            <w:vAlign w:val="center"/>
          </w:tcPr>
          <w:p w14:paraId="43CE7FB6" w14:textId="77777777" w:rsidR="00743C89" w:rsidRDefault="000F5B55">
            <w:pPr>
              <w:widowControl/>
              <w:jc w:val="center"/>
              <w:rPr>
                <w:rFonts w:asciiTheme="minorEastAsia" w:hAnsiTheme="minorEastAsia" w:cstheme="minorEastAsia"/>
                <w:kern w:val="0"/>
                <w:szCs w:val="21"/>
              </w:rPr>
            </w:pPr>
            <w:r>
              <w:rPr>
                <w:rFonts w:asciiTheme="minorEastAsia" w:hAnsiTheme="minorEastAsia" w:cstheme="minorEastAsia" w:hint="eastAsia"/>
                <w:szCs w:val="21"/>
              </w:rPr>
              <w:t>净资产折股</w:t>
            </w:r>
          </w:p>
        </w:tc>
        <w:tc>
          <w:tcPr>
            <w:tcW w:w="917" w:type="pct"/>
            <w:vAlign w:val="center"/>
          </w:tcPr>
          <w:p w14:paraId="19B291CF" w14:textId="77777777" w:rsidR="00743C89" w:rsidRDefault="000F5B55">
            <w:pPr>
              <w:widowControl/>
              <w:jc w:val="center"/>
              <w:rPr>
                <w:rFonts w:asciiTheme="minorEastAsia" w:hAnsiTheme="minorEastAsia" w:cstheme="minorEastAsia"/>
                <w:szCs w:val="21"/>
              </w:rPr>
            </w:pPr>
            <w:r>
              <w:rPr>
                <w:rFonts w:asciiTheme="minorEastAsia" w:hAnsiTheme="minorEastAsia" w:cstheme="minorEastAsia" w:hint="eastAsia"/>
                <w:szCs w:val="21"/>
              </w:rPr>
              <w:t>2015年8月28日</w:t>
            </w:r>
          </w:p>
        </w:tc>
      </w:tr>
      <w:tr w:rsidR="00743C89" w14:paraId="0BC7D7A9" w14:textId="77777777">
        <w:trPr>
          <w:trHeight w:val="20"/>
          <w:jc w:val="center"/>
        </w:trPr>
        <w:tc>
          <w:tcPr>
            <w:tcW w:w="1707" w:type="pct"/>
            <w:gridSpan w:val="2"/>
            <w:vAlign w:val="center"/>
          </w:tcPr>
          <w:p w14:paraId="60B931DD" w14:textId="77777777" w:rsidR="00743C89" w:rsidRDefault="000F5B55">
            <w:pPr>
              <w:widowControl/>
              <w:jc w:val="center"/>
              <w:rPr>
                <w:rFonts w:asciiTheme="minorEastAsia" w:hAnsiTheme="minorEastAsia" w:cstheme="minorEastAsia"/>
                <w:b/>
                <w:kern w:val="0"/>
                <w:szCs w:val="21"/>
              </w:rPr>
            </w:pPr>
            <w:r>
              <w:rPr>
                <w:rFonts w:asciiTheme="minorEastAsia" w:hAnsiTheme="minorEastAsia" w:cstheme="minorEastAsia" w:hint="eastAsia"/>
                <w:b/>
                <w:kern w:val="0"/>
                <w:szCs w:val="21"/>
              </w:rPr>
              <w:t>合计</w:t>
            </w:r>
          </w:p>
        </w:tc>
        <w:tc>
          <w:tcPr>
            <w:tcW w:w="866" w:type="pct"/>
            <w:vAlign w:val="center"/>
          </w:tcPr>
          <w:p w14:paraId="3BBAC606" w14:textId="77777777" w:rsidR="00743C89" w:rsidRDefault="000F5B55">
            <w:pPr>
              <w:widowControl/>
              <w:jc w:val="right"/>
              <w:textAlignment w:val="center"/>
              <w:rPr>
                <w:rFonts w:asciiTheme="minorEastAsia" w:hAnsiTheme="minorEastAsia" w:cstheme="minorEastAsia"/>
                <w:b/>
                <w:kern w:val="0"/>
                <w:szCs w:val="21"/>
              </w:rPr>
            </w:pPr>
            <w:r>
              <w:rPr>
                <w:rFonts w:asciiTheme="minorEastAsia" w:hAnsiTheme="minorEastAsia" w:cstheme="minorEastAsia" w:hint="eastAsia"/>
                <w:b/>
                <w:kern w:val="0"/>
                <w:szCs w:val="21"/>
              </w:rPr>
              <w:t>22,311,111</w:t>
            </w:r>
          </w:p>
        </w:tc>
        <w:tc>
          <w:tcPr>
            <w:tcW w:w="792" w:type="pct"/>
            <w:vAlign w:val="center"/>
          </w:tcPr>
          <w:p w14:paraId="074BACC0" w14:textId="77777777" w:rsidR="00743C89" w:rsidRDefault="000F5B55">
            <w:pPr>
              <w:widowControl/>
              <w:jc w:val="right"/>
              <w:textAlignment w:val="center"/>
              <w:rPr>
                <w:rFonts w:asciiTheme="minorEastAsia" w:hAnsiTheme="minorEastAsia" w:cstheme="minorEastAsia"/>
                <w:b/>
                <w:kern w:val="0"/>
                <w:szCs w:val="21"/>
              </w:rPr>
            </w:pPr>
            <w:r>
              <w:rPr>
                <w:rFonts w:asciiTheme="minorEastAsia" w:hAnsiTheme="minorEastAsia" w:cstheme="minorEastAsia" w:hint="eastAsia"/>
                <w:b/>
                <w:kern w:val="0"/>
                <w:szCs w:val="21"/>
              </w:rPr>
              <w:t>100.00</w:t>
            </w:r>
          </w:p>
        </w:tc>
        <w:tc>
          <w:tcPr>
            <w:tcW w:w="718" w:type="pct"/>
            <w:vAlign w:val="center"/>
          </w:tcPr>
          <w:p w14:paraId="7D2EE9AF" w14:textId="77777777" w:rsidR="00743C89" w:rsidRDefault="000F5B55">
            <w:pPr>
              <w:widowControl/>
              <w:jc w:val="center"/>
              <w:rPr>
                <w:rFonts w:asciiTheme="minorEastAsia" w:hAnsiTheme="minorEastAsia" w:cstheme="minorEastAsia"/>
                <w:b/>
                <w:kern w:val="0"/>
                <w:szCs w:val="21"/>
              </w:rPr>
            </w:pPr>
            <w:r>
              <w:rPr>
                <w:rFonts w:asciiTheme="minorEastAsia" w:hAnsiTheme="minorEastAsia" w:cstheme="minorEastAsia" w:hint="eastAsia"/>
                <w:b/>
                <w:kern w:val="0"/>
                <w:szCs w:val="21"/>
              </w:rPr>
              <w:t>-</w:t>
            </w:r>
          </w:p>
        </w:tc>
        <w:tc>
          <w:tcPr>
            <w:tcW w:w="917" w:type="pct"/>
          </w:tcPr>
          <w:p w14:paraId="2BD82A25" w14:textId="77777777" w:rsidR="00743C89" w:rsidRDefault="000F5B55">
            <w:pPr>
              <w:widowControl/>
              <w:jc w:val="center"/>
              <w:rPr>
                <w:rFonts w:asciiTheme="minorEastAsia" w:hAnsiTheme="minorEastAsia" w:cstheme="minorEastAsia"/>
                <w:b/>
                <w:kern w:val="0"/>
                <w:szCs w:val="21"/>
              </w:rPr>
            </w:pPr>
            <w:r>
              <w:rPr>
                <w:rFonts w:asciiTheme="minorEastAsia" w:hAnsiTheme="minorEastAsia" w:cstheme="minorEastAsia" w:hint="eastAsia"/>
                <w:b/>
                <w:kern w:val="0"/>
                <w:szCs w:val="21"/>
              </w:rPr>
              <w:t>-</w:t>
            </w:r>
          </w:p>
        </w:tc>
      </w:tr>
    </w:tbl>
    <w:p w14:paraId="3F6CEC9A" w14:textId="78F4108F" w:rsidR="00743C89" w:rsidRPr="00F13B6A" w:rsidRDefault="000F5B55" w:rsidP="00F13B6A">
      <w:pPr>
        <w:numPr>
          <w:ilvl w:val="0"/>
          <w:numId w:val="1"/>
        </w:numPr>
        <w:tabs>
          <w:tab w:val="left" w:pos="0"/>
          <w:tab w:val="left" w:pos="1440"/>
          <w:tab w:val="left" w:pos="2040"/>
        </w:tabs>
        <w:spacing w:line="360" w:lineRule="auto"/>
        <w:ind w:left="0" w:firstLine="539"/>
        <w:rPr>
          <w:rFonts w:asciiTheme="minorEastAsia" w:hAnsiTheme="minorEastAsia" w:cstheme="minorEastAsia"/>
          <w:sz w:val="24"/>
        </w:rPr>
      </w:pPr>
      <w:r>
        <w:rPr>
          <w:rFonts w:asciiTheme="minorEastAsia" w:hAnsiTheme="minorEastAsia" w:cstheme="minorEastAsia" w:hint="eastAsia"/>
          <w:sz w:val="24"/>
        </w:rPr>
        <w:t>公司股份总数为</w:t>
      </w:r>
      <w:r w:rsidR="00F72934" w:rsidRPr="00F72934">
        <w:rPr>
          <w:rFonts w:asciiTheme="minorEastAsia" w:hAnsiTheme="minorEastAsia" w:cstheme="minorEastAsia"/>
          <w:sz w:val="24"/>
        </w:rPr>
        <w:t>6,685.28</w:t>
      </w:r>
      <w:r>
        <w:rPr>
          <w:rFonts w:asciiTheme="minorEastAsia" w:hAnsiTheme="minorEastAsia" w:cstheme="minorEastAsia" w:hint="eastAsia"/>
          <w:sz w:val="24"/>
        </w:rPr>
        <w:t>万股，均为普通股。</w:t>
      </w:r>
    </w:p>
    <w:p w14:paraId="482DA69A"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公司或公司的子公司（包括公司的附属企业）不以赠与、垫资、担保、补偿或贷款等形式，对购买或者拟购买公司股份的人提供任何资助。</w:t>
      </w:r>
    </w:p>
    <w:p w14:paraId="1A5D4FF1"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6" w:name="_Toc26160"/>
      <w:r>
        <w:rPr>
          <w:rFonts w:asciiTheme="minorEastAsia" w:eastAsiaTheme="minorEastAsia" w:hAnsiTheme="minorEastAsia" w:cstheme="minorEastAsia" w:hint="eastAsia"/>
          <w:sz w:val="28"/>
          <w:szCs w:val="28"/>
        </w:rPr>
        <w:t>第二节　股份增减和回购</w:t>
      </w:r>
      <w:bookmarkEnd w:id="6"/>
    </w:p>
    <w:p w14:paraId="08D09CE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 xml:space="preserve">公司根据经营和发展的需要，依照法律、行政法规的规定，经股东会分别作出决议，可以采用下列方式增加资本： </w:t>
      </w:r>
    </w:p>
    <w:p w14:paraId="4620274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（一）公开发行股份；</w:t>
      </w:r>
    </w:p>
    <w:p w14:paraId="5A8FB51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（二）非公开发行股份；</w:t>
      </w:r>
    </w:p>
    <w:p w14:paraId="56224B0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（三）向现有股东派送红股；</w:t>
      </w:r>
    </w:p>
    <w:p w14:paraId="7CA637E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（四）以公积金转增股本；</w:t>
      </w:r>
    </w:p>
    <w:p w14:paraId="0FBC186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（五）法律、行政法规规定以及政府有权机关批准的其他方式。</w:t>
      </w:r>
    </w:p>
    <w:p w14:paraId="3E01D05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公司可以减少注册资本。公司减少注册资本，应当按照《公司法》以及其他有关规定和本章程规定的程序办理。</w:t>
      </w:r>
    </w:p>
    <w:p w14:paraId="66A32D3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公司在下列情况下，可以依照法律、行政法规、部门规章和本章程的规定，收购本公司的股份：</w:t>
      </w:r>
    </w:p>
    <w:p w14:paraId="1D098D7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（一）减少公司注册资本；</w:t>
      </w:r>
    </w:p>
    <w:p w14:paraId="7DC76F1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（二）与持有本公司股份的其他公司合并；</w:t>
      </w:r>
    </w:p>
    <w:p w14:paraId="6350E3B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（三）将股份用于员工持股计划或者股权激励；</w:t>
      </w:r>
    </w:p>
    <w:p w14:paraId="4E2CF88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（四）股东因对股东会作出的公司合并、分立决议持异议，要求公司收购其股份；</w:t>
      </w:r>
    </w:p>
    <w:p w14:paraId="734895B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（五）将股份用于转换上市公司发行的可转换为股票的公司债券；</w:t>
      </w:r>
    </w:p>
    <w:p w14:paraId="7FEA6CA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（六）上市公司为维护公司价值及股东权益所必需。</w:t>
      </w:r>
    </w:p>
    <w:p w14:paraId="2E46729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除上述情形外，公司不得收购本公司股份。</w:t>
      </w:r>
    </w:p>
    <w:p w14:paraId="5FA7AD47"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公司收购本公司股份，可以通过公开的集中交易方式，或者法律、行政法规和中国证监会认可的其他方式进行。</w:t>
      </w:r>
    </w:p>
    <w:p w14:paraId="16C1002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公司因本章程第二十四条第一款第（三）项、第（五）项、第（六）项规定的情形收购本公司股份的，应当通过公开的集中交易方式进行。</w:t>
      </w:r>
    </w:p>
    <w:p w14:paraId="7BC4D8B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因本章程第二十四条第一款第（一）项、第（二）项的原因收购本公司股份的，应当经股东会决议；公司因本章程第二十四条第一款第（三）项、第（五）项、第（六）项规定的情形收购本公司股份的，应当经三分之二以上董事出席的董事会会议决议。</w:t>
      </w:r>
    </w:p>
    <w:p w14:paraId="06A43FC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公司依照</w:t>
      </w:r>
      <w:bookmarkStart w:id="7" w:name="_Hlk6769540"/>
      <w:r>
        <w:rPr>
          <w:rFonts w:asciiTheme="minorEastAsia" w:hAnsiTheme="minorEastAsia" w:cstheme="minorEastAsia" w:hint="eastAsia"/>
          <w:sz w:val="24"/>
        </w:rPr>
        <w:t>本章程第二十四条</w:t>
      </w:r>
      <w:bookmarkEnd w:id="7"/>
      <w:r>
        <w:rPr>
          <w:rFonts w:asciiTheme="minorEastAsia" w:hAnsiTheme="minorEastAsia" w:cstheme="minorEastAsia" w:hint="eastAsia"/>
          <w:sz w:val="24"/>
        </w:rPr>
        <w:t>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额的10%，并应当在三年内转让或者注销。</w:t>
      </w:r>
    </w:p>
    <w:p w14:paraId="55675B1C"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8" w:name="_Toc14035"/>
      <w:r>
        <w:rPr>
          <w:rFonts w:asciiTheme="minorEastAsia" w:eastAsiaTheme="minorEastAsia" w:hAnsiTheme="minorEastAsia" w:cstheme="minorEastAsia" w:hint="eastAsia"/>
          <w:sz w:val="28"/>
          <w:szCs w:val="28"/>
        </w:rPr>
        <w:t>第三节　股份转让</w:t>
      </w:r>
      <w:bookmarkEnd w:id="8"/>
    </w:p>
    <w:p w14:paraId="791F2127"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公司的股份可以依法转让，《公司法》和其他规范性文件以及本章程另有规定的除外。</w:t>
      </w:r>
    </w:p>
    <w:p w14:paraId="3A47C92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公司不接受以本公司的股票作为质押权的标的。</w:t>
      </w:r>
    </w:p>
    <w:p w14:paraId="6EFCE44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发起人持有的本公司股份，自公司成立之日起一年内不得转让。公司公开发行股份前已发行的股份，自公司股票在证券交易所上市交易之日起一年内不得转让。</w:t>
      </w:r>
    </w:p>
    <w:p w14:paraId="2DB5750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董事、监事、高级管理人员应当向公司申报所持有的本公司的股份及其变动情况，在其就任时确定的任期内和任期届满后六个月内，每年转让的股份不得超过其所持有本公司股份总数的25%，因司法强制执行、继承、遗赠、依法分割财产导致股份变动的除外；所持本公司股份自公司股票上市交易之日起一年内不得转让。上述人员离职后半年内，不得转让其所持有的本公司的股份。</w:t>
      </w:r>
    </w:p>
    <w:p w14:paraId="4FFC8D8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lastRenderedPageBreak/>
        <w:t>公司董事、监事、高级管理人员、持有本公司股份5%以上的股东，将其持有的本公司股票或者其他具有股权性质的证券在买入后六个月内卖出，或者在卖出后六个月内又买入，由此所得收益归本公司所有，本公司董事会将收回其所得收益。但是，证券公司因包销购入售后剩余股票而持有5%以上股份的，以及有中国证监会规定的其他情形的除外。</w:t>
      </w:r>
    </w:p>
    <w:p w14:paraId="1AF7D3B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前款所称董事、监事、高级管理人员、自然人股东持有的股票或者其他具有股权性质的证券，包括其配偶、父母、子女持有的及利用他人账户持有的股票或者其他具有股权性质的证券。</w:t>
      </w:r>
    </w:p>
    <w:p w14:paraId="26CF58E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公司董事会不按照前款规定执行的，股东有权要求董事会在三十日内执行。公司董事会未在上述期限内执行的，股东有权为了公司的利益以自己的名义直接向人民法院提起诉讼。</w:t>
      </w:r>
    </w:p>
    <w:p w14:paraId="6F1885E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公司董事会不按照第一款的规定执行的，负有责任的董事依法承担连带责任。</w:t>
      </w:r>
    </w:p>
    <w:p w14:paraId="5F37BFA4"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9" w:name="_Toc6555"/>
      <w:r>
        <w:rPr>
          <w:rFonts w:asciiTheme="minorEastAsia" w:eastAsiaTheme="minorEastAsia" w:hAnsiTheme="minorEastAsia" w:cstheme="minorEastAsia" w:hint="eastAsia"/>
          <w:b/>
          <w:sz w:val="32"/>
          <w:szCs w:val="32"/>
        </w:rPr>
        <w:t>第四章　股东和股东会</w:t>
      </w:r>
      <w:bookmarkEnd w:id="9"/>
    </w:p>
    <w:p w14:paraId="78BFE3BF"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10" w:name="_Toc12449"/>
      <w:r>
        <w:rPr>
          <w:rFonts w:asciiTheme="minorEastAsia" w:eastAsiaTheme="minorEastAsia" w:hAnsiTheme="minorEastAsia" w:cstheme="minorEastAsia" w:hint="eastAsia"/>
          <w:sz w:val="28"/>
          <w:szCs w:val="28"/>
        </w:rPr>
        <w:t>第一节　股东</w:t>
      </w:r>
      <w:bookmarkEnd w:id="10"/>
    </w:p>
    <w:p w14:paraId="7491092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公司依据证券登记机构提供的凭证建立股东名册，股东名册是证明股东持有公司股份的充分证据。股东按其所持有股份的种类享有权利，承担义务；持有同一种类股份的股东，享有同等权利，承担同种义务。</w:t>
      </w:r>
    </w:p>
    <w:p w14:paraId="7B19E7A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公司召开股东会、分配股利、清算及从事其他需要确认股东身份的行为时，由董事会或股东会召集人确定股权登记日，股权登记日收市后登记在册的股东为享有相关权益的股东。</w:t>
      </w:r>
    </w:p>
    <w:p w14:paraId="2BD9BA1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公司股东享有下列权利：</w:t>
      </w:r>
    </w:p>
    <w:p w14:paraId="5AC4703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（一）依照其所持有的股份份额获得股利和其他形式的利益分配；</w:t>
      </w:r>
    </w:p>
    <w:p w14:paraId="3D1133B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（二）依法请求、召集、主持、参加或者委派股东代理人参加股东会，并行使相应的表决权；</w:t>
      </w:r>
    </w:p>
    <w:p w14:paraId="57F8B4A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（三）对公司的经营进行监督，提出建议或者质询；</w:t>
      </w:r>
    </w:p>
    <w:p w14:paraId="7B36B8E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（四）依照法律、行政法规及本章程的规定转让、赠与或质押其所持有的股份；</w:t>
      </w:r>
    </w:p>
    <w:p w14:paraId="7D60D1D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（五）查阅、复制本章程、股东名册、股东会会议记录、董事会会议决议、监事会会议决议、财务会计报告；</w:t>
      </w:r>
    </w:p>
    <w:p w14:paraId="065EB6B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（六）公司终止或者清算时，按其所持有的股份份额参加公司剩余财产的分配；</w:t>
      </w:r>
    </w:p>
    <w:p w14:paraId="7A94585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（七）对股东会作出的公司合并、分立决议持异议的股东，要求公司收购其股份；</w:t>
      </w:r>
    </w:p>
    <w:p w14:paraId="280D842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（八）法律、行政法规、部门规章或本章程规定的其他权利。</w:t>
      </w:r>
    </w:p>
    <w:p w14:paraId="2993ACE7"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股东提出查阅前条所述有关信息或者索取资料的，应当向公司提供证明其持有公司股份的种类以及持股数量的书面文件，公司经核实股东身份后按照股东的要求予以提供。</w:t>
      </w:r>
    </w:p>
    <w:p w14:paraId="215CE08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公司股东会、董事会决议内容违反法律、行政法规的，股东有权请求人民法院认定无效。</w:t>
      </w:r>
    </w:p>
    <w:p w14:paraId="031D6C6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股东会、董事会的会议召集程序、表决方式违反法律、行政法规或者本章程，或者决议内容违反本章程的，股东有权自决议作出之日起六十日内，请求人民法院撤销。</w:t>
      </w:r>
    </w:p>
    <w:p w14:paraId="1AD3DC4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高级管理人员执行公司职务时违反法律、行政法规或者本章程的规定，给公司造成损失的，连续一百八十日以上单独或合并持有公司百分之一以上股份的股东有权书面请求监事会向人民法院提起诉讼；监事会执行公司职务时违反法律、行政法规或者本章程的规定，给公司造成损失的，股东可以书面请求董事会向人民法院提起诉讼。</w:t>
      </w:r>
    </w:p>
    <w:p w14:paraId="4CB70A4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监事会、董事会收到前款规定的股东书面请求后拒绝提起诉讼，或者自收到请求之日起三十日内未提起诉讼，或者情况紧急、不立即提起诉讼将会使公司利益受到难以弥补的损害的，前款规定的股东有权为了公司的利益以自己的名义直接向人民法院提起诉讼。</w:t>
      </w:r>
    </w:p>
    <w:p w14:paraId="25123F4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他人侵犯公司合法权益，给公司造成损失的，本条第一款规定的股东可以依照前两款的规定向人民法院提起诉讼。</w:t>
      </w:r>
    </w:p>
    <w:p w14:paraId="481164F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董事、高级管理人员违反法律、行政法规或者本章程的规定，损害股东利益的，股东可以向人民法院提起诉讼。</w:t>
      </w:r>
    </w:p>
    <w:p w14:paraId="5E5A8AE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公司股东承担下列义务：</w:t>
      </w:r>
    </w:p>
    <w:p w14:paraId="52909F5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（一）遵守法律、行政法规和本章程；</w:t>
      </w:r>
    </w:p>
    <w:p w14:paraId="113D55A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（二）依其所认购的股份和入股方式缴纳股金，并依其所认购的股份承担公司的亏损及债务，但以其所认购的股份为限；</w:t>
      </w:r>
    </w:p>
    <w:p w14:paraId="790C807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（三）除法律、法规规定的情形外，不得退股；</w:t>
      </w:r>
    </w:p>
    <w:p w14:paraId="6FAA803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（四）不得滥用股东权利损害公司或者其他股东的利益；不得滥用公司法人独立地位和股东有限责任损害公司债权人的利益；公司股东滥用股东权利给公司或者其他股东造成损失</w:t>
      </w:r>
      <w:r>
        <w:rPr>
          <w:rFonts w:asciiTheme="minorEastAsia" w:hAnsiTheme="minorEastAsia" w:cstheme="minorEastAsia" w:hint="eastAsia"/>
          <w:sz w:val="24"/>
        </w:rPr>
        <w:lastRenderedPageBreak/>
        <w:t>的，应当依法承担赔偿责任。</w:t>
      </w:r>
    </w:p>
    <w:p w14:paraId="7B06D15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公司股东滥用公司法人独立地位和股东有限责任，逃避债务，严重损害公司债权人利益的，应当对公司债务承担连带责任。</w:t>
      </w:r>
    </w:p>
    <w:p w14:paraId="4F9907F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（五）法律、行政法规及本章程规定应当承担的其他义务。</w:t>
      </w:r>
    </w:p>
    <w:p w14:paraId="3CD2513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持有公司5%以上有表决权股份的股东，将其持有的股份进行质押的，应当自该事实发生当日，向公司作出书面报告。</w:t>
      </w:r>
    </w:p>
    <w:p w14:paraId="6B835CD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公司的控股股东、实际控制人不得利用其关联关系损害公司利益。违反规定给公司造成损失的，应当承担赔偿责任。</w:t>
      </w:r>
    </w:p>
    <w:p w14:paraId="07E0CF3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控股股东及实际控制人对公司和公司其他股东负有诚信义务。控股股东应严格依法行使出资人的权利，控股股东不得利用利润分配、资产重组、对外投资、资金占用、借款担保等方式损害公司和公司其他股东的合法权益，不得利用其控制地位损害公司和公司其他股东的利益。</w:t>
      </w:r>
    </w:p>
    <w:p w14:paraId="1F7827CB"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11" w:name="_Toc13604"/>
      <w:r>
        <w:rPr>
          <w:rFonts w:asciiTheme="minorEastAsia" w:eastAsiaTheme="minorEastAsia" w:hAnsiTheme="minorEastAsia" w:cstheme="minorEastAsia" w:hint="eastAsia"/>
          <w:sz w:val="28"/>
          <w:szCs w:val="28"/>
        </w:rPr>
        <w:t>第二节　股东会的一般规定</w:t>
      </w:r>
      <w:bookmarkEnd w:id="11"/>
    </w:p>
    <w:p w14:paraId="5F9B4AB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股东会是公司的权力机构，依法行使下列职权：</w:t>
      </w:r>
    </w:p>
    <w:p w14:paraId="638F5D7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（一）决定公司的经营方针和投资计划；</w:t>
      </w:r>
    </w:p>
    <w:p w14:paraId="0E01CDD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（二）选举和更换非由职工代表担任的董事、监事，决定有关董事、监事的报酬事项；</w:t>
      </w:r>
    </w:p>
    <w:p w14:paraId="7643682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（三）审议批准董事会的报告；</w:t>
      </w:r>
    </w:p>
    <w:p w14:paraId="12FEB9D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（四）审议批准监事会的报告；</w:t>
      </w:r>
    </w:p>
    <w:p w14:paraId="512B5C4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（五）审议批准公司的年度财务预算方案、决算方案；</w:t>
      </w:r>
    </w:p>
    <w:p w14:paraId="077F98A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（六）审议批准公司的利润分配方案和弥补亏损方案；</w:t>
      </w:r>
    </w:p>
    <w:p w14:paraId="450F695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（七）对公司增加或者减少注册资本作出决议；</w:t>
      </w:r>
    </w:p>
    <w:p w14:paraId="7B48734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（八）对发行公司债券作出决议；</w:t>
      </w:r>
    </w:p>
    <w:p w14:paraId="257AB09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（九）对公司合并、分立、解散、清算或者变更公司形式作出决议；</w:t>
      </w:r>
    </w:p>
    <w:p w14:paraId="6ED4CC2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（十）修改本章程；</w:t>
      </w:r>
    </w:p>
    <w:p w14:paraId="74A891F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（十一）对公司聘用、解聘会计师事务所作出决议；</w:t>
      </w:r>
    </w:p>
    <w:p w14:paraId="01F57C2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（十二）审议批准本章程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REF _Ref422062556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第四十二条 </w:t>
      </w:r>
      <w:r>
        <w:rPr>
          <w:rFonts w:asciiTheme="minorEastAsia" w:hAnsiTheme="minorEastAsia" w:cstheme="minorEastAsia" w:hint="eastAsia"/>
          <w:sz w:val="24"/>
        </w:rPr>
        <w:fldChar w:fldCharType="end"/>
      </w:r>
      <w:r>
        <w:rPr>
          <w:rFonts w:asciiTheme="minorEastAsia" w:hAnsiTheme="minorEastAsia" w:cstheme="minorEastAsia" w:hint="eastAsia"/>
          <w:sz w:val="24"/>
        </w:rPr>
        <w:t>规定的交易事项；</w:t>
      </w:r>
    </w:p>
    <w:p w14:paraId="41A833D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（十三）审议批准本章程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REF _Ref422062602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第四十三条 </w:t>
      </w:r>
      <w:r>
        <w:rPr>
          <w:rFonts w:asciiTheme="minorEastAsia" w:hAnsiTheme="minorEastAsia" w:cstheme="minorEastAsia" w:hint="eastAsia"/>
          <w:sz w:val="24"/>
        </w:rPr>
        <w:fldChar w:fldCharType="end"/>
      </w:r>
      <w:r>
        <w:rPr>
          <w:rFonts w:asciiTheme="minorEastAsia" w:hAnsiTheme="minorEastAsia" w:cstheme="minorEastAsia" w:hint="eastAsia"/>
          <w:sz w:val="24"/>
        </w:rPr>
        <w:t>规定的担保、财务资助事项；</w:t>
      </w:r>
    </w:p>
    <w:p w14:paraId="6CD992E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（十四）审议公司在一年内购买、出售重大资产超过公司最近一期经审计总资产30%的事项；</w:t>
      </w:r>
    </w:p>
    <w:p w14:paraId="71E48F1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（十五）审议批准公司与关联方发生的交易（公司获赠现金资产和提供担保除外）金额在人民币3,000万元以上且占公司最近一期经审计净资产绝对值5%以上的关联交易事项；</w:t>
      </w:r>
    </w:p>
    <w:p w14:paraId="6851440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（十六）审议批准变更募集资金用途事项；</w:t>
      </w:r>
    </w:p>
    <w:p w14:paraId="10ABE46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（十七）审议股权激励计划；</w:t>
      </w:r>
    </w:p>
    <w:p w14:paraId="2D66738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（十八）审议法律、行政法规、部门规章或本章程规定应当由股东会决定的其他事项。</w:t>
      </w:r>
    </w:p>
    <w:p w14:paraId="4E69C9C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上述股东会的职权不得通过授权的形式由董事会或其他机构和个人代为行使。</w:t>
      </w:r>
    </w:p>
    <w:p w14:paraId="4B6F57D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bookmarkStart w:id="12" w:name="_Ref422062556"/>
      <w:r>
        <w:rPr>
          <w:rFonts w:asciiTheme="minorEastAsia" w:hAnsiTheme="minorEastAsia" w:cstheme="minorEastAsia" w:hint="eastAsia"/>
          <w:sz w:val="24"/>
        </w:rPr>
        <w:t>公司发生的交易（提供担保、提供财务资助除外）达到下列标准之一的</w:t>
      </w:r>
      <w:r>
        <w:rPr>
          <w:rFonts w:asciiTheme="minorEastAsia" w:hAnsiTheme="minorEastAsia" w:cstheme="minorEastAsia" w:hint="eastAsia"/>
        </w:rPr>
        <w:t>，</w:t>
      </w:r>
      <w:r>
        <w:rPr>
          <w:rFonts w:asciiTheme="minorEastAsia" w:hAnsiTheme="minorEastAsia" w:cstheme="minorEastAsia" w:hint="eastAsia"/>
          <w:sz w:val="24"/>
        </w:rPr>
        <w:t>须经股东会审议通过（本条下述指标计算中涉及的数据如为负值，取其绝对值为计算数据）：</w:t>
      </w:r>
      <w:bookmarkEnd w:id="12"/>
    </w:p>
    <w:p w14:paraId="0989F74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（一）交易涉及的资产总额占公司最近一期经审计总资产的50%以上，该交易涉及的资产总额同时存在账面值和评估值的，以较高者作为计算数据；</w:t>
      </w:r>
    </w:p>
    <w:p w14:paraId="0CE0114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（二）交易标的（如股权）在最近一个会计年度相关的营业收入占公司最近一个会计年度经审计营业收入的50%以上，且绝对金额超过人民币5,000万元；</w:t>
      </w:r>
    </w:p>
    <w:p w14:paraId="0B04546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（三）交易标的（如股权）在最近一个会计年度相关的净利润占公司最近一个会计年度经审计净利润的50%以上，且绝对金额超过500万元；</w:t>
      </w:r>
    </w:p>
    <w:p w14:paraId="4027757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（四）交易的成交金额（含承担债务和费用）占公司最近一期经审计净资产的50%以上，且绝对金额超过5,000万元；</w:t>
      </w:r>
    </w:p>
    <w:p w14:paraId="44D26C5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（五）交易产生的利润占公司最近一个会计年度经审计净利润的50%以上，且绝对金额超过500万元；</w:t>
      </w:r>
    </w:p>
    <w:p w14:paraId="57920C3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公司发生本条第三款第一项“购买或者出售资产”交易时，资产总额或成交总额（取高者）经累计计算在连续十二个月内达到最近一期经审计总资产30%的，提请股东会审议时须经出席会议股东所持表决权的三分之二以上通过。</w:t>
      </w:r>
    </w:p>
    <w:p w14:paraId="18EC251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公司在十二个月内发生的交易标的相关的同类交易，按照累计计算的原则适用本条第一款的规定；已按照本条第一款规定履行相关义务的，不再纳入相关的累计计算范围。</w:t>
      </w:r>
    </w:p>
    <w:p w14:paraId="689EB71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公司单方面获得利益的交易，包括受赠现金资产、获得债务减免等，可免于按照上述规定履行股东会审议程序。</w:t>
      </w:r>
    </w:p>
    <w:p w14:paraId="36581EF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本条所称“交易”系指下列事项：</w:t>
      </w:r>
    </w:p>
    <w:p w14:paraId="6DA9301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（一）购买或者出售资产；</w:t>
      </w:r>
    </w:p>
    <w:p w14:paraId="0EA5CE7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（二）对外投资（含委托理财，对子公司投资等，设立或增资全资子公司除外）；</w:t>
      </w:r>
    </w:p>
    <w:p w14:paraId="09EDD65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（三）提供财务资助（含委托贷款）；</w:t>
      </w:r>
    </w:p>
    <w:p w14:paraId="044482C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（四）提供担保（指公司为他人提供的担保，含对子公司的担保）；</w:t>
      </w:r>
    </w:p>
    <w:p w14:paraId="535AB8F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（五）租入或者租出资产；</w:t>
      </w:r>
    </w:p>
    <w:p w14:paraId="5A774C1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（六）签订管理方面的合同（含委托经营、受托经营等）；</w:t>
      </w:r>
    </w:p>
    <w:p w14:paraId="2DAF4FE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（七）赠与或者受赠资产；</w:t>
      </w:r>
    </w:p>
    <w:p w14:paraId="3998E4D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（八）债权或者债务重组；</w:t>
      </w:r>
    </w:p>
    <w:p w14:paraId="39903EC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（九）研究与开发项目的转移；</w:t>
      </w:r>
    </w:p>
    <w:p w14:paraId="6DC66D3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（十）签订许可协议；</w:t>
      </w:r>
    </w:p>
    <w:p w14:paraId="7058543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（十一）放弃权利（含放弃优先购买权、优先认缴出资权利等）；</w:t>
      </w:r>
    </w:p>
    <w:p w14:paraId="07A359E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（十二）其他法律、行政法规规范性文件规定、本章程或公司股东会认定的其他交易。</w:t>
      </w:r>
    </w:p>
    <w:p w14:paraId="6A9AAB6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公司下列活动不属于前款规定的事项：</w:t>
      </w:r>
    </w:p>
    <w:p w14:paraId="2F7D828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（一）购买与日常经营相关的原材料、燃料和动力（不含资产置换中涉及购买、出售此类资产）；</w:t>
      </w:r>
    </w:p>
    <w:p w14:paraId="37833C3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（二）出售产品、商品等与日常经营相关的资产（不含资产置换中涉及购买、出售此类资产）；</w:t>
      </w:r>
    </w:p>
    <w:p w14:paraId="4DC012A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（三）虽进行前款规定的交易事项但属于公司的主营业务活动。</w:t>
      </w:r>
    </w:p>
    <w:p w14:paraId="4FADBCB2" w14:textId="77777777" w:rsidR="00743C89" w:rsidRDefault="00743C89">
      <w:pPr>
        <w:spacing w:line="500" w:lineRule="exact"/>
        <w:ind w:firstLineChars="200" w:firstLine="480"/>
        <w:rPr>
          <w:rFonts w:asciiTheme="minorEastAsia" w:hAnsiTheme="minorEastAsia" w:cstheme="minorEastAsia"/>
          <w:sz w:val="24"/>
        </w:rPr>
      </w:pPr>
    </w:p>
    <w:p w14:paraId="20BC0AD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bookmarkStart w:id="13" w:name="_Ref422062602"/>
      <w:r>
        <w:rPr>
          <w:rFonts w:asciiTheme="minorEastAsia" w:hAnsiTheme="minorEastAsia" w:cstheme="minorEastAsia" w:hint="eastAsia"/>
          <w:sz w:val="24"/>
        </w:rPr>
        <w:t>未经董事会或股东会批准，公司不得对外提供担保。</w:t>
      </w:r>
      <w:bookmarkEnd w:id="13"/>
    </w:p>
    <w:p w14:paraId="68F8CED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公司下列对外担保行为，还应当在董事会审议通过后提交股东会审议：</w:t>
      </w:r>
    </w:p>
    <w:p w14:paraId="2C240E2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（一）公司及公司控股子公司的对外担保总额，超过最近一期经审计净资产的50%以后提供的任何担保；</w:t>
      </w:r>
    </w:p>
    <w:p w14:paraId="7E3FFEA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（二）公司的对外担保总额，达到或超过最近一期经审计总资产的30%以后提供的任何担保；</w:t>
      </w:r>
    </w:p>
    <w:p w14:paraId="7818481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（三）为资产负债率超过70%的担保对象提供的担保；</w:t>
      </w:r>
    </w:p>
    <w:p w14:paraId="56939AD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（四）单笔担保额超过最近一期经审计净资产10%的担保；</w:t>
      </w:r>
    </w:p>
    <w:p w14:paraId="77A6F76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（五）连续十二个月内担保金额超过公司最近一期经审计总资产的30%；</w:t>
      </w:r>
    </w:p>
    <w:p w14:paraId="5B6DFC1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（六）连续十二个月内担保金额超过公司最近一期经审计净资产的50%且绝</w:t>
      </w:r>
      <w:r>
        <w:rPr>
          <w:rFonts w:asciiTheme="minorEastAsia" w:hAnsiTheme="minorEastAsia" w:cstheme="minorEastAsia" w:hint="eastAsia"/>
          <w:kern w:val="0"/>
          <w:sz w:val="24"/>
        </w:rPr>
        <w:t>对金额超过5,000万元；</w:t>
      </w:r>
    </w:p>
    <w:p w14:paraId="256CD7E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（七）对股东、实际控制人及其关联方提供的担保；</w:t>
      </w:r>
    </w:p>
    <w:p w14:paraId="1004AF2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（八）深交所或者公司章程规定的其他担保情形。</w:t>
      </w:r>
    </w:p>
    <w:p w14:paraId="5BA3485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董事会审议担保事项时，必须经出席董事会会议的三分之二以上董事审议同意。股东会审议前款第（五）项担保事项时，必须经出席会议的股东所持表决权的三分之二以上通过。</w:t>
      </w:r>
    </w:p>
    <w:p w14:paraId="221B8E9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股东会在审议为股东、实际控制人及其关联人提供的担保议案时，该股东或者受该实际控制人支配的股东，不得参与该项表决，该项表决由出席股东会的其他股东所持表决权的半数以上通过。</w:t>
      </w:r>
    </w:p>
    <w:p w14:paraId="3229BC1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公司提供财务资助，应当经出席董事会会议的三分之二以上董事同意并作出决议。财务资助事项属于下列情形之一的，应当在董事会审议通过后提交股东会审议：</w:t>
      </w:r>
    </w:p>
    <w:p w14:paraId="52A49EA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（一）被资助对象最近一期经审计的资产负债率超过70%；</w:t>
      </w:r>
    </w:p>
    <w:p w14:paraId="671C82F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（二）单次财务资助金额或者连续十二个月内提供财务资助累计发生金额超过公司最近一期经审计净资产的10%；</w:t>
      </w:r>
    </w:p>
    <w:p w14:paraId="4BD968B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（三）深交所或者公司章程规定的其他情形。</w:t>
      </w:r>
    </w:p>
    <w:p w14:paraId="38E8CE3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资助对象为公司合并报表范围内且持股比例超过50%的控股子公司，免于适用上述规定。</w:t>
      </w:r>
    </w:p>
    <w:p w14:paraId="163943C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与关联人发生的交易（提供担保除外）金额在3,000万元以上，且占公司最近一期经审计净资产绝对值5％以上的关联交易，除应当及时披露外，还应当聘请符合《证券法》规定的证券服务机构，对交易标的进行评估或审计，并将该交易提交股东会审议。</w:t>
      </w:r>
    </w:p>
    <w:p w14:paraId="2DE9900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与公司日常经营相关的关联交易所涉及的交易标的，可以不进行审计或者评估。</w:t>
      </w:r>
    </w:p>
    <w:p w14:paraId="00C3C48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股东会分为年度股东会和临时股东会。年度股东会每年召开一次，应当于上一会计年度结束后的六个月内举行。</w:t>
      </w:r>
    </w:p>
    <w:p w14:paraId="7156A3E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有下列情形之一的，公司在事实发生之日起二个月以内召开临时股东会：</w:t>
      </w:r>
    </w:p>
    <w:p w14:paraId="23DA348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（一）董事人数不足《公司法》规定人数或者本章程所定人数的三分之二时；</w:t>
      </w:r>
    </w:p>
    <w:p w14:paraId="051ED89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（二）公司未弥补的亏损达股本总额三分之一时；</w:t>
      </w:r>
    </w:p>
    <w:p w14:paraId="0B69059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（三）单独或者合计持有公司10%以上股份的股东请求时；</w:t>
      </w:r>
    </w:p>
    <w:p w14:paraId="5708EDD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（四）董事会认为必要时；</w:t>
      </w:r>
    </w:p>
    <w:p w14:paraId="0C99257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（五）监事会提议召开时；</w:t>
      </w:r>
    </w:p>
    <w:p w14:paraId="6A3F810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（六）法律、行政法规、部门规章或本章程规定的其他情形。</w:t>
      </w:r>
    </w:p>
    <w:p w14:paraId="2145BCD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公司召开股东会的地点为公司住所地会议室或股东会通知规定的其他地点。</w:t>
      </w:r>
    </w:p>
    <w:p w14:paraId="0B6B438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股东会将设置会场，以现场会议形式召开。</w:t>
      </w:r>
    </w:p>
    <w:p w14:paraId="2D0A525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kern w:val="0"/>
          <w:sz w:val="24"/>
        </w:rPr>
        <w:t>公司还将按照有关规定及董事会作出的决议，提供网络投票或法律、法规允许的其他方式为股东参加股东会提供便利。</w:t>
      </w:r>
      <w:r>
        <w:rPr>
          <w:rFonts w:asciiTheme="minorEastAsia" w:hAnsiTheme="minorEastAsia" w:cstheme="minorEastAsia" w:hint="eastAsia"/>
          <w:sz w:val="24"/>
        </w:rPr>
        <w:t>股东通过上述方式参加股东会的，视为出席。</w:t>
      </w:r>
    </w:p>
    <w:p w14:paraId="00055AE1" w14:textId="77777777" w:rsidR="00743C89" w:rsidRDefault="000F5B55">
      <w:pPr>
        <w:spacing w:line="500" w:lineRule="exact"/>
        <w:ind w:firstLineChars="200" w:firstLine="480"/>
        <w:rPr>
          <w:rFonts w:asciiTheme="minorEastAsia" w:hAnsiTheme="minorEastAsia" w:cstheme="minorEastAsia"/>
          <w:kern w:val="0"/>
          <w:sz w:val="24"/>
        </w:rPr>
      </w:pPr>
      <w:r>
        <w:rPr>
          <w:rFonts w:asciiTheme="minorEastAsia" w:hAnsiTheme="minorEastAsia" w:cstheme="minorEastAsia" w:hint="eastAsia"/>
          <w:kern w:val="0"/>
          <w:sz w:val="24"/>
        </w:rPr>
        <w:t>股东应当持股票账户卡、身份证或其他能够表明其身份的有效证件或证明出席股东会，并由召集人及律师依据证券登记结算机构提供的股东名册对股东资格的合法性进行验证；股东以网络方式参加股东会时，由股东会的网络方式提供机构验证出席股东的身份。</w:t>
      </w:r>
    </w:p>
    <w:p w14:paraId="687C0E9A"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本公司召开股东会时聘请律师对以下问题出具法律意见并公告：</w:t>
      </w:r>
    </w:p>
    <w:p w14:paraId="7A4911D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（一）会议的召集、召开程序是否符合法律、行政法规、本章程；</w:t>
      </w:r>
    </w:p>
    <w:p w14:paraId="603F7D3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（二）出席会议人员的资格、召集人资格是否合法有效；</w:t>
      </w:r>
    </w:p>
    <w:p w14:paraId="7EB4764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（三）会议的表决程序、表决结果是否合法有效；</w:t>
      </w:r>
    </w:p>
    <w:p w14:paraId="525B4AD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（四）应本公司要求对其他有关问题出具的法律意见。</w:t>
      </w:r>
    </w:p>
    <w:p w14:paraId="3AA0CDB8"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14" w:name="_Toc29642"/>
      <w:r>
        <w:rPr>
          <w:rFonts w:asciiTheme="minorEastAsia" w:eastAsiaTheme="minorEastAsia" w:hAnsiTheme="minorEastAsia" w:cstheme="minorEastAsia" w:hint="eastAsia"/>
          <w:sz w:val="28"/>
          <w:szCs w:val="28"/>
        </w:rPr>
        <w:t>第三节　股东会的召集</w:t>
      </w:r>
      <w:bookmarkEnd w:id="14"/>
    </w:p>
    <w:p w14:paraId="4600E7C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由董事会召集，董事会应当在本章程规定的期限内按时召集股东会。董事会不能履行或者不履行召集股东会会议职责的，监事会应当及时召集和主持；监事会不召集和主持的，连续九十日以上单独或者合计持有公司10%以上股份的股东可以自行召集和主持。</w:t>
      </w:r>
    </w:p>
    <w:p w14:paraId="2BC8B8A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独立董事有权向董事会提议召开临时股东会。对独立董事要求召开临时股东会的提议，董事会应当根据法律、行政法规和本章程的规定，在收到提议后十日内提出同意或不同意召开临时股东会的书面反馈意见。</w:t>
      </w:r>
    </w:p>
    <w:p w14:paraId="4E5FAB3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董事会同意召开临时股东会的，将在作出董事会决议后的五日内发出召开股东会的通知；董事会不同意召开临时股东会的，将说明理由并公告。</w:t>
      </w:r>
    </w:p>
    <w:p w14:paraId="473835B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监事会有权向董事会提议召开临时股东会，并应当以书面形式向董事会提</w:t>
      </w:r>
      <w:r>
        <w:rPr>
          <w:rFonts w:asciiTheme="minorEastAsia" w:hAnsiTheme="minorEastAsia" w:cstheme="minorEastAsia" w:hint="eastAsia"/>
          <w:sz w:val="24"/>
        </w:rPr>
        <w:lastRenderedPageBreak/>
        <w:t>出。董事会应当根据法律、行政法规和本章程的规定，在收到提案后十日内提出同意或不同意召开临时股东会的书面反馈意见。</w:t>
      </w:r>
    </w:p>
    <w:p w14:paraId="5270C9E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董事会同意召开临时股东会的，将在作出董事会决议后的五日内发出召开股东会的通知，通知中对原提议的变更，应征得监事会的同意。</w:t>
      </w:r>
    </w:p>
    <w:p w14:paraId="4BFE6D6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董事会不同意召开临时股东会，或者在收到提案后十日内未作出反馈的，视为董事会不能履行或者不履行召集股东会会议职责，监事会可以自行召集和主持。</w:t>
      </w:r>
    </w:p>
    <w:p w14:paraId="7AB7AAA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单独或者合计持有公司10%以上股份的股东有权向董事会请求召开临时股东会，并应当以书面形式向董事会提出。董事会应当根据法律、行政法规和本章程的规定，在收到请求后十日内提出同意或不同意召开临时股东会的书面反馈意见。</w:t>
      </w:r>
    </w:p>
    <w:p w14:paraId="731AEF9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董事会同意召开临时股东会的，应当在作出董事会决议后的五日内发出召开股东会的通知，通知中对原请求的变更，应当征得相关股东的同意。</w:t>
      </w:r>
    </w:p>
    <w:p w14:paraId="6B6701D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董事会不同意召开临时股东会，或者在收到请求后十日内未作出反馈的，单独或者合计持有公司10%以上股份的股东有权向监事会提议召开临时股东会，并应当以书面形式向监事会提出请求。</w:t>
      </w:r>
    </w:p>
    <w:p w14:paraId="69BDC08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监事会同意召开临时股东会的，应在收到请求五日内发出召开股东会的通知，通知中对原提案的变更，应当征得相关股东的同意。</w:t>
      </w:r>
    </w:p>
    <w:p w14:paraId="2F8F38B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监事会未在规定期限内发出股东会通知的，视为监事会不召集和主持股东会，连续九十日以上单独或者合计持有公司10%以上股份的股东可以自行召集和主持。</w:t>
      </w:r>
    </w:p>
    <w:p w14:paraId="2480414A"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监事会或股东决定自行召集股东会的，须书面通知董事会，同时向深圳证券交易所备案。</w:t>
      </w:r>
    </w:p>
    <w:p w14:paraId="6755882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在股东会决议公告前，召集股东持股比例不得低于10%，召集股东应当在发出股东会通知前申请上述期间所持有公司股份的锁定。</w:t>
      </w:r>
    </w:p>
    <w:p w14:paraId="57560D7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监事会或召集股东应在发出股东会通知及股东会决议公告时，向深圳证券交易所提交有关证明材料。</w:t>
      </w:r>
    </w:p>
    <w:p w14:paraId="1B4ECC3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对于监事会或股东自行召集的股东会，董事会和董事会秘书将应予配合。董事会应当提供股权登记日的股东名册。董事会未提供股东名册的，召集人可以持召集股东会通知的相关公告，向证券登记结算机构申请获取。召集人所获取的股东名册不得用于除召开股东会以外的其他用途。</w:t>
      </w:r>
    </w:p>
    <w:p w14:paraId="38FD593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lastRenderedPageBreak/>
        <w:t>监事会或股东自行召集的股东会，会议所必需的费用由公司承担。</w:t>
      </w:r>
    </w:p>
    <w:p w14:paraId="6A54306D"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15" w:name="_Toc6266"/>
      <w:r>
        <w:rPr>
          <w:rFonts w:asciiTheme="minorEastAsia" w:eastAsiaTheme="minorEastAsia" w:hAnsiTheme="minorEastAsia" w:cstheme="minorEastAsia" w:hint="eastAsia"/>
          <w:sz w:val="28"/>
          <w:szCs w:val="28"/>
        </w:rPr>
        <w:t>第四节　股东会的提案与通知</w:t>
      </w:r>
      <w:bookmarkEnd w:id="15"/>
    </w:p>
    <w:p w14:paraId="3AD2AE3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bookmarkStart w:id="16" w:name="_Ref422067802"/>
      <w:r>
        <w:rPr>
          <w:rFonts w:asciiTheme="minorEastAsia" w:hAnsiTheme="minorEastAsia" w:cstheme="minorEastAsia" w:hint="eastAsia"/>
          <w:sz w:val="24"/>
        </w:rPr>
        <w:t>提案的内容应当属于股东会职权范围，有明确议题和具体决议事项，并且符合法律、行政法规和本章程的有关规定。</w:t>
      </w:r>
      <w:bookmarkEnd w:id="16"/>
    </w:p>
    <w:p w14:paraId="3F71A3E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2"/>
        </w:rPr>
      </w:pPr>
      <w:r>
        <w:rPr>
          <w:rFonts w:asciiTheme="minorEastAsia" w:hAnsiTheme="minorEastAsia" w:cstheme="minorEastAsia" w:hint="eastAsia"/>
          <w:sz w:val="24"/>
        </w:rPr>
        <w:t>公司召开股东会，董事会、监事会以及单独或者合并持有公司1%以上股份的股东，有权向公司提出提案。</w:t>
      </w:r>
    </w:p>
    <w:p w14:paraId="05A8E84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单独或者合计持有公司1%以上股份的股东，可以在股东会召开十日前提出临时提案并书面提交召集人。召集人应当在收到提案后二日内发出股东会补充通知，公告临时提案的内容。</w:t>
      </w:r>
    </w:p>
    <w:p w14:paraId="3BE390B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除前款规定的情形外，召集人在发出股东会通知后，不得修改股东会通知中已列明的提案或增加新的提案。</w:t>
      </w:r>
    </w:p>
    <w:p w14:paraId="243444D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股东会通知中未列明或不符合本章程</w:t>
      </w:r>
      <w:r>
        <w:rPr>
          <w:rFonts w:asciiTheme="minorEastAsia" w:hAnsiTheme="minorEastAsia" w:cstheme="minorEastAsia" w:hint="eastAsia"/>
          <w:sz w:val="22"/>
        </w:rPr>
        <w:fldChar w:fldCharType="begin"/>
      </w:r>
      <w:r>
        <w:rPr>
          <w:rFonts w:asciiTheme="minorEastAsia" w:hAnsiTheme="minorEastAsia" w:cstheme="minorEastAsia" w:hint="eastAsia"/>
          <w:sz w:val="22"/>
        </w:rPr>
        <w:instrText xml:space="preserve"> REF _Ref422067802 \r \h  \* MERGEFORMAT </w:instrText>
      </w:r>
      <w:r>
        <w:rPr>
          <w:rFonts w:asciiTheme="minorEastAsia" w:hAnsiTheme="minorEastAsia" w:cstheme="minorEastAsia" w:hint="eastAsia"/>
          <w:sz w:val="22"/>
        </w:rPr>
      </w:r>
      <w:r>
        <w:rPr>
          <w:rFonts w:asciiTheme="minorEastAsia" w:hAnsiTheme="minorEastAsia" w:cstheme="minorEastAsia" w:hint="eastAsia"/>
          <w:sz w:val="22"/>
        </w:rPr>
        <w:fldChar w:fldCharType="separate"/>
      </w:r>
      <w:r>
        <w:rPr>
          <w:rFonts w:asciiTheme="minorEastAsia" w:hAnsiTheme="minorEastAsia" w:cstheme="minorEastAsia" w:hint="eastAsia"/>
          <w:sz w:val="24"/>
        </w:rPr>
        <w:t>第五十六条</w:t>
      </w:r>
      <w:r>
        <w:rPr>
          <w:rFonts w:asciiTheme="minorEastAsia" w:hAnsiTheme="minorEastAsia" w:cstheme="minorEastAsia" w:hint="eastAsia"/>
          <w:sz w:val="22"/>
        </w:rPr>
        <w:t xml:space="preserve"> </w:t>
      </w:r>
      <w:r>
        <w:rPr>
          <w:rFonts w:asciiTheme="minorEastAsia" w:hAnsiTheme="minorEastAsia" w:cstheme="minorEastAsia" w:hint="eastAsia"/>
          <w:sz w:val="22"/>
        </w:rPr>
        <w:fldChar w:fldCharType="end"/>
      </w:r>
      <w:r>
        <w:rPr>
          <w:rFonts w:asciiTheme="minorEastAsia" w:hAnsiTheme="minorEastAsia" w:cstheme="minorEastAsia" w:hint="eastAsia"/>
          <w:sz w:val="24"/>
        </w:rPr>
        <w:t>规定的提案，股东会不得进行表决并作出决议。</w:t>
      </w:r>
    </w:p>
    <w:p w14:paraId="04414C4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召集人将在年度股东会召开二十日前</w:t>
      </w:r>
      <w:r>
        <w:rPr>
          <w:rFonts w:asciiTheme="minorEastAsia" w:hAnsiTheme="minorEastAsia" w:cstheme="minorEastAsia" w:hint="eastAsia"/>
          <w:kern w:val="0"/>
          <w:sz w:val="24"/>
          <w:lang w:val="zh-CN"/>
        </w:rPr>
        <w:t>以公告方式</w:t>
      </w:r>
      <w:r>
        <w:rPr>
          <w:rFonts w:asciiTheme="minorEastAsia" w:hAnsiTheme="minorEastAsia" w:cstheme="minorEastAsia" w:hint="eastAsia"/>
          <w:sz w:val="24"/>
        </w:rPr>
        <w:t>通知各股东，临时股东会将于会议召开十五日前</w:t>
      </w:r>
      <w:r>
        <w:rPr>
          <w:rFonts w:asciiTheme="minorEastAsia" w:hAnsiTheme="minorEastAsia" w:cstheme="minorEastAsia" w:hint="eastAsia"/>
          <w:kern w:val="0"/>
          <w:sz w:val="24"/>
          <w:lang w:val="zh-CN"/>
        </w:rPr>
        <w:t>以公告方式</w:t>
      </w:r>
      <w:r>
        <w:rPr>
          <w:rFonts w:asciiTheme="minorEastAsia" w:hAnsiTheme="minorEastAsia" w:cstheme="minorEastAsia" w:hint="eastAsia"/>
          <w:sz w:val="24"/>
        </w:rPr>
        <w:t>通知各股东。</w:t>
      </w:r>
    </w:p>
    <w:p w14:paraId="5817789C" w14:textId="77777777" w:rsidR="00743C89" w:rsidRDefault="000F5B55">
      <w:pPr>
        <w:tabs>
          <w:tab w:val="left" w:pos="0"/>
          <w:tab w:val="left" w:pos="1440"/>
          <w:tab w:val="left" w:pos="2040"/>
        </w:tabs>
        <w:spacing w:line="480" w:lineRule="exact"/>
        <w:ind w:left="540"/>
        <w:rPr>
          <w:rFonts w:asciiTheme="minorEastAsia" w:hAnsiTheme="minorEastAsia" w:cstheme="minorEastAsia"/>
          <w:sz w:val="24"/>
        </w:rPr>
      </w:pPr>
      <w:r>
        <w:rPr>
          <w:rFonts w:asciiTheme="minorEastAsia" w:hAnsiTheme="minorEastAsia" w:cstheme="minorEastAsia" w:hint="eastAsia"/>
          <w:sz w:val="24"/>
        </w:rPr>
        <w:t>本条款所涉及期限的计算，不包括会议召开当日。</w:t>
      </w:r>
    </w:p>
    <w:p w14:paraId="177AE37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股东会的通知包括以下内容：</w:t>
      </w:r>
    </w:p>
    <w:p w14:paraId="6074600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（一）会议的时间、地点和会议期限；</w:t>
      </w:r>
    </w:p>
    <w:p w14:paraId="6B95080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（二）提交会议审议的事项和提案；</w:t>
      </w:r>
    </w:p>
    <w:p w14:paraId="4F617DF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（三）以明显的文字说明：全体股东均有权出席股东会，并可以书面委托代理人出席会议和参加表决，该股东代理人不必是公司的股东；</w:t>
      </w:r>
    </w:p>
    <w:p w14:paraId="6A2B0230" w14:textId="77777777" w:rsidR="00743C89" w:rsidRDefault="000F5B55">
      <w:pPr>
        <w:spacing w:line="500" w:lineRule="exact"/>
        <w:ind w:left="540"/>
        <w:rPr>
          <w:rFonts w:asciiTheme="minorEastAsia" w:hAnsiTheme="minorEastAsia" w:cstheme="minorEastAsia"/>
          <w:sz w:val="24"/>
        </w:rPr>
      </w:pPr>
      <w:r>
        <w:rPr>
          <w:rFonts w:asciiTheme="minorEastAsia" w:hAnsiTheme="minorEastAsia" w:cstheme="minorEastAsia" w:hint="eastAsia"/>
          <w:sz w:val="24"/>
        </w:rPr>
        <w:t>（四）有权出席股东会股东的股权登记日；</w:t>
      </w:r>
    </w:p>
    <w:p w14:paraId="0EFFDCE2" w14:textId="77777777" w:rsidR="00743C89" w:rsidRDefault="000F5B55">
      <w:pPr>
        <w:spacing w:line="500" w:lineRule="exact"/>
        <w:ind w:left="540"/>
        <w:rPr>
          <w:rFonts w:asciiTheme="minorEastAsia" w:hAnsiTheme="minorEastAsia" w:cstheme="minorEastAsia"/>
          <w:sz w:val="24"/>
        </w:rPr>
      </w:pPr>
      <w:r>
        <w:rPr>
          <w:rFonts w:asciiTheme="minorEastAsia" w:hAnsiTheme="minorEastAsia" w:cstheme="minorEastAsia" w:hint="eastAsia"/>
          <w:sz w:val="24"/>
        </w:rPr>
        <w:t>（五）会务常设联系人姓名，电话号码。</w:t>
      </w:r>
    </w:p>
    <w:p w14:paraId="08C97DB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通知和补充通知中应当充分、完整披露所有提案的全部具体内容，以及为使股东对拟讨论的事项作出合理判断所需的全部资料或解释。拟讨论的事项需要独立董事发表意见的，发布股东会通知或补充通知时将同时披露独立董事的意见及理由。</w:t>
      </w:r>
    </w:p>
    <w:p w14:paraId="34E9282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股东会采用网络或其他方式的，应当在股东会通知中明确载明网络或其他方式的表决时</w:t>
      </w:r>
      <w:r>
        <w:rPr>
          <w:rFonts w:asciiTheme="minorEastAsia" w:hAnsiTheme="minorEastAsia" w:cstheme="minorEastAsia" w:hint="eastAsia"/>
          <w:sz w:val="24"/>
        </w:rPr>
        <w:lastRenderedPageBreak/>
        <w:t>间及表决程序。股东会网络或其他方式投票的开始时间，不得早于现场股东会召开前一日下午3:00，并不得迟于现场股东会召开当日上午 9:30，其结束时间不得早于现场股东会结束当日下午3:00。</w:t>
      </w:r>
    </w:p>
    <w:p w14:paraId="6FB73DD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股权登记日与会议日期之间的间隔应当不多于七个工作日。股权登记日一旦确认，不得变更。</w:t>
      </w:r>
    </w:p>
    <w:p w14:paraId="63CCEFE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股东会拟讨论董事、监事选举事项的，股东会通知中将充分披露董事、监事候选人的详细资料，至少包括以下内容：</w:t>
      </w:r>
    </w:p>
    <w:p w14:paraId="481C0F6A" w14:textId="77777777" w:rsidR="00743C89" w:rsidRDefault="000F5B55">
      <w:pPr>
        <w:numPr>
          <w:ilvl w:val="0"/>
          <w:numId w:val="2"/>
        </w:numPr>
        <w:tabs>
          <w:tab w:val="left" w:pos="0"/>
          <w:tab w:val="left" w:pos="1440"/>
          <w:tab w:val="left" w:pos="2040"/>
        </w:tabs>
        <w:spacing w:line="480" w:lineRule="exact"/>
        <w:rPr>
          <w:rFonts w:asciiTheme="minorEastAsia" w:hAnsiTheme="minorEastAsia" w:cstheme="minorEastAsia"/>
          <w:sz w:val="24"/>
        </w:rPr>
      </w:pPr>
      <w:r>
        <w:rPr>
          <w:rFonts w:asciiTheme="minorEastAsia" w:hAnsiTheme="minorEastAsia" w:cstheme="minorEastAsia" w:hint="eastAsia"/>
          <w:sz w:val="24"/>
        </w:rPr>
        <w:t>教育背景、工作经历、兼职等个人情况；</w:t>
      </w:r>
    </w:p>
    <w:p w14:paraId="77882C92" w14:textId="77777777" w:rsidR="00743C89" w:rsidRDefault="000F5B55">
      <w:pPr>
        <w:numPr>
          <w:ilvl w:val="0"/>
          <w:numId w:val="2"/>
        </w:numPr>
        <w:tabs>
          <w:tab w:val="left" w:pos="0"/>
          <w:tab w:val="left" w:pos="1440"/>
          <w:tab w:val="left" w:pos="2040"/>
        </w:tabs>
        <w:spacing w:line="480" w:lineRule="exact"/>
        <w:rPr>
          <w:rFonts w:asciiTheme="minorEastAsia" w:hAnsiTheme="minorEastAsia" w:cstheme="minorEastAsia"/>
          <w:sz w:val="24"/>
        </w:rPr>
      </w:pPr>
      <w:r>
        <w:rPr>
          <w:rFonts w:asciiTheme="minorEastAsia" w:hAnsiTheme="minorEastAsia" w:cstheme="minorEastAsia" w:hint="eastAsia"/>
          <w:sz w:val="24"/>
        </w:rPr>
        <w:t>与公司或公司的控股股东及实际控制人是否存在关联关系；</w:t>
      </w:r>
    </w:p>
    <w:p w14:paraId="3E22DFCA" w14:textId="77777777" w:rsidR="00743C89" w:rsidRDefault="000F5B55">
      <w:pPr>
        <w:numPr>
          <w:ilvl w:val="0"/>
          <w:numId w:val="2"/>
        </w:numPr>
        <w:tabs>
          <w:tab w:val="left" w:pos="0"/>
          <w:tab w:val="left" w:pos="1440"/>
          <w:tab w:val="left" w:pos="2040"/>
        </w:tabs>
        <w:spacing w:line="480" w:lineRule="exact"/>
        <w:rPr>
          <w:rFonts w:asciiTheme="minorEastAsia" w:hAnsiTheme="minorEastAsia" w:cstheme="minorEastAsia"/>
          <w:sz w:val="24"/>
        </w:rPr>
      </w:pPr>
      <w:r>
        <w:rPr>
          <w:rFonts w:asciiTheme="minorEastAsia" w:hAnsiTheme="minorEastAsia" w:cstheme="minorEastAsia" w:hint="eastAsia"/>
          <w:sz w:val="24"/>
        </w:rPr>
        <w:t>披露持有公司股份数量；</w:t>
      </w:r>
    </w:p>
    <w:p w14:paraId="5AF020DF" w14:textId="77777777" w:rsidR="00743C89" w:rsidRDefault="000F5B55">
      <w:pPr>
        <w:numPr>
          <w:ilvl w:val="0"/>
          <w:numId w:val="2"/>
        </w:numPr>
        <w:tabs>
          <w:tab w:val="left" w:pos="0"/>
          <w:tab w:val="left" w:pos="1440"/>
          <w:tab w:val="left" w:pos="2040"/>
        </w:tabs>
        <w:spacing w:line="480" w:lineRule="exact"/>
        <w:rPr>
          <w:rFonts w:asciiTheme="minorEastAsia" w:hAnsiTheme="minorEastAsia" w:cstheme="minorEastAsia"/>
          <w:sz w:val="24"/>
        </w:rPr>
      </w:pPr>
      <w:r>
        <w:rPr>
          <w:rFonts w:asciiTheme="minorEastAsia" w:hAnsiTheme="minorEastAsia" w:cstheme="minorEastAsia" w:hint="eastAsia"/>
          <w:sz w:val="24"/>
        </w:rPr>
        <w:t>是否受过中国证监会及其他有关部门的处罚和证券交易所惩戒。</w:t>
      </w:r>
    </w:p>
    <w:p w14:paraId="4929F8B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除采取累积投票制选举董事、非职工代表监事外，每位董事、非职工代表监事候选人应当以单项提案提出。</w:t>
      </w:r>
    </w:p>
    <w:p w14:paraId="6A370E9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发出股东会通知后，无正当理由，股东会不应延期或取消，股东会通知中列明的提案不应取消。一旦出现延期或取消的情形，召集人应当在原定召开日前至少二个工作日公告并说明原因。</w:t>
      </w:r>
    </w:p>
    <w:p w14:paraId="5D37CB10"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17" w:name="_Toc30965"/>
      <w:r>
        <w:rPr>
          <w:rFonts w:asciiTheme="minorEastAsia" w:eastAsiaTheme="minorEastAsia" w:hAnsiTheme="minorEastAsia" w:cstheme="minorEastAsia" w:hint="eastAsia"/>
          <w:sz w:val="28"/>
          <w:szCs w:val="28"/>
        </w:rPr>
        <w:t>第五节　股东会的召开</w:t>
      </w:r>
      <w:bookmarkEnd w:id="17"/>
    </w:p>
    <w:p w14:paraId="454AB6D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公司董事会和其他召集人将采取必要措施，保证股东会的正常秩序。对于干扰股东会、寻衅滋事和侵犯股东合法权益的行为，将采取措施加以制止并及时报告有关部门查处。</w:t>
      </w:r>
    </w:p>
    <w:p w14:paraId="0B5ACB7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股权登记日登记在册的所有股东或其代理人，均有权出席股东会，并依照有关法律、</w:t>
      </w:r>
      <w:r>
        <w:rPr>
          <w:rFonts w:asciiTheme="minorEastAsia" w:hAnsiTheme="minorEastAsia" w:cstheme="minorEastAsia" w:hint="eastAsia"/>
          <w:bCs/>
          <w:sz w:val="24"/>
        </w:rPr>
        <w:t>行政法规及本</w:t>
      </w:r>
      <w:r>
        <w:rPr>
          <w:rFonts w:asciiTheme="minorEastAsia" w:hAnsiTheme="minorEastAsia" w:cstheme="minorEastAsia" w:hint="eastAsia"/>
          <w:sz w:val="24"/>
        </w:rPr>
        <w:t>章程行使表决权。</w:t>
      </w:r>
    </w:p>
    <w:p w14:paraId="353C2D0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股东可以亲自出席股东会，也可以委托代理人代为出席和在授权范围内行使表决权。</w:t>
      </w:r>
    </w:p>
    <w:p w14:paraId="60986A77"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股东应当持股票账户卡、身份证或其他能够表明其身份的有效证件或证明出席股东会。代理人还应当提交股东授权委托书和个人有效身份证件。</w:t>
      </w:r>
    </w:p>
    <w:p w14:paraId="523939E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法人股东应由法定代表人或者法定代表人委托的代理人出席会议。法定代表人出席会议的，应出示本人身份证、能证明其具有法定代表人资格的有效证明、法人股东股票账户卡；</w:t>
      </w:r>
      <w:r>
        <w:rPr>
          <w:rFonts w:asciiTheme="minorEastAsia" w:hAnsiTheme="minorEastAsia" w:cstheme="minorEastAsia" w:hint="eastAsia"/>
          <w:sz w:val="24"/>
        </w:rPr>
        <w:lastRenderedPageBreak/>
        <w:t>委托代理人出席会议的，代理人应出示本人身份证、法人股东单位的法定代表人依法出具的书面授权委托书、法人股东股票账户卡。</w:t>
      </w:r>
    </w:p>
    <w:p w14:paraId="786F81F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股东出具的委托他人出席股东会的授权委托书应当载明下列内容：</w:t>
      </w:r>
    </w:p>
    <w:p w14:paraId="68D92D1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（一）代理人的姓名；</w:t>
      </w:r>
    </w:p>
    <w:p w14:paraId="6EA438F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（二）是否具有表决权；</w:t>
      </w:r>
    </w:p>
    <w:p w14:paraId="2D29C1C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（三）分别对列入股东会议程的每一审议事项投同意、反对或弃权票的指示；</w:t>
      </w:r>
    </w:p>
    <w:p w14:paraId="35FCDBA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（四）委托书签发日期和有效期限；</w:t>
      </w:r>
    </w:p>
    <w:p w14:paraId="4084152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（五）委托人签名（或盖章）。委托人为法人股东的，应加盖法人单位印章。</w:t>
      </w:r>
    </w:p>
    <w:p w14:paraId="6732284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委托书应当注明如果股东不作具体指示，股东代理人是否可以按自己的意思表决。</w:t>
      </w:r>
    </w:p>
    <w:p w14:paraId="0446D444"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如股东未按照本条及本章程第六十五条之规定出具授权委托书的，公司有权认为该授权无效，公司有权拒绝该代理人参加股东会。</w:t>
      </w:r>
    </w:p>
    <w:p w14:paraId="2C7CA03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p w14:paraId="441AA97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委托人为法人的，由其法定代表人或者董事会、其他决策机构决议授权的人作为代表出席公司的股东会。</w:t>
      </w:r>
    </w:p>
    <w:p w14:paraId="4DE3BAA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出席会议人员的会议登记册由公司负责制作。会议登记册载明参加会议人员姓名（或单位名称）、身份证号码、住所地址、持有或者代表有表决权的股权数额、被代理人姓名（或单位名称）等事项。</w:t>
      </w:r>
    </w:p>
    <w:p w14:paraId="347D827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召集人和公司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14:paraId="4E04217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股东会召开时，本公司全体董事、监事和董事会秘书应当出席会议，经理和其他高级管理人员应当列席会议。</w:t>
      </w:r>
    </w:p>
    <w:p w14:paraId="0F83EE0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股东会由董事长主持。董事长不能履行职务或不履行职务时，由副董事长主持，副董事长不能履行职务或者不履行职务时，由半数以上董事共同推举的一名董事主持。</w:t>
      </w:r>
    </w:p>
    <w:p w14:paraId="5350482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监事会自行召集的股东会，由监事会主席主持。监事会主席不能履行职务或不履行职务时，由过半数监事共同推举的一名监事主持。</w:t>
      </w:r>
    </w:p>
    <w:p w14:paraId="49EDF64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股东自行召集的股东会，由召集人推举代表主持。</w:t>
      </w:r>
    </w:p>
    <w:p w14:paraId="490E25B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召开股东会时，会议主持人违反议事规则使股东会无法继续进行的，经现场出席股东会有表决权过半数的股东同意，股东会可推举一人担任会议主持人，继续开会。</w:t>
      </w:r>
    </w:p>
    <w:p w14:paraId="3ECA879F" w14:textId="77777777" w:rsidR="00743C89" w:rsidRDefault="000F5B55">
      <w:pPr>
        <w:numPr>
          <w:ilvl w:val="0"/>
          <w:numId w:val="1"/>
        </w:numPr>
        <w:tabs>
          <w:tab w:val="left" w:pos="0"/>
          <w:tab w:val="left" w:pos="1440"/>
          <w:tab w:val="left" w:pos="2040"/>
          <w:tab w:val="left" w:pos="32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制定股东会议事规则，详细规定股东会的召开和表决程序，包括通知、登记、提案的审议、投票、计票、表决结果的宣布、会议决议的形成、会议记录及其签署、公告等内容，以及股东会对董事会的授权原则，授权内容应明确具体。股东会议事规则作为本章程的附件，由董事会拟定，股东会批准。</w:t>
      </w:r>
    </w:p>
    <w:p w14:paraId="7AC1AEE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在年度股东会上，董事会、监事会应当就其过去一年的工作向股东会作出报告。每名独立董事也应作出述职报告。</w:t>
      </w:r>
    </w:p>
    <w:p w14:paraId="7360EE4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除涉及公司商业秘密不能在股东会上公开的以外，董事、监事、高级管理人员在股东会上就股东的质询和建议作出解释和说明。</w:t>
      </w:r>
    </w:p>
    <w:p w14:paraId="68A2D3F7"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会议主持人应当在表决前宣布现场出席会议的股东和代理人人数及所持有表决权的股份总数，现场出席会议的股东和代理人人数及所持有表决权的股份总数以会议登记为准。</w:t>
      </w:r>
    </w:p>
    <w:p w14:paraId="49AA9C6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股东会应有会议记录，由董事会秘书负责。会议记录记载以下内容：</w:t>
      </w:r>
    </w:p>
    <w:p w14:paraId="313EBD9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（一）会议时间、地点、议程和召集人姓名或名称；</w:t>
      </w:r>
    </w:p>
    <w:p w14:paraId="4EFBF6B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（二）会议主持人以及出席或列席会议的董事、监事、总经理和其他高级管理人员姓名；</w:t>
      </w:r>
    </w:p>
    <w:p w14:paraId="333582E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（三）出席会议的股东和代理人人数、所持有表决权的股份总数及占公司股份总数的比例；</w:t>
      </w:r>
    </w:p>
    <w:p w14:paraId="26ECCF3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（四）对每一提案的审议经过、发言要点和表决结果；</w:t>
      </w:r>
    </w:p>
    <w:p w14:paraId="65D7046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（五）股东的质询意见或建议以及相应的答复或说明；</w:t>
      </w:r>
    </w:p>
    <w:p w14:paraId="04D14BA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（六）律师及计票人、监票人姓名；</w:t>
      </w:r>
    </w:p>
    <w:p w14:paraId="6C4EE8E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（七）本章程规定应当载入会议记录的其他内容。</w:t>
      </w:r>
    </w:p>
    <w:p w14:paraId="2A4AC7F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召集人应当保证会议记录内容真实、准确和完整。出席会议的董事、监事、董事会秘书、召集人或其代表、会议主持人应当在会议记录上签名。会议记录应当与现场出席股东的签名册及代理出席的委托书、网络及其他方式表决情况的有效资料一并保存，保存</w:t>
      </w:r>
      <w:r>
        <w:rPr>
          <w:rFonts w:asciiTheme="minorEastAsia" w:hAnsiTheme="minorEastAsia" w:cstheme="minorEastAsia" w:hint="eastAsia"/>
          <w:sz w:val="24"/>
        </w:rPr>
        <w:lastRenderedPageBreak/>
        <w:t>期限不少于十年。</w:t>
      </w:r>
    </w:p>
    <w:p w14:paraId="11E5BF3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召集人应当保证股东会连续举行，直至形成最终决议。因不可抗力等特殊原因导致股东会中止或不能作出决议的，应采取必要措施尽快恢复召开股东会或直接终止本次股东会，并及时公告。同时，召集人应向公司所在地中国证监会派出机构及证券交易所报告。</w:t>
      </w:r>
    </w:p>
    <w:p w14:paraId="35E5B08B"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18" w:name="_Toc23185"/>
      <w:r>
        <w:rPr>
          <w:rFonts w:asciiTheme="minorEastAsia" w:eastAsiaTheme="minorEastAsia" w:hAnsiTheme="minorEastAsia" w:cstheme="minorEastAsia" w:hint="eastAsia"/>
          <w:sz w:val="28"/>
          <w:szCs w:val="28"/>
        </w:rPr>
        <w:t>第六节　股东会的表决和决议</w:t>
      </w:r>
      <w:bookmarkEnd w:id="18"/>
    </w:p>
    <w:p w14:paraId="47B29F3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股东会决议分为普通决议和特别决议。</w:t>
      </w:r>
    </w:p>
    <w:p w14:paraId="2A93995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股东会作出普通决议，应当由出席股东会的股东（包括股东代理人）所持表决权的过半数通过。</w:t>
      </w:r>
    </w:p>
    <w:p w14:paraId="7B6F531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股东会作出特别决议，应当由出席股东会的股东（包括股东代理人）所持表决权的三分之二以上通过。</w:t>
      </w:r>
    </w:p>
    <w:p w14:paraId="78D345B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下列事项由股东会以普通决议通过：</w:t>
      </w:r>
    </w:p>
    <w:p w14:paraId="5C26455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（一）董事会和监事会的工作报告；</w:t>
      </w:r>
    </w:p>
    <w:p w14:paraId="433ED59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（二）董事会拟定的利润分配方案和弥补亏损方案；</w:t>
      </w:r>
    </w:p>
    <w:p w14:paraId="5C94405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（三）董事会和监事会成员的任免及其报酬和支付方法；</w:t>
      </w:r>
    </w:p>
    <w:p w14:paraId="3E76396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（四）公司年度预算方案、决算方案；</w:t>
      </w:r>
    </w:p>
    <w:p w14:paraId="5885FE4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（五）公司年度报告；</w:t>
      </w:r>
    </w:p>
    <w:p w14:paraId="277921B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（六）除法律、行政法规规定或者本章程规定应当以特别决议通过以外的其他事项。</w:t>
      </w:r>
    </w:p>
    <w:p w14:paraId="6D104D1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下列事项由股东会以特别决议通过：</w:t>
      </w:r>
    </w:p>
    <w:p w14:paraId="256A47B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（一）公司增加或者减少注册资本；</w:t>
      </w:r>
    </w:p>
    <w:p w14:paraId="794F1C8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（二）公司的分立、合并、解散和清算；</w:t>
      </w:r>
    </w:p>
    <w:p w14:paraId="6B05BB4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（三）本章程的修改；</w:t>
      </w:r>
    </w:p>
    <w:p w14:paraId="55EEB65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（四）公司在一年内购买、出售重大资产或者担保金额超过公司最近一期经审计总资产30%的；</w:t>
      </w:r>
    </w:p>
    <w:p w14:paraId="41D6D55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（五）股权激励计划；</w:t>
      </w:r>
    </w:p>
    <w:p w14:paraId="69C3565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（六）现金分红政策的调整或变更；</w:t>
      </w:r>
    </w:p>
    <w:p w14:paraId="05D49C2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（七）法律、行政法规或本章程规定的，以及股东会以普通决议认定会对公司产生重大影响的、需要以特别决议通过的其他事项。</w:t>
      </w:r>
    </w:p>
    <w:p w14:paraId="4878504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股东（包括股东代理人）以其所代表的有表决权的股份数额行使表决权，每一股份享有一票表决权。</w:t>
      </w:r>
    </w:p>
    <w:p w14:paraId="4AAB824A"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股东会审议影响中小投资者利益的重大事项时，对中小投资者表决应当单独计票。单独计票结果应当及时公开披露。</w:t>
      </w:r>
    </w:p>
    <w:p w14:paraId="30B21EF6"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前款所称影响中小投资者利益的重大事项是指依据《深圳证券交易所创业板上市公司规范运作指引》应当由独立董事发表独立意见的事项，中小投资者是指除上市公司董事、监事、高级管理人员以及单独或者合计持有公司5%以上股份的股东以外的其他股东。</w:t>
      </w:r>
    </w:p>
    <w:p w14:paraId="3C5A812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公司持有的本公司股份没有表决权，且该部分股份不计入出席股东会有表决权的股份总数。</w:t>
      </w:r>
    </w:p>
    <w:p w14:paraId="7B63ACD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股东买入公司有表决权的股份违反《证券法》第六十三条第一款、第二款规定的，该超过规定比例部分的股份在买入后的三十六个月内不得行使表决权，且不计入出席股东会有表决权的股份总数。</w:t>
      </w:r>
    </w:p>
    <w:p w14:paraId="771ABC4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独立董事、持有百分之一以上有表决权股份的股东或者中国证监会的规定设立的投资者保护机构可以公开征集股东投票权。和符合相关规定条件的股东可以征集股东投票权。征集股东投票权应当向被征集人充分披露具体投票意向等信息。禁止以有偿或者变相有偿的方式征集股东投票权。公司不得对征集投票权提出最低持股比例限制。</w:t>
      </w:r>
    </w:p>
    <w:p w14:paraId="57B6696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股东会审议有关关联交易事项时，关联股东不应当参与投票表决，其所代表的有表决权的股份数不计入有效表决总数；股东会决议的公告应当充分披露非关联股东的表决情况。</w:t>
      </w:r>
    </w:p>
    <w:p w14:paraId="0BF589E1" w14:textId="77777777" w:rsidR="00743C89" w:rsidRDefault="000F5B55">
      <w:pPr>
        <w:spacing w:line="520" w:lineRule="exact"/>
        <w:ind w:firstLine="496"/>
        <w:rPr>
          <w:rFonts w:asciiTheme="minorEastAsia" w:hAnsiTheme="minorEastAsia" w:cstheme="minorEastAsia"/>
          <w:sz w:val="24"/>
        </w:rPr>
      </w:pPr>
      <w:r>
        <w:rPr>
          <w:rFonts w:asciiTheme="minorEastAsia" w:hAnsiTheme="minorEastAsia" w:cstheme="minorEastAsia" w:hint="eastAsia"/>
          <w:sz w:val="24"/>
        </w:rPr>
        <w:t>关于关联交易的回避和表决程序，由公司的《关联交易管理制度》规定。</w:t>
      </w:r>
    </w:p>
    <w:p w14:paraId="65B735D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公司应在保证股东会合法、有效的前提下，通过各种方式和途径，优先提供网络形式的投票平台等现代信息技术手段，为股东参加股东会提供便利。</w:t>
      </w:r>
    </w:p>
    <w:p w14:paraId="409915F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除公司处于危机等特殊情况外，非经股东会以特别决议批准，公司将不与董事、总经理和其它高级管理人员以外的人订立将公司全部或者重要业务的管理交予该人负责的合同。</w:t>
      </w:r>
    </w:p>
    <w:p w14:paraId="4BEC08DB"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董事、非职工代表监事候选人名单以提案的方式提请股东会表决，股东会</w:t>
      </w:r>
      <w:r>
        <w:rPr>
          <w:rFonts w:asciiTheme="minorEastAsia" w:hAnsiTheme="minorEastAsia" w:cstheme="minorEastAsia" w:hint="eastAsia"/>
          <w:sz w:val="24"/>
        </w:rPr>
        <w:lastRenderedPageBreak/>
        <w:t>审议选举董事、非职工代表监事的议案，应当对每位候选人逐个进行表决。</w:t>
      </w:r>
    </w:p>
    <w:p w14:paraId="391CA3E2" w14:textId="77777777" w:rsidR="00743C89" w:rsidRDefault="000F5B55">
      <w:pPr>
        <w:spacing w:line="520" w:lineRule="exact"/>
        <w:ind w:firstLine="496"/>
        <w:rPr>
          <w:rFonts w:asciiTheme="minorEastAsia" w:hAnsiTheme="minorEastAsia" w:cstheme="minorEastAsia"/>
          <w:sz w:val="24"/>
        </w:rPr>
      </w:pPr>
      <w:r>
        <w:rPr>
          <w:rFonts w:asciiTheme="minorEastAsia" w:hAnsiTheme="minorEastAsia" w:cstheme="minorEastAsia" w:hint="eastAsia"/>
          <w:sz w:val="24"/>
        </w:rPr>
        <w:t>董事、监事提名的方式和程序为：</w:t>
      </w:r>
    </w:p>
    <w:p w14:paraId="1AC7E54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（一）发生董事变更的，非独立董事候选人由董事会以书面形式提名，由股东会选举产生或变更。</w:t>
      </w:r>
    </w:p>
    <w:p w14:paraId="01B395E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（二）发生监事变更的，非职工代表监事候选人由监事会一致同意后，以书面形式提名，由股东会选举产生或变更。</w:t>
      </w:r>
    </w:p>
    <w:p w14:paraId="618AB933" w14:textId="77777777" w:rsidR="00743C89" w:rsidRDefault="000F5B55">
      <w:pPr>
        <w:spacing w:line="500" w:lineRule="exact"/>
        <w:ind w:firstLine="495"/>
        <w:rPr>
          <w:rFonts w:asciiTheme="minorEastAsia" w:hAnsiTheme="minorEastAsia" w:cstheme="minorEastAsia"/>
          <w:sz w:val="24"/>
        </w:rPr>
      </w:pPr>
      <w:r>
        <w:rPr>
          <w:rFonts w:asciiTheme="minorEastAsia" w:hAnsiTheme="minorEastAsia" w:cstheme="minorEastAsia" w:hint="eastAsia"/>
          <w:sz w:val="24"/>
        </w:rPr>
        <w:t>（三）发生职工代表监事变更的，职工代表监事候选人由公司职工通过职工代表大会、职工大会或者其他形式民主选举产生后，直接进入监事会。</w:t>
      </w:r>
    </w:p>
    <w:p w14:paraId="21EFC428" w14:textId="77777777" w:rsidR="00743C89" w:rsidRDefault="000F5B55">
      <w:pPr>
        <w:spacing w:line="500" w:lineRule="exact"/>
        <w:ind w:firstLine="495"/>
        <w:rPr>
          <w:rFonts w:asciiTheme="minorEastAsia" w:hAnsiTheme="minorEastAsia" w:cstheme="minorEastAsia"/>
          <w:sz w:val="24"/>
        </w:rPr>
      </w:pPr>
      <w:r>
        <w:rPr>
          <w:rFonts w:asciiTheme="minorEastAsia" w:hAnsiTheme="minorEastAsia" w:cstheme="minorEastAsia" w:hint="eastAsia"/>
          <w:sz w:val="24"/>
        </w:rPr>
        <w:t>（四）发生独立董事变更的，独立董事候选人由公司董事会、监事会、单独或者合并持有公司已发行在外有表决权股份1%以上的股东提名，由股东会选举产生或变更。</w:t>
      </w:r>
    </w:p>
    <w:p w14:paraId="0644E8DC" w14:textId="77777777" w:rsidR="00743C89" w:rsidRDefault="000F5B55">
      <w:pPr>
        <w:spacing w:line="500" w:lineRule="exact"/>
        <w:ind w:firstLine="495"/>
        <w:rPr>
          <w:rFonts w:asciiTheme="minorEastAsia" w:hAnsiTheme="minorEastAsia" w:cstheme="minorEastAsia"/>
          <w:sz w:val="24"/>
        </w:rPr>
      </w:pPr>
      <w:r>
        <w:rPr>
          <w:rFonts w:asciiTheme="minorEastAsia" w:hAnsiTheme="minorEastAsia" w:cstheme="minorEastAsia" w:hint="eastAsia"/>
          <w:sz w:val="24"/>
        </w:rPr>
        <w:t>股东提名董事（含独立董事）或非职工代表监事时，应当在股东会召开前，将提案、提名候选人的详细资料、候选人的申明和承诺提交董事会、监事会，董事（含独立董事）、非职工代表监事的最终候选人由董事会、监事会确定，董事会及监事会负责对候选人资格进行审查。股东会不得选举未经任职资格审查的候选人出任董事、非职工代表监事。</w:t>
      </w:r>
    </w:p>
    <w:p w14:paraId="1CA5E77D" w14:textId="77777777" w:rsidR="00743C89" w:rsidRDefault="000F5B55">
      <w:pPr>
        <w:spacing w:line="500" w:lineRule="exact"/>
        <w:ind w:firstLine="495"/>
        <w:rPr>
          <w:rFonts w:asciiTheme="minorEastAsia" w:hAnsiTheme="minorEastAsia" w:cstheme="minorEastAsia"/>
          <w:sz w:val="24"/>
        </w:rPr>
      </w:pPr>
      <w:r>
        <w:rPr>
          <w:rFonts w:asciiTheme="minorEastAsia" w:hAnsiTheme="minorEastAsia" w:cstheme="minorEastAsia" w:hint="eastAsia"/>
          <w:sz w:val="24"/>
        </w:rPr>
        <w:t>股东会选举两名及以上董事、监事时采用累积投票制。</w:t>
      </w:r>
    </w:p>
    <w:p w14:paraId="23AE564B" w14:textId="77777777" w:rsidR="00743C89" w:rsidRDefault="000F5B55">
      <w:pPr>
        <w:spacing w:line="500" w:lineRule="exact"/>
        <w:ind w:firstLine="495"/>
        <w:rPr>
          <w:rFonts w:asciiTheme="minorEastAsia" w:hAnsiTheme="minorEastAsia" w:cstheme="minorEastAsia"/>
          <w:sz w:val="24"/>
        </w:rPr>
      </w:pPr>
      <w:r>
        <w:rPr>
          <w:rFonts w:asciiTheme="minorEastAsia" w:hAnsiTheme="minorEastAsia" w:cstheme="minorEastAsia" w:hint="eastAsia"/>
          <w:sz w:val="24"/>
        </w:rPr>
        <w:t>前款所称累积投票制是指股东会选举两名以上董事或者监事时，每一股份拥有与应选董事或者监事人数相同的表决权，股东拥有的表决权可以集中使用。董事会应当向股东公告候选董事、监事的简历和基本情况。</w:t>
      </w:r>
    </w:p>
    <w:p w14:paraId="72313157" w14:textId="77777777" w:rsidR="00743C89" w:rsidRDefault="000F5B55">
      <w:pPr>
        <w:spacing w:line="500" w:lineRule="exact"/>
        <w:ind w:firstLine="495"/>
        <w:rPr>
          <w:rFonts w:asciiTheme="minorEastAsia" w:hAnsiTheme="minorEastAsia" w:cstheme="minorEastAsia"/>
          <w:sz w:val="24"/>
        </w:rPr>
      </w:pPr>
      <w:r>
        <w:rPr>
          <w:rFonts w:asciiTheme="minorEastAsia" w:hAnsiTheme="minorEastAsia" w:cstheme="minorEastAsia" w:hint="eastAsia"/>
          <w:sz w:val="24"/>
        </w:rPr>
        <w:t>股东会以累积投票方式选举董事的，独立董事和非独立董事的表决应当分别进行。</w:t>
      </w:r>
    </w:p>
    <w:p w14:paraId="643EDC5A"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除累积投票制外，股东会将对所有提案进行逐项表决，对同一事项有不同提案的，将按提案提出的时间顺序进行表决。除因不可抗力等特殊原因导致股东会中止或不能作出决议外，股东会将不会对提案进行搁置或不予表决。</w:t>
      </w:r>
    </w:p>
    <w:p w14:paraId="5A984B6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股东会审议提案时，不会对提案进行修改，否则，有关变更应当被视为一个新的提案，不能在本次股东会上进行表决。</w:t>
      </w:r>
    </w:p>
    <w:p w14:paraId="1F90842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同一表决权只能选择现场、网络或其他表决方式中的一种。同一表决权出现重复表决的以第一次投票结果为准。</w:t>
      </w:r>
    </w:p>
    <w:p w14:paraId="062BBE8B"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股东会采取记名方式投票表决。</w:t>
      </w:r>
    </w:p>
    <w:p w14:paraId="5739883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股东会对提案进行表决前，应当推举两名股东代表参加计票和监票。审议</w:t>
      </w:r>
      <w:r>
        <w:rPr>
          <w:rFonts w:asciiTheme="minorEastAsia" w:hAnsiTheme="minorEastAsia" w:cstheme="minorEastAsia" w:hint="eastAsia"/>
          <w:sz w:val="24"/>
        </w:rPr>
        <w:lastRenderedPageBreak/>
        <w:t>事项与股东有利害关系的，相关股东及代理人不得参加计票、监票。</w:t>
      </w:r>
    </w:p>
    <w:p w14:paraId="552B051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股东会对提案进行表决时，应当由律师、股东代表与监事代表共同负责计票、监票，并当场公布表决结果，决议的表决结果载入会议记录。</w:t>
      </w:r>
    </w:p>
    <w:p w14:paraId="6E6F00CB"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通过网络或其他方式投票的公司股东或其代理人，有权通过相应的投票系统查验自己的投票结果。</w:t>
      </w:r>
    </w:p>
    <w:p w14:paraId="337E69DA"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股东会现场结束时间不得早于网络或其他方式。会议主持人应当宣布每一提案的表决情况和结果，并根据表决结果宣布提案是否通过。</w:t>
      </w:r>
    </w:p>
    <w:p w14:paraId="13AF9EA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在正式公布表决结果前，股东会现场、网络及其他表决方式中所涉及的公司、计票人、监票人、主要股东、网络服务方等相关各方对表决情况均负有保密义务。</w:t>
      </w:r>
    </w:p>
    <w:p w14:paraId="5366009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出席股东会的股东，应当对提交表决的提案发表以下意见之一：同意、反对或弃权。</w:t>
      </w:r>
    </w:p>
    <w:p w14:paraId="0B31D39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未填、错填、字迹无法辨认的表决票、未投的表决票均视为投票人放弃表决权利，其所持股份数的表决结果应计为“弃权”。</w:t>
      </w:r>
    </w:p>
    <w:p w14:paraId="118DF6F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会议主持人如果对提交表决的决议结果有任何怀疑，可以对所投票数组织点票；如果会议主持人未进行点票，出席会议的股东或者股东代理人对会议主持人宣布结果有异议的，有权在宣布表决结果后立即要求点票，会议主持人应当立即组织点票。</w:t>
      </w:r>
    </w:p>
    <w:p w14:paraId="0E47DEF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股东会决议应当及时向股东公告，决议中应列明出席会议的股东和代理人人数、所持有表决权的股份总数及占公司有表决权股份总数的比例、表决方式、每项提案的表决结果和通过的各项决议的详细内容。</w:t>
      </w:r>
    </w:p>
    <w:p w14:paraId="7641418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提案未获通过，或者本次股东会变更前次股东会决议的，应当在股东会决议及记录中作特别提示。</w:t>
      </w:r>
    </w:p>
    <w:p w14:paraId="407CDBA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股东会通过有关董事、非职工代表监事选举提案的，新任董事、非职工代表监事就任时间自股东会作出相关决议之日起计算。</w:t>
      </w:r>
    </w:p>
    <w:p w14:paraId="43F7BAA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股东会通过有关派现、送股或资本公积转增股本提案的，公司将在股东会结束后二个月内实施具体方案。</w:t>
      </w:r>
    </w:p>
    <w:p w14:paraId="11C1B4B4"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19" w:name="_Toc261168820"/>
      <w:bookmarkStart w:id="20" w:name="_Toc8326"/>
      <w:r>
        <w:rPr>
          <w:rFonts w:asciiTheme="minorEastAsia" w:eastAsiaTheme="minorEastAsia" w:hAnsiTheme="minorEastAsia" w:cstheme="minorEastAsia" w:hint="eastAsia"/>
          <w:b/>
          <w:sz w:val="32"/>
          <w:szCs w:val="32"/>
        </w:rPr>
        <w:lastRenderedPageBreak/>
        <w:t>第五章　董事会</w:t>
      </w:r>
      <w:bookmarkEnd w:id="19"/>
      <w:bookmarkEnd w:id="20"/>
    </w:p>
    <w:p w14:paraId="4F3E0ACC"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21" w:name="_Toc261168821"/>
      <w:bookmarkStart w:id="22" w:name="_Toc29301"/>
      <w:r>
        <w:rPr>
          <w:rFonts w:asciiTheme="minorEastAsia" w:eastAsiaTheme="minorEastAsia" w:hAnsiTheme="minorEastAsia" w:cstheme="minorEastAsia" w:hint="eastAsia"/>
          <w:sz w:val="28"/>
          <w:szCs w:val="28"/>
        </w:rPr>
        <w:t>第一节　董事</w:t>
      </w:r>
      <w:bookmarkEnd w:id="21"/>
      <w:bookmarkEnd w:id="22"/>
    </w:p>
    <w:p w14:paraId="1A3110C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bookmarkStart w:id="23" w:name="_Ref422068170"/>
      <w:r>
        <w:rPr>
          <w:rFonts w:asciiTheme="minorEastAsia" w:hAnsiTheme="minorEastAsia" w:cstheme="minorEastAsia" w:hint="eastAsia"/>
          <w:sz w:val="24"/>
        </w:rPr>
        <w:t>公司董事为自然人，有下列情形之一的，不能担任公司的董事：</w:t>
      </w:r>
      <w:bookmarkEnd w:id="23"/>
    </w:p>
    <w:p w14:paraId="675E300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（一）无民事行为能力或者限制民事行为能力；</w:t>
      </w:r>
    </w:p>
    <w:p w14:paraId="23659F8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（二）因贪污、贿赂、侵占财产、挪用财产或者破坏社会主义市场经济秩序，被判处刑罚，执行期满未逾五年，或者因犯罪被剥夺政治权利，执行期满未逾五年；</w:t>
      </w:r>
    </w:p>
    <w:p w14:paraId="0CA5410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（三）担任破产清算的公司、企业的董事或者厂长、总经理，对该公司、企业的破产负有个人责任的，自该公司、企业破产清算完结之日起未逾三年；</w:t>
      </w:r>
    </w:p>
    <w:p w14:paraId="3ABD6F1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（四）担任因违法被吊销营业执照、责令关闭的公司、企业的法定代表人，并负有个人责任的，自该公司、企业被吊销营业执照之日起未逾三年；</w:t>
      </w:r>
    </w:p>
    <w:p w14:paraId="105C416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（五）个人所负数额较大的债务到期未清偿；</w:t>
      </w:r>
    </w:p>
    <w:p w14:paraId="3E465AD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（六）被中国证监会处以证券市场禁入处罚，期限未满的；</w:t>
      </w:r>
    </w:p>
    <w:p w14:paraId="2C17FA6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（七）被证券交易所公开认定不适合担任公司董事、监事和高级管理人员，期限尚未届满；</w:t>
      </w:r>
    </w:p>
    <w:p w14:paraId="2EEEAE9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（八）法律、行政法规或部门规章规定的其他内容。</w:t>
      </w:r>
    </w:p>
    <w:p w14:paraId="15ABC66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董事候选人存在下列情形之一的，公司应当披露该候选人具体情况、拟聘请该候选人的原因以及是否影响公司规范运作，并提示相关风险：</w:t>
      </w:r>
    </w:p>
    <w:p w14:paraId="79E6E2B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（一）最近三年收到中国证监会行政处罚；</w:t>
      </w:r>
    </w:p>
    <w:p w14:paraId="2995428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（二）最近三年内收到证券交易所公开谴责或者三次以上通报批评；</w:t>
      </w:r>
    </w:p>
    <w:p w14:paraId="5E26152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（三）因涉嫌犯罪被司法机关立案侦查或者涉嫌违法违规被中国证监会立案调查，尚未有明确结论意见。</w:t>
      </w:r>
    </w:p>
    <w:p w14:paraId="76073AE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上述期间，应当以公司董事会、股东会等有权机构审议董事、监事和高级管理人员</w:t>
      </w:r>
      <w:r>
        <w:rPr>
          <w:rFonts w:asciiTheme="minorEastAsia" w:hAnsiTheme="minorEastAsia" w:cstheme="minorEastAsia" w:hint="eastAsia"/>
          <w:kern w:val="0"/>
          <w:sz w:val="24"/>
          <w:lang w:val="zh-CN"/>
        </w:rPr>
        <w:t>候选人聘任议案的日期为截止日。</w:t>
      </w:r>
    </w:p>
    <w:p w14:paraId="0E6BD52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违反本条规定选举、委派董事的，该选举、委派或者聘任无效。董事在任职期间出现本条情形的，公司解除其职务。</w:t>
      </w:r>
    </w:p>
    <w:p w14:paraId="59DC671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董事由股东会选举或更换，并可在任期届满前由股东会解除其职务。董事每</w:t>
      </w:r>
      <w:r>
        <w:rPr>
          <w:rFonts w:asciiTheme="minorEastAsia" w:hAnsiTheme="minorEastAsia" w:cstheme="minorEastAsia" w:hint="eastAsia"/>
          <w:sz w:val="24"/>
        </w:rPr>
        <w:lastRenderedPageBreak/>
        <w:t>届任期三年。董事任期届满，可连选连任。</w:t>
      </w:r>
    </w:p>
    <w:p w14:paraId="776CEE1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董事任期从就任之日起计算，至本届董事会任期届满时为止。董事任期届满未及时改选，在改选出的董事就任前，原董事仍应当依照法律、行政法规、部门规章和本章程的规定，履行董事职务。</w:t>
      </w:r>
    </w:p>
    <w:p w14:paraId="28F6124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董事可以由总经理或者其他高级管理人员兼任，但兼任总经理或者其他高级管理人员职务的董事以及由职工代表担任的董事，总计不得超过公司董事总数的二分之一。</w:t>
      </w:r>
    </w:p>
    <w:p w14:paraId="0327799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bookmarkStart w:id="24" w:name="_Ref422068271"/>
      <w:r>
        <w:rPr>
          <w:rFonts w:asciiTheme="minorEastAsia" w:hAnsiTheme="minorEastAsia" w:cstheme="minorEastAsia" w:hint="eastAsia"/>
          <w:sz w:val="24"/>
        </w:rPr>
        <w:t>董事应当遵守法律、行政法规和本章程，对公司负有下列忠实义务：</w:t>
      </w:r>
      <w:bookmarkEnd w:id="24"/>
    </w:p>
    <w:p w14:paraId="1C6F98B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（一）不得利用职权贿赂或者收受其他非法收入，不得侵占公司的财产；</w:t>
      </w:r>
    </w:p>
    <w:p w14:paraId="0042E46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（二）不得挪用公司资金；</w:t>
      </w:r>
    </w:p>
    <w:p w14:paraId="2140085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（三）不得将公司资产或者资金以其个人名义或者其他个人名义开立账户存储；</w:t>
      </w:r>
    </w:p>
    <w:p w14:paraId="308C1CA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（四）不得违反本章程的规定，未经股东会或董事会同意，将公司资金借贷给他人或者以公司财产为他人提供担保；</w:t>
      </w:r>
    </w:p>
    <w:p w14:paraId="0A33823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（五）除按本章程的规定经董事会或股东会同意外，不得直接或间接与本公司订立合同或者进行交易；</w:t>
      </w:r>
    </w:p>
    <w:p w14:paraId="751657A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除按本章程的规定经董事会或股东会同意，或根据法律、行政法规、本章程的规定，公司不能利用该商业机会外，不得利用职务便利，为自己或他人谋取本应属于公司的商业机会，自营或者为他人经营与本公司同类的业务；</w:t>
      </w:r>
    </w:p>
    <w:p w14:paraId="752CC6C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（七）不得接受与公司交易的佣金归为己有；</w:t>
      </w:r>
    </w:p>
    <w:p w14:paraId="51D2B3E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（八）不得擅自披露公司秘密；</w:t>
      </w:r>
    </w:p>
    <w:p w14:paraId="1B4CAF9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（九）不得利用其关联关系损害公司利益；</w:t>
      </w:r>
    </w:p>
    <w:p w14:paraId="320F0D9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（十）应当采取措施避免自身利益与公司利益冲突，不得利用职权牟取不正当利益；</w:t>
      </w:r>
    </w:p>
    <w:p w14:paraId="67F9D5D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（十一）法律、行政法规、部门规章及本章程规定的其他忠实义务。</w:t>
      </w:r>
    </w:p>
    <w:p w14:paraId="768CFDE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董事违反本条规定所得的收入，应当归公司所有；给公司造成损失的，应当承担赔偿责任。</w:t>
      </w:r>
    </w:p>
    <w:p w14:paraId="19F5899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bookmarkStart w:id="25" w:name="_Ref422068286"/>
      <w:r>
        <w:rPr>
          <w:rFonts w:asciiTheme="minorEastAsia" w:hAnsiTheme="minorEastAsia" w:cstheme="minorEastAsia" w:hint="eastAsia"/>
          <w:sz w:val="24"/>
        </w:rPr>
        <w:t>董事应当遵守法律、行政法规和本章程，对公司负有下列勤勉义务：</w:t>
      </w:r>
      <w:bookmarkEnd w:id="25"/>
    </w:p>
    <w:p w14:paraId="7BAC5DA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（一）应谨慎、认真、勤勉地行使公司赋予的权利，以保证公司的商业行为符合国家法律、行政法规以及国家各项经济政策的要求，商业活动不超过营业执照规定的业务范围；</w:t>
      </w:r>
    </w:p>
    <w:p w14:paraId="1E922D9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（二）应公平对待所有股东；</w:t>
      </w:r>
    </w:p>
    <w:p w14:paraId="68EC6E0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（三）及时了解公司业务经营管理状况；</w:t>
      </w:r>
    </w:p>
    <w:p w14:paraId="51469AE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（四）应当对公司定期报告签署书面确认意见。保证公司所披露的信息真实、准确、完整；</w:t>
      </w:r>
    </w:p>
    <w:p w14:paraId="1CB2446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（五）应当如实向监事会提供有关情况和资料，不得妨碍监事会或者监事行使职权;</w:t>
      </w:r>
    </w:p>
    <w:p w14:paraId="3BADB2F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（六）执行职务应当为公司的最大利益尽到管理者通常应有的合理注意；</w:t>
      </w:r>
    </w:p>
    <w:p w14:paraId="7DF6CFC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（七）法律、行政法规、部门规章及本章程规定的其他勤勉义务。</w:t>
      </w:r>
    </w:p>
    <w:p w14:paraId="008DCD27" w14:textId="77777777" w:rsidR="00743C89" w:rsidRDefault="000F5B55">
      <w:pPr>
        <w:numPr>
          <w:ilvl w:val="0"/>
          <w:numId w:val="1"/>
        </w:numPr>
        <w:tabs>
          <w:tab w:val="left" w:pos="0"/>
          <w:tab w:val="left" w:pos="1440"/>
          <w:tab w:val="left" w:pos="2040"/>
        </w:tabs>
        <w:spacing w:line="480" w:lineRule="exact"/>
        <w:rPr>
          <w:rFonts w:asciiTheme="minorEastAsia" w:hAnsiTheme="minorEastAsia" w:cstheme="minorEastAsia"/>
          <w:sz w:val="24"/>
        </w:rPr>
      </w:pPr>
      <w:r>
        <w:rPr>
          <w:rFonts w:asciiTheme="minorEastAsia" w:hAnsiTheme="minorEastAsia" w:cstheme="minorEastAsia" w:hint="eastAsia"/>
          <w:sz w:val="24"/>
        </w:rPr>
        <w:t>董事连续两次未能亲自出席，也不委托其他董事出席董事会会议，视为不能履行职责，董事会应当在该事实发生之日起三十日内提请股东会解除该董事职务。</w:t>
      </w:r>
    </w:p>
    <w:p w14:paraId="5B040C23" w14:textId="77777777" w:rsidR="00743C89" w:rsidRDefault="000F5B55">
      <w:pPr>
        <w:numPr>
          <w:ilvl w:val="0"/>
          <w:numId w:val="1"/>
        </w:numPr>
        <w:tabs>
          <w:tab w:val="left" w:pos="0"/>
          <w:tab w:val="left" w:pos="1440"/>
          <w:tab w:val="left" w:pos="2040"/>
        </w:tabs>
        <w:spacing w:line="480" w:lineRule="exact"/>
        <w:rPr>
          <w:rFonts w:asciiTheme="minorEastAsia" w:hAnsiTheme="minorEastAsia" w:cstheme="minorEastAsia"/>
          <w:sz w:val="24"/>
        </w:rPr>
      </w:pPr>
      <w:r>
        <w:rPr>
          <w:rFonts w:asciiTheme="minorEastAsia" w:hAnsiTheme="minorEastAsia" w:cstheme="minorEastAsia" w:hint="eastAsia"/>
          <w:sz w:val="24"/>
        </w:rPr>
        <w:t>董事可以在任期届满以前提出辞职。董事辞职应向董事会提交书面辞职报告。公司应当对独立董事辞职的原因及关注事项予以披露。</w:t>
      </w:r>
    </w:p>
    <w:p w14:paraId="455272A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如因董事的辞职导致公司董事会低于法定最低人数时，在改选出的董事就任前，原董事仍应当依照法律、行政法规、部门规章和本章程规定，履行董事职务。</w:t>
      </w:r>
    </w:p>
    <w:p w14:paraId="07066BF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除前款所列情形外，董事辞职自辞职报告送达董事会时生效。</w:t>
      </w:r>
    </w:p>
    <w:p w14:paraId="1C685B5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辞职生效或者任期届满，应向董事会办妥所有移交手续，其对公司和股东承担的忠实义务，在任期结束后并不当然解除，在董事辞职生效或者任期届满后五年内仍然有效，但其对公司商业秘密的保密义务直至该秘密成为公开信息，不以五年为限。</w:t>
      </w:r>
    </w:p>
    <w:p w14:paraId="6A83E69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未经本章程规定或者董事会的合法授权，任何董事不得以个人名义代表公司或者董事会行事。董事以其个人名义行事时，在第三方会合理地认为该董事在代表公司或者董事会行事的情况下，该董事应当事先声明其立场和身份。</w:t>
      </w:r>
    </w:p>
    <w:p w14:paraId="61317F6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董事执行公司职务时违反法律、行政法规、部门规章或本章程的规定，给公司造成损失的，应当承担赔偿责任。</w:t>
      </w:r>
    </w:p>
    <w:p w14:paraId="42F2534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公司设独立董事。独立董事的任职条件、提名和选举程序、任期、辞职及职权等相关事宜，按照法律、行政法规及部门规章的有关规定执行。</w:t>
      </w:r>
    </w:p>
    <w:p w14:paraId="657102EF"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26" w:name="_Toc261168822"/>
      <w:bookmarkStart w:id="27" w:name="_Toc9390"/>
      <w:r>
        <w:rPr>
          <w:rFonts w:asciiTheme="minorEastAsia" w:eastAsiaTheme="minorEastAsia" w:hAnsiTheme="minorEastAsia" w:cstheme="minorEastAsia" w:hint="eastAsia"/>
          <w:sz w:val="28"/>
          <w:szCs w:val="28"/>
        </w:rPr>
        <w:t>第二节　董事会</w:t>
      </w:r>
      <w:bookmarkEnd w:id="26"/>
      <w:bookmarkEnd w:id="27"/>
    </w:p>
    <w:p w14:paraId="3B8A839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公司设董事会，对股东会负责。</w:t>
      </w:r>
    </w:p>
    <w:p w14:paraId="4BE7CA0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公司董事会由八名董事组成，设董事长一名、副董事长一名。董事会成</w:t>
      </w:r>
      <w:r>
        <w:rPr>
          <w:rFonts w:asciiTheme="minorEastAsia" w:hAnsiTheme="minorEastAsia" w:cstheme="minorEastAsia" w:hint="eastAsia"/>
          <w:sz w:val="24"/>
        </w:rPr>
        <w:lastRenderedPageBreak/>
        <w:t>员中包括三名独立董事，且其中至少包括一名具有注册会计师资格或具有会计、审计或者财务管理专业的高级职称、副教授或以上职称、博士学位的会计专业人员。</w:t>
      </w:r>
    </w:p>
    <w:p w14:paraId="163DED32" w14:textId="77777777" w:rsidR="00743C89" w:rsidRDefault="000F5B55">
      <w:pPr>
        <w:tabs>
          <w:tab w:val="left" w:pos="0"/>
          <w:tab w:val="left" w:pos="1440"/>
          <w:tab w:val="left" w:pos="2040"/>
        </w:tabs>
        <w:spacing w:beforeLines="50" w:before="156" w:afterLines="50" w:after="156"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设立审计委员会、战略委员会、提名委员会、薪酬与考核委员会等专门委员会。专门委员会对董事会负责，依照本章程和董事会授权履行职责，提案应当提交董事会审议决定。专门委员会成员全部由董事组成，其中审计委员会、提名委员会、薪酬与考核委员会中独立董事应占多数并担任召集人，审计委员会中至少应有一名独立董事是会计专业人士并担任召集人。董事会负责制定专门委员会工作规程，规范专门委员会的运作。</w:t>
      </w:r>
    </w:p>
    <w:p w14:paraId="0B38F6E8" w14:textId="77777777" w:rsidR="00743C89" w:rsidRDefault="000F5B55">
      <w:pPr>
        <w:tabs>
          <w:tab w:val="left" w:pos="0"/>
          <w:tab w:val="left" w:pos="1440"/>
          <w:tab w:val="left" w:pos="2040"/>
        </w:tabs>
        <w:spacing w:beforeLines="50" w:before="156" w:afterLines="50" w:after="156"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建立独立董事专门会议制度，定期或者不定期召开全部由独立董事参加的会议，对相关事项进行审议。独立董事专门会议可以根据需要研究讨论公司其他事项。公司应当为独立董事专门会议的召开提供便利和支持。</w:t>
      </w:r>
    </w:p>
    <w:p w14:paraId="60C166A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董事会行使下列职权：</w:t>
      </w:r>
    </w:p>
    <w:p w14:paraId="768C56E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（一）召集股东会，并向股东会报告工作；</w:t>
      </w:r>
    </w:p>
    <w:p w14:paraId="00EDEEC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（二）执行股东会的决议；</w:t>
      </w:r>
    </w:p>
    <w:p w14:paraId="42ECFCB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（三）决定公司的经营计划和投资方案；</w:t>
      </w:r>
    </w:p>
    <w:p w14:paraId="18A7BE7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（四）制订公司的年度财务预算方案、决算方案；</w:t>
      </w:r>
    </w:p>
    <w:p w14:paraId="7642B33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（五）制订公司的利润分配方案和弥补亏损方案；</w:t>
      </w:r>
    </w:p>
    <w:p w14:paraId="77E1687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（六）制订公司增加或者减少注册资本、发行债券或其他证券及上市方案；</w:t>
      </w:r>
    </w:p>
    <w:p w14:paraId="1D70AAD1" w14:textId="77777777" w:rsidR="00743C89" w:rsidRDefault="000F5B55">
      <w:pPr>
        <w:spacing w:line="500" w:lineRule="exact"/>
        <w:ind w:leftChars="228" w:left="1199" w:hangingChars="300" w:hanging="720"/>
        <w:rPr>
          <w:rFonts w:asciiTheme="minorEastAsia" w:hAnsiTheme="minorEastAsia" w:cstheme="minorEastAsia"/>
          <w:sz w:val="24"/>
        </w:rPr>
      </w:pPr>
      <w:r>
        <w:rPr>
          <w:rFonts w:asciiTheme="minorEastAsia" w:hAnsiTheme="minorEastAsia" w:cstheme="minorEastAsia" w:hint="eastAsia"/>
          <w:sz w:val="24"/>
        </w:rPr>
        <w:t>（七）拟订公司重大收购、收购本公司股票或者合并、分立、解散及变更公司形式的方案；</w:t>
      </w:r>
    </w:p>
    <w:p w14:paraId="0655DFD5" w14:textId="77777777" w:rsidR="00743C89" w:rsidRDefault="000F5B55">
      <w:pPr>
        <w:spacing w:line="500" w:lineRule="exact"/>
        <w:ind w:leftChars="228" w:left="1199" w:hangingChars="300" w:hanging="720"/>
        <w:rPr>
          <w:rFonts w:asciiTheme="minorEastAsia" w:hAnsiTheme="minorEastAsia" w:cstheme="minorEastAsia"/>
          <w:sz w:val="24"/>
        </w:rPr>
      </w:pPr>
      <w:r>
        <w:rPr>
          <w:rFonts w:asciiTheme="minorEastAsia" w:hAnsiTheme="minorEastAsia" w:cstheme="minorEastAsia" w:hint="eastAsia"/>
          <w:sz w:val="24"/>
        </w:rPr>
        <w:t>（八）在股东会授权范围内，决定公司对外投资、收购出售资产、资产抵押、对外担保事项、委托理财、关联交易等事项；</w:t>
      </w:r>
    </w:p>
    <w:p w14:paraId="2778A1E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（九）决定公司内部管理机构的设置；</w:t>
      </w:r>
    </w:p>
    <w:p w14:paraId="59E9001A" w14:textId="77777777" w:rsidR="00743C89" w:rsidRDefault="000F5B55">
      <w:pPr>
        <w:spacing w:line="500" w:lineRule="exact"/>
        <w:ind w:leftChars="228" w:left="1199" w:hangingChars="300" w:hanging="720"/>
        <w:rPr>
          <w:rFonts w:asciiTheme="minorEastAsia" w:hAnsiTheme="minorEastAsia" w:cstheme="minorEastAsia"/>
          <w:sz w:val="24"/>
        </w:rPr>
      </w:pPr>
      <w:r>
        <w:rPr>
          <w:rFonts w:asciiTheme="minorEastAsia" w:hAnsiTheme="minorEastAsia" w:cstheme="minorEastAsia" w:hint="eastAsia"/>
          <w:sz w:val="24"/>
        </w:rPr>
        <w:t>（十）聘任或者解聘公司总经理、董事会秘书；根据总经理的提名，聘任或者解聘公司副总经理、财务负责人等高级管理人员，并决定其报酬事项和奖惩事项；</w:t>
      </w:r>
    </w:p>
    <w:p w14:paraId="5AB5BAB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（十一）制订公司的基本管理制度；</w:t>
      </w:r>
    </w:p>
    <w:p w14:paraId="08C8CD1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（十二）制订本章程的修改方案；</w:t>
      </w:r>
    </w:p>
    <w:p w14:paraId="1A7066D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（十三）管理公司信息披露事项；</w:t>
      </w:r>
    </w:p>
    <w:p w14:paraId="6526E3A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（十四）向股东会提请聘请或更换为公司审计的会计师事务所；</w:t>
      </w:r>
    </w:p>
    <w:p w14:paraId="1FF886C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（十五）听取公司总经理的工作汇报并检查总经理的工作；</w:t>
      </w:r>
    </w:p>
    <w:p w14:paraId="1C57B64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（十六）制定公司的股权激励计划方案；</w:t>
      </w:r>
    </w:p>
    <w:p w14:paraId="3C142B2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（十七）决定公司因本章程第二十四条第一款第（三）项、第（五）项、第（六）项规定的情形收购本公司股份的相关事项；</w:t>
      </w:r>
    </w:p>
    <w:p w14:paraId="3899793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（十八）决定单笔贷款额占公司最近一期经审计净资产的50%以上，且超过人民币5,000万元的贷款；</w:t>
      </w:r>
    </w:p>
    <w:p w14:paraId="72CCEAA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（十九）决定公司资产负债率超过75%（根据公司最近一期经审计财务数据计算）以后的任何银行授信额度使用</w:t>
      </w:r>
    </w:p>
    <w:p w14:paraId="6BF93CF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（二十）法律、行政法规、部门规章、本章程授予及股东会及总经理法定职权以外的其他职权。</w:t>
      </w:r>
    </w:p>
    <w:p w14:paraId="53A4311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公司董事会应当就注册会计师对公司财务报告出具的非标准审计意见向股东会作出说明。</w:t>
      </w:r>
    </w:p>
    <w:p w14:paraId="5CFBE7BE" w14:textId="77777777" w:rsidR="00743C89" w:rsidRDefault="000F5B55">
      <w:pPr>
        <w:numPr>
          <w:ilvl w:val="0"/>
          <w:numId w:val="1"/>
        </w:numPr>
        <w:tabs>
          <w:tab w:val="left" w:pos="0"/>
          <w:tab w:val="left" w:pos="1440"/>
          <w:tab w:val="left" w:pos="2040"/>
          <w:tab w:val="left" w:pos="32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董事会将依照法律、行政法规及规范性文件的要求制定董事会议事规则，以确保董事会落实股东会决议，提高工作效率，保证科学决策。</w:t>
      </w:r>
    </w:p>
    <w:p w14:paraId="46F63A3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董事会议事规则作为本章程的附件，由董事会拟定，股东会批准。</w:t>
      </w:r>
    </w:p>
    <w:p w14:paraId="364003C0" w14:textId="77777777" w:rsidR="00743C89" w:rsidRDefault="000F5B55">
      <w:pPr>
        <w:numPr>
          <w:ilvl w:val="0"/>
          <w:numId w:val="1"/>
        </w:numPr>
        <w:tabs>
          <w:tab w:val="left" w:pos="0"/>
          <w:tab w:val="left" w:pos="1440"/>
          <w:tab w:val="left" w:pos="2040"/>
        </w:tabs>
        <w:spacing w:beforeLines="50" w:before="156" w:line="360" w:lineRule="auto"/>
        <w:ind w:left="0" w:firstLineChars="200" w:firstLine="480"/>
        <w:rPr>
          <w:rFonts w:asciiTheme="minorEastAsia" w:hAnsiTheme="minorEastAsia" w:cstheme="minorEastAsia"/>
          <w:sz w:val="24"/>
        </w:rPr>
      </w:pPr>
      <w:r>
        <w:rPr>
          <w:rFonts w:asciiTheme="minorEastAsia" w:hAnsiTheme="minorEastAsia" w:cstheme="minorEastAsia" w:hint="eastAsia"/>
          <w:sz w:val="24"/>
        </w:rPr>
        <w:t>董事会应当确定公司对外投资、收购出售资产、资产抵押、对外担保事项、委托理财、关联交易的权限，建立严格的审查和决策程序；重大投资项目应当组织有关专家、专业人员进行评审，并报股东会批准。</w:t>
      </w:r>
    </w:p>
    <w:p w14:paraId="50DCBEF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董事会享有下列决策权限：</w:t>
      </w:r>
    </w:p>
    <w:p w14:paraId="3F97820B" w14:textId="77777777" w:rsidR="00743C89" w:rsidRDefault="000F5B55">
      <w:pPr>
        <w:spacing w:line="500" w:lineRule="exact"/>
        <w:ind w:left="13" w:firstLine="480"/>
        <w:rPr>
          <w:rFonts w:asciiTheme="minorEastAsia" w:hAnsiTheme="minorEastAsia" w:cstheme="minorEastAsia"/>
          <w:sz w:val="24"/>
        </w:rPr>
      </w:pPr>
      <w:r>
        <w:rPr>
          <w:rFonts w:asciiTheme="minorEastAsia" w:hAnsiTheme="minorEastAsia" w:cstheme="minorEastAsia" w:hint="eastAsia"/>
          <w:sz w:val="24"/>
        </w:rPr>
        <w:t>（一）决定除本章程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 REF _Ref422062602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第四十三条 </w:t>
      </w:r>
      <w:r>
        <w:rPr>
          <w:rFonts w:asciiTheme="minorEastAsia" w:hAnsiTheme="minorEastAsia" w:cstheme="minorEastAsia" w:hint="eastAsia"/>
          <w:sz w:val="24"/>
        </w:rPr>
        <w:fldChar w:fldCharType="end"/>
      </w:r>
      <w:r>
        <w:rPr>
          <w:rFonts w:asciiTheme="minorEastAsia" w:hAnsiTheme="minorEastAsia" w:cstheme="minorEastAsia" w:hint="eastAsia"/>
          <w:sz w:val="24"/>
        </w:rPr>
        <w:t>规定须经股东会审批以外的对外担保事项，董事会审议担保事项时，除应当经全体董事的过半数通过外，还必须经出席董事会会议的三分之二以上董事审议同意。</w:t>
      </w:r>
    </w:p>
    <w:p w14:paraId="3264B830" w14:textId="77777777" w:rsidR="00743C89" w:rsidRDefault="000F5B55">
      <w:pPr>
        <w:spacing w:line="500" w:lineRule="exact"/>
        <w:ind w:left="13" w:firstLine="480"/>
        <w:rPr>
          <w:rFonts w:asciiTheme="minorEastAsia" w:hAnsiTheme="minorEastAsia" w:cstheme="minorEastAsia"/>
          <w:sz w:val="24"/>
        </w:rPr>
      </w:pPr>
      <w:r>
        <w:rPr>
          <w:rFonts w:asciiTheme="minorEastAsia" w:hAnsiTheme="minorEastAsia" w:cstheme="minorEastAsia" w:hint="eastAsia"/>
          <w:sz w:val="24"/>
        </w:rPr>
        <w:t>（二）决定公司与关联法人发生的金额在300万元以上，且占公司最近一期经审计净资产绝对值0.5%以上的关联交易；决定公司与关联自然人发生的交易金额在30万元以上的关联交易。但公司与关联人发生的交易金额在3,000万元以上，且占公司最近一期经审计净资产绝对值5%以上的关联交易，应提交股东会审议。</w:t>
      </w:r>
    </w:p>
    <w:p w14:paraId="5CFADB42" w14:textId="77777777" w:rsidR="00743C89" w:rsidRDefault="000F5B55">
      <w:pPr>
        <w:pStyle w:val="af3"/>
        <w:spacing w:line="500" w:lineRule="exact"/>
        <w:ind w:left="13" w:firstLineChars="0" w:firstLine="480"/>
        <w:rPr>
          <w:rFonts w:asciiTheme="minorEastAsia" w:hAnsiTheme="minorEastAsia" w:cstheme="minorEastAsia"/>
          <w:sz w:val="24"/>
        </w:rPr>
      </w:pPr>
      <w:r>
        <w:rPr>
          <w:rFonts w:asciiTheme="minorEastAsia" w:hAnsiTheme="minorEastAsia" w:cstheme="minorEastAsia" w:hint="eastAsia"/>
          <w:sz w:val="24"/>
        </w:rPr>
        <w:t>（三）决定下列交易事项：</w:t>
      </w:r>
    </w:p>
    <w:p w14:paraId="45D34235" w14:textId="77777777" w:rsidR="00743C89" w:rsidRDefault="000F5B55">
      <w:pPr>
        <w:spacing w:line="500" w:lineRule="exact"/>
        <w:ind w:left="13" w:firstLine="480"/>
        <w:rPr>
          <w:rFonts w:asciiTheme="minorEastAsia" w:hAnsiTheme="minorEastAsia" w:cstheme="minorEastAsia"/>
          <w:sz w:val="24"/>
        </w:rPr>
      </w:pPr>
      <w:r>
        <w:rPr>
          <w:rFonts w:asciiTheme="minorEastAsia" w:hAnsiTheme="minorEastAsia" w:cstheme="minorEastAsia" w:hint="eastAsia"/>
          <w:sz w:val="24"/>
        </w:rPr>
        <w:lastRenderedPageBreak/>
        <w:t>1．交易涉及的资产总额占公司最近一期经审计总资产的10%以上，但交易涉及的资产总额占公司最近一期经审计总资产的50%以上或公司在一年内购买、出售重大资产超过公司最近一期经审计总资产30%的事项，还应提交股东会审议。该交易涉及的资产总额同时存在账面值和评估值的，以较高者作为计算数据；</w:t>
      </w:r>
    </w:p>
    <w:p w14:paraId="6E272851" w14:textId="77777777" w:rsidR="00743C89" w:rsidRDefault="000F5B55">
      <w:pPr>
        <w:spacing w:line="500" w:lineRule="exact"/>
        <w:ind w:left="13" w:firstLine="480"/>
        <w:rPr>
          <w:rFonts w:asciiTheme="minorEastAsia" w:hAnsiTheme="minorEastAsia" w:cstheme="minorEastAsia"/>
          <w:sz w:val="24"/>
        </w:rPr>
      </w:pPr>
      <w:r>
        <w:rPr>
          <w:rFonts w:asciiTheme="minorEastAsia" w:hAnsiTheme="minorEastAsia" w:cstheme="minorEastAsia" w:hint="eastAsia"/>
          <w:sz w:val="24"/>
        </w:rPr>
        <w:t>2. 交易标的(如股权)在最近一个会计年度相关的营业收入占公司最近一个会计年度经审计营业收入的10%以上，且绝对金额超过1000万元人民币；但交易标的(如股权)在最近一个会计年度相关的营业收入占公司最近一个会计年度经审计营业收入的50%以上，且绝对金额超过5000万元人民币的，还应提交股东会审议；</w:t>
      </w:r>
    </w:p>
    <w:p w14:paraId="6F429E4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3. 交易标的(如股权)在最近一个会计年度相关的净利润占公司最近一个会计年度经审计净利润的10%以上，且绝对金额超过100万元人民币；但交易标的(如股权)在最近一个会计年度相关的净利润占公司最近一个会计年度经审计净利润的50%以上，且绝对金额超过500万元人民币的，还应提交股东会审议；</w:t>
      </w:r>
    </w:p>
    <w:p w14:paraId="69BF684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4. 交易的成交金额（含承担债务和费用）占公司最近一期经审计净资产的10%以上，且绝对金额超过1000万元人民币；但交易的成交金额（含承担债务和费用）占公司最近一期经审计净资产的50%以上，且绝对金额超过5000万元人民币的，还应提交股东会审议；</w:t>
      </w:r>
    </w:p>
    <w:p w14:paraId="6F0F6AB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5. 交易产生的利润占公司最近一个会计年度经审计净利润的10%以上，且绝对金额超过100万元人民币；但交易产生的利润占公司最近一个会计年度经审计净利润的50%以上，且绝对金额超过500万元人民币的，还应提交股东会审议。</w:t>
      </w:r>
    </w:p>
    <w:p w14:paraId="3D7CE36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上述指标计算中涉及的数据如为负值，取其绝对值计算。上述交易的定义见本章程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 REF _Ref422062556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第四十二条 </w:t>
      </w:r>
      <w:r>
        <w:rPr>
          <w:rFonts w:asciiTheme="minorEastAsia" w:hAnsiTheme="minorEastAsia" w:cstheme="minorEastAsia" w:hint="eastAsia"/>
          <w:sz w:val="24"/>
        </w:rPr>
        <w:fldChar w:fldCharType="end"/>
      </w:r>
      <w:r>
        <w:rPr>
          <w:rFonts w:asciiTheme="minorEastAsia" w:hAnsiTheme="minorEastAsia" w:cstheme="minorEastAsia" w:hint="eastAsia"/>
          <w:sz w:val="24"/>
        </w:rPr>
        <w:t>第三款的规定。上述交易事项，如法律、法规、规范性文件及章程规定须提交股东会审议通过的，应在董事会审议通过后提交股东会审议。</w:t>
      </w:r>
    </w:p>
    <w:p w14:paraId="7B2D2E8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董事会设董事长一名，设副董事长一名。董事长和副董事长由董事会以全体董事的过半数选举产生和罢免。</w:t>
      </w:r>
    </w:p>
    <w:p w14:paraId="0F5FB74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董事长行使下列职权：</w:t>
      </w:r>
    </w:p>
    <w:p w14:paraId="660719E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（一）主持股东会和召集、主持董事会会议；</w:t>
      </w:r>
    </w:p>
    <w:p w14:paraId="3979771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（二）督促、检查董事会决议的执行；</w:t>
      </w:r>
    </w:p>
    <w:p w14:paraId="03DB058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（三）签署董事会重要文件和其他应由董事长签署的文件；</w:t>
      </w:r>
    </w:p>
    <w:p w14:paraId="046FC0C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（四）董事会授予的其他职权。</w:t>
      </w:r>
    </w:p>
    <w:p w14:paraId="4E4400CA"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lastRenderedPageBreak/>
        <w:t>公司副董事长协助董事长工作，董事长不能履行职务或者不履行职务的，由副董事长履行职务；副董事长不能履行职务或者不履行职务的，由半数以上董事共同推举一名董事履行职务。</w:t>
      </w:r>
    </w:p>
    <w:p w14:paraId="21DF257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董事会每年至少召开两次会议，由董事长召集，于会议召开十日以前书面通知全体董事和监事。</w:t>
      </w:r>
    </w:p>
    <w:p w14:paraId="5D770C3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代表十分之一以上表决权的股东、三分之一以上董事或者监事会，可以提议召开董事会临时会议。董事长应当自接到提议后10日内，召集和主持董事会会议。</w:t>
      </w:r>
    </w:p>
    <w:p w14:paraId="516C7A8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董事会召开临时董事会会议的通知方式和通知时限为：于会议召开2日以前发出书面通知；但是遇有紧急事由时，可以口头、电话、邮件等方式随时通知召开会议。</w:t>
      </w:r>
    </w:p>
    <w:p w14:paraId="0ED28ED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董事会会议通知包括以下内容：</w:t>
      </w:r>
    </w:p>
    <w:p w14:paraId="3EBF6A0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（一）会议日期和地点；</w:t>
      </w:r>
    </w:p>
    <w:p w14:paraId="5052B1A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（二）会议期限；</w:t>
      </w:r>
    </w:p>
    <w:p w14:paraId="0F7564B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（三）事由及议题；</w:t>
      </w:r>
    </w:p>
    <w:p w14:paraId="25A5007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（四）发出通知的日期。</w:t>
      </w:r>
    </w:p>
    <w:p w14:paraId="4610B6F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董事会会议应有过半数的董事出席方可举行。董事会作出决议，必须经全体董事的过半数通过。</w:t>
      </w:r>
    </w:p>
    <w:p w14:paraId="0A480FB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董事会决议的表决，实行一人一票。</w:t>
      </w:r>
    </w:p>
    <w:p w14:paraId="09901EE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董事人数不足3人的，应将该事项提交股东会审议。</w:t>
      </w:r>
    </w:p>
    <w:p w14:paraId="78FF211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董事会审议权限范围内的对外提供担保事项，除应当经全体董事的过半数通过外，还应当取得出席董事会会议的三分之二以上董事同意。</w:t>
      </w:r>
    </w:p>
    <w:p w14:paraId="6EA57BF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董事会决议的表决方式为：采用书面记名投票方式表决。</w:t>
      </w:r>
    </w:p>
    <w:p w14:paraId="5D92BD3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董事会临时会议在保障董事充分表达意见的前提下，可以采用书面（包括以专人、邮寄、传真、及电子邮件等方式送达会议资料）、电话会议、视频会议等方式进行并作出决议，并由参会董事签字。</w:t>
      </w:r>
    </w:p>
    <w:p w14:paraId="617240F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董事会会议，应由董事本人出席；董事因故不能出席，可以书面委托</w:t>
      </w:r>
      <w:r>
        <w:rPr>
          <w:rFonts w:asciiTheme="minorEastAsia" w:hAnsiTheme="minorEastAsia" w:cstheme="minorEastAsia" w:hint="eastAsia"/>
          <w:sz w:val="24"/>
        </w:rPr>
        <w:lastRenderedPageBreak/>
        <w:t>其他董事代为出席，独立董事不得委托非独立董事代为出席会议。委托书中应载明代理人的姓名，代理事项、授权范围和有效期限，并由委托人签名或盖章。代为出席会议的董事应当在授权范围内行使董事的权利。董事未出席董事会会议，亦未委托代表出席的，视为放弃在该次会议上的投票权。</w:t>
      </w:r>
    </w:p>
    <w:p w14:paraId="77326CD0" w14:textId="77777777" w:rsidR="00743C89" w:rsidRDefault="000F5B55">
      <w:pPr>
        <w:numPr>
          <w:ilvl w:val="0"/>
          <w:numId w:val="1"/>
        </w:numPr>
        <w:tabs>
          <w:tab w:val="left" w:pos="0"/>
          <w:tab w:val="left" w:pos="1440"/>
          <w:tab w:val="left" w:pos="2040"/>
        </w:tabs>
        <w:spacing w:line="500" w:lineRule="exact"/>
        <w:ind w:left="0" w:firstLineChars="200" w:firstLine="480"/>
        <w:rPr>
          <w:rFonts w:asciiTheme="minorEastAsia" w:hAnsiTheme="minorEastAsia" w:cstheme="minorEastAsia"/>
          <w:sz w:val="24"/>
        </w:rPr>
      </w:pPr>
      <w:r>
        <w:rPr>
          <w:rFonts w:asciiTheme="minorEastAsia" w:hAnsiTheme="minorEastAsia" w:cstheme="minorEastAsia" w:hint="eastAsia"/>
          <w:sz w:val="24"/>
        </w:rPr>
        <w:t>董事会应当对会议所议事项的决定做成会议记录，出席会议的董事和记录人应当在会议记录上签名。</w:t>
      </w:r>
      <w:bookmarkStart w:id="28" w:name="OLE_LINK3"/>
      <w:bookmarkStart w:id="29" w:name="OLE_LINK2"/>
      <w:r>
        <w:rPr>
          <w:rFonts w:asciiTheme="minorEastAsia" w:hAnsiTheme="minorEastAsia" w:cstheme="minorEastAsia" w:hint="eastAsia"/>
          <w:sz w:val="24"/>
        </w:rPr>
        <w:t>董事有权要求在记录上对其在会议上的发言作出说明性记载。</w:t>
      </w:r>
      <w:bookmarkEnd w:id="28"/>
      <w:bookmarkEnd w:id="29"/>
    </w:p>
    <w:p w14:paraId="64854CCA" w14:textId="77777777" w:rsidR="00743C89" w:rsidRDefault="000F5B55">
      <w:pPr>
        <w:tabs>
          <w:tab w:val="left" w:pos="0"/>
          <w:tab w:val="left" w:pos="1440"/>
          <w:tab w:val="left" w:pos="2040"/>
        </w:tabs>
        <w:spacing w:line="500" w:lineRule="exact"/>
        <w:ind w:left="480"/>
        <w:rPr>
          <w:rFonts w:asciiTheme="minorEastAsia" w:hAnsiTheme="minorEastAsia" w:cstheme="minorEastAsia"/>
          <w:sz w:val="24"/>
        </w:rPr>
      </w:pPr>
      <w:r>
        <w:rPr>
          <w:rFonts w:asciiTheme="minorEastAsia" w:hAnsiTheme="minorEastAsia" w:cstheme="minorEastAsia" w:hint="eastAsia"/>
          <w:sz w:val="24"/>
        </w:rPr>
        <w:t>董事会会议记录作为公司档案保存，保存期限不少于十年。</w:t>
      </w:r>
    </w:p>
    <w:p w14:paraId="68DFCA8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董事会会议记录包括以下内容：</w:t>
      </w:r>
    </w:p>
    <w:p w14:paraId="6C68B0F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（一）会议召开的日期、地点和召集人姓名；</w:t>
      </w:r>
    </w:p>
    <w:p w14:paraId="075B035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（二）出席董事的姓名以及受他人委托出席董事会的董事（代理人）姓名；</w:t>
      </w:r>
    </w:p>
    <w:p w14:paraId="499B552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（三）会议议程；</w:t>
      </w:r>
    </w:p>
    <w:p w14:paraId="671E966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（四）董事发言要点；</w:t>
      </w:r>
    </w:p>
    <w:p w14:paraId="1B7BDF9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（五）每一决议事项的表决方式和结果（表决结果应载明赞成、反对或弃权的票数）。</w:t>
      </w:r>
    </w:p>
    <w:p w14:paraId="11C70B63" w14:textId="77777777" w:rsidR="00743C89" w:rsidRDefault="000F5B55">
      <w:pPr>
        <w:numPr>
          <w:ilvl w:val="0"/>
          <w:numId w:val="1"/>
        </w:numPr>
        <w:tabs>
          <w:tab w:val="left" w:pos="0"/>
          <w:tab w:val="left" w:pos="1440"/>
          <w:tab w:val="left" w:pos="2040"/>
        </w:tabs>
        <w:spacing w:line="480" w:lineRule="exact"/>
        <w:ind w:left="0" w:firstLine="420"/>
        <w:rPr>
          <w:rFonts w:asciiTheme="minorEastAsia" w:hAnsiTheme="minorEastAsia" w:cstheme="minorEastAsia"/>
          <w:sz w:val="24"/>
        </w:rPr>
      </w:pPr>
      <w:r>
        <w:rPr>
          <w:rFonts w:asciiTheme="minorEastAsia" w:hAnsiTheme="minorEastAsia" w:cstheme="minorEastAsia" w:hint="eastAsia"/>
          <w:sz w:val="24"/>
        </w:rPr>
        <w:t>董事应当对董事会的决议承担责任。董事会的决议违反法律、行政法规或者公司章程、股东会决议，致使公司遭受严重损失的，参与决议的董事对公司负赔偿责任。但经证明在表决时曾表明异议并记载于会议记录的，该董事可以免除责任。</w:t>
      </w:r>
    </w:p>
    <w:p w14:paraId="29FEA07B" w14:textId="77777777" w:rsidR="00743C89" w:rsidRDefault="000F5B55">
      <w:pPr>
        <w:numPr>
          <w:ilvl w:val="0"/>
          <w:numId w:val="1"/>
        </w:numPr>
        <w:tabs>
          <w:tab w:val="left" w:pos="0"/>
          <w:tab w:val="left" w:pos="1440"/>
          <w:tab w:val="left" w:pos="2040"/>
        </w:tabs>
        <w:spacing w:line="480" w:lineRule="exact"/>
        <w:ind w:left="0" w:firstLine="420"/>
        <w:rPr>
          <w:rFonts w:asciiTheme="minorEastAsia" w:hAnsiTheme="minorEastAsia" w:cstheme="minorEastAsia"/>
          <w:sz w:val="24"/>
        </w:rPr>
      </w:pPr>
      <w:r>
        <w:rPr>
          <w:rFonts w:asciiTheme="minorEastAsia" w:hAnsiTheme="minorEastAsia" w:cstheme="minorEastAsia" w:hint="eastAsia"/>
          <w:sz w:val="24"/>
        </w:rPr>
        <w:t>公司另行制定《独立董事工作制度》。独立董事应按照法律、行政法规、规范性文件、《公司章程》及《独立董事工作制度》的规定履行职责。</w:t>
      </w:r>
    </w:p>
    <w:p w14:paraId="58F5FD02"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30" w:name="_Toc261168823"/>
      <w:bookmarkStart w:id="31" w:name="_Toc7075"/>
      <w:r>
        <w:rPr>
          <w:rFonts w:asciiTheme="minorEastAsia" w:eastAsiaTheme="minorEastAsia" w:hAnsiTheme="minorEastAsia" w:cstheme="minorEastAsia" w:hint="eastAsia"/>
          <w:b/>
          <w:sz w:val="32"/>
          <w:szCs w:val="32"/>
        </w:rPr>
        <w:t>第六章　总经理及其他高级管理人员</w:t>
      </w:r>
      <w:bookmarkEnd w:id="30"/>
      <w:bookmarkEnd w:id="31"/>
    </w:p>
    <w:p w14:paraId="6FF8288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公司设总经理一名，由董事会聘任或解聘。</w:t>
      </w:r>
    </w:p>
    <w:p w14:paraId="1E37344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公司设副总经理若干名，由董事会聘任或解聘。</w:t>
      </w:r>
    </w:p>
    <w:p w14:paraId="46DD906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公司总经理、副总经理、财务负责人、董事会秘书及其他依本章程规定被公司董事会聘任为高级管理人员的雇员为公司高级管理人员。</w:t>
      </w:r>
    </w:p>
    <w:p w14:paraId="3CF904D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 REF _Ref422068170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第九十九条 </w:t>
      </w:r>
      <w:r>
        <w:rPr>
          <w:rFonts w:asciiTheme="minorEastAsia" w:hAnsiTheme="minorEastAsia" w:cstheme="minorEastAsia" w:hint="eastAsia"/>
          <w:sz w:val="24"/>
        </w:rPr>
        <w:fldChar w:fldCharType="end"/>
      </w:r>
      <w:r>
        <w:rPr>
          <w:rFonts w:asciiTheme="minorEastAsia" w:hAnsiTheme="minorEastAsia" w:cstheme="minorEastAsia" w:hint="eastAsia"/>
          <w:sz w:val="24"/>
        </w:rPr>
        <w:t>关于不得担任董事的情形同时适用于高级管理人员。</w:t>
      </w:r>
    </w:p>
    <w:p w14:paraId="383AEAD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REF _Ref422068271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第一百〇一条 </w:t>
      </w:r>
      <w:r>
        <w:rPr>
          <w:rFonts w:asciiTheme="minorEastAsia" w:hAnsiTheme="minorEastAsia" w:cstheme="minorEastAsia" w:hint="eastAsia"/>
          <w:sz w:val="24"/>
        </w:rPr>
        <w:fldChar w:fldCharType="end"/>
      </w:r>
      <w:r>
        <w:rPr>
          <w:rFonts w:asciiTheme="minorEastAsia" w:hAnsiTheme="minorEastAsia" w:cstheme="minorEastAsia" w:hint="eastAsia"/>
          <w:sz w:val="24"/>
        </w:rPr>
        <w:t>关于董事的忠实义务和</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 REF _Ref422068286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第一百〇二条 </w:t>
      </w:r>
      <w:r>
        <w:rPr>
          <w:rFonts w:asciiTheme="minorEastAsia" w:hAnsiTheme="minorEastAsia" w:cstheme="minorEastAsia" w:hint="eastAsia"/>
          <w:sz w:val="24"/>
        </w:rPr>
        <w:fldChar w:fldCharType="end"/>
      </w:r>
      <w:r>
        <w:rPr>
          <w:rFonts w:asciiTheme="minorEastAsia" w:hAnsiTheme="minorEastAsia" w:cstheme="minorEastAsia" w:hint="eastAsia"/>
          <w:sz w:val="24"/>
        </w:rPr>
        <w:t>中第（四）至（六）项关于勤勉义务的规定，同时适用于高级管理人员。</w:t>
      </w:r>
    </w:p>
    <w:p w14:paraId="4750324A"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lastRenderedPageBreak/>
        <w:t>在公司控股股东单位担任除董事、监事以外的其他行政职务的人员，不得担任公司的高级管理人员。</w:t>
      </w:r>
    </w:p>
    <w:p w14:paraId="6AA6283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总经理每届任期三年，连聘可以连任。</w:t>
      </w:r>
    </w:p>
    <w:p w14:paraId="0361659B"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总经理对董事会负责，行使下列职权：</w:t>
      </w:r>
    </w:p>
    <w:p w14:paraId="4A83917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（一）主持公司的生产经营管理工作，组织实施董事会决议，并向董事会报告工作；</w:t>
      </w:r>
    </w:p>
    <w:p w14:paraId="346FADB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（二）组织实施公司年度经营计划和投资方案；</w:t>
      </w:r>
    </w:p>
    <w:p w14:paraId="3B67FD2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（三）拟订公司内部管理机构设置方案；</w:t>
      </w:r>
    </w:p>
    <w:p w14:paraId="1F67997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（四）拟订公司的基本管理制度；</w:t>
      </w:r>
    </w:p>
    <w:p w14:paraId="6476101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（五）制定公司的具体规章；</w:t>
      </w:r>
    </w:p>
    <w:p w14:paraId="20550BB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（六）提请董事会聘任或者解聘公司副总经理、财务负责人；</w:t>
      </w:r>
    </w:p>
    <w:p w14:paraId="79B03E6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（七）决定聘任或者解聘除应由董事会决定聘任或者解聘以外的负责管理人员；</w:t>
      </w:r>
    </w:p>
    <w:p w14:paraId="7955FE9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（八）决定交易事项（提供担保、提供财务资助除外）中达到下列标准的事项：</w:t>
      </w:r>
    </w:p>
    <w:p w14:paraId="731470F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1. 交易涉及的资产总额占公司最近一期经审计总资产的比例低于10%，该交易涉及的资产总额同时存在账面值和评估值的，以较高者作为计算数据；</w:t>
      </w:r>
    </w:p>
    <w:p w14:paraId="723EC80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2．交易标的（如股权）在最近一个会计年度相关的营业收入占公司最近一个会计年度经审计营业收入的比例低于10%，或绝对金额不超过1000万元；</w:t>
      </w:r>
    </w:p>
    <w:p w14:paraId="6D8C06E9"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3. 交易标的（如股权）在最近一个会计年度相关的净利润占公司最近一个会计年度经审计净利润的比例低于10%，或绝对金额不超过100万元；</w:t>
      </w:r>
    </w:p>
    <w:p w14:paraId="2FF2012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4. 交易的成交金额（含承担债务和费用）占公司最近一期经审计净资产的比例低于10%，或绝对金额不超过1000万元；</w:t>
      </w:r>
    </w:p>
    <w:p w14:paraId="7223B77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5. 交易产生的利润占公司最近一个会计年度经审计净利润的比例低于10%，或绝对金额不超过100万元。</w:t>
      </w:r>
    </w:p>
    <w:p w14:paraId="6C3FA9C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（九）决定公司与关联方发生的如下关联交易（提供担保除外）：</w:t>
      </w:r>
    </w:p>
    <w:p w14:paraId="61621E3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1. 公司与关联自然人发生的交易金额不超过30万元的关联交易；</w:t>
      </w:r>
    </w:p>
    <w:p w14:paraId="0C2D66C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2. 公司与关联法人发生的交易金额不超过300万元的关联交易，或低于上市公司最近一期经审计净资产绝对值0.5%的关联交易。</w:t>
      </w:r>
    </w:p>
    <w:p w14:paraId="44CC37A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上述关联方与总经理有关联关系的，该等关联交易应提交董事会审议。</w:t>
      </w:r>
    </w:p>
    <w:p w14:paraId="1544920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（十）决定公司在一年内购买、出售重大资产低于公司最近一期经审计总资产10%的事</w:t>
      </w:r>
      <w:r>
        <w:rPr>
          <w:rFonts w:asciiTheme="minorEastAsia" w:hAnsiTheme="minorEastAsia" w:cstheme="minorEastAsia" w:hint="eastAsia"/>
          <w:sz w:val="24"/>
        </w:rPr>
        <w:lastRenderedPageBreak/>
        <w:t>项；</w:t>
      </w:r>
    </w:p>
    <w:p w14:paraId="4FEC85E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（十一）决定单笔贷款额未达到公司最近一期经审计净资产的50%，或未超过人民币5,000万元的贷款；</w:t>
      </w:r>
    </w:p>
    <w:p w14:paraId="3FD916B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（十二）申请银行授信额度，决定公司资产负债率未超过75%（根据公司最近一期经审计财务数据计算）时的任何银行授信额度使用；</w:t>
      </w:r>
    </w:p>
    <w:p w14:paraId="70ED052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（十三）代表公司签署董事会或董事长批准的业务合同；</w:t>
      </w:r>
    </w:p>
    <w:p w14:paraId="6980FD2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（十四）本章程或董事会授予的其他职权。</w:t>
      </w:r>
    </w:p>
    <w:p w14:paraId="147DA7E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总经理列席董事会会议。</w:t>
      </w:r>
    </w:p>
    <w:p w14:paraId="339FFD4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总经理应制订总经理工作细则，报董事会批准后实施。</w:t>
      </w:r>
    </w:p>
    <w:p w14:paraId="1BC3450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总经理工作细则包括下列内容：</w:t>
      </w:r>
    </w:p>
    <w:p w14:paraId="2D3C3A5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（一）总经理会议召开的条件、程序和参加的人员；</w:t>
      </w:r>
    </w:p>
    <w:p w14:paraId="7A9808A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（二）总经理及其他高级管理人员各自具体的职责及其分工；</w:t>
      </w:r>
    </w:p>
    <w:p w14:paraId="3590ED1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（三）公司资金、资产运用，签订重大合同的权限，以及向董事会、监事会的报告制度；</w:t>
      </w:r>
    </w:p>
    <w:p w14:paraId="13E3B5D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（四）董事会认为必要的其他事项。</w:t>
      </w:r>
    </w:p>
    <w:p w14:paraId="21C4AF7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总经理可以在任期届满以前提出辞职。有关总经理辞职的具体程序和办法由总经理与公司之间的劳动合同规定。</w:t>
      </w:r>
    </w:p>
    <w:p w14:paraId="118C02F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副总经理、财务负责人及其他高级管理人员由总经理提名，董事会决定聘任或者解聘。副总经理、财务负责人协助总经理的工作，向总经理负责并报告工作。</w:t>
      </w:r>
    </w:p>
    <w:p w14:paraId="435B2B1A"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公司设董事会秘书，负责公司股东会和董事会会议的筹备、文件保管以及公司股东资料管理，办理信息披露事务等事宜。</w:t>
      </w:r>
    </w:p>
    <w:p w14:paraId="1B916F1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董事会秘书应遵守法律、行政法规、部门规章及本章程的有关规定。</w:t>
      </w:r>
    </w:p>
    <w:p w14:paraId="10A720B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高级管理人员执行公司职务时违反法律、行政法规、部门规章或本章程的规定，给公司造成损失的，应当承担赔偿责任。</w:t>
      </w:r>
    </w:p>
    <w:p w14:paraId="7F28191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公司高级管理人员应当忠实履行职务，维护公司和全体股东的最大利益。公司高级管理人员因未能忠实履行职务或违背诚信义务，给公司和社会公众股股东的利益造成损害的，应当依法承担赔偿责任。</w:t>
      </w:r>
    </w:p>
    <w:p w14:paraId="769E4871"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32" w:name="_Toc15574"/>
      <w:bookmarkStart w:id="33" w:name="_Toc261168824"/>
      <w:r>
        <w:rPr>
          <w:rFonts w:asciiTheme="minorEastAsia" w:eastAsiaTheme="minorEastAsia" w:hAnsiTheme="minorEastAsia" w:cstheme="minorEastAsia" w:hint="eastAsia"/>
          <w:b/>
          <w:sz w:val="32"/>
          <w:szCs w:val="32"/>
        </w:rPr>
        <w:lastRenderedPageBreak/>
        <w:t>第七章　监事会</w:t>
      </w:r>
      <w:bookmarkEnd w:id="32"/>
    </w:p>
    <w:p w14:paraId="314E19F4"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34" w:name="_Toc31285"/>
      <w:r>
        <w:rPr>
          <w:rFonts w:asciiTheme="minorEastAsia" w:eastAsiaTheme="minorEastAsia" w:hAnsiTheme="minorEastAsia" w:cstheme="minorEastAsia" w:hint="eastAsia"/>
          <w:sz w:val="28"/>
          <w:szCs w:val="28"/>
        </w:rPr>
        <w:t>第一节　监事</w:t>
      </w:r>
      <w:bookmarkEnd w:id="33"/>
      <w:bookmarkEnd w:id="34"/>
    </w:p>
    <w:p w14:paraId="1C4665B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 REF _Ref422068170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第九十九条 </w:t>
      </w:r>
      <w:r>
        <w:rPr>
          <w:rFonts w:asciiTheme="minorEastAsia" w:hAnsiTheme="minorEastAsia" w:cstheme="minorEastAsia" w:hint="eastAsia"/>
          <w:sz w:val="24"/>
        </w:rPr>
        <w:fldChar w:fldCharType="end"/>
      </w:r>
      <w:r>
        <w:rPr>
          <w:rFonts w:asciiTheme="minorEastAsia" w:hAnsiTheme="minorEastAsia" w:cstheme="minorEastAsia" w:hint="eastAsia"/>
          <w:sz w:val="24"/>
        </w:rPr>
        <w:t>关于不得担任董事的情形，同时适用于监事。</w:t>
      </w:r>
    </w:p>
    <w:p w14:paraId="53B88FD8" w14:textId="77777777" w:rsidR="00743C89" w:rsidRDefault="000F5B55">
      <w:pPr>
        <w:tabs>
          <w:tab w:val="left" w:pos="2127"/>
        </w:tabs>
        <w:autoSpaceDE w:val="0"/>
        <w:autoSpaceDN w:val="0"/>
        <w:adjustRightInd w:val="0"/>
        <w:snapToGrid w:val="0"/>
        <w:spacing w:line="480" w:lineRule="exact"/>
        <w:ind w:leftChars="6" w:left="13" w:rightChars="-4" w:right="-8" w:firstLineChars="200" w:firstLine="480"/>
        <w:rPr>
          <w:rFonts w:asciiTheme="minorEastAsia" w:hAnsiTheme="minorEastAsia" w:cstheme="minorEastAsia"/>
          <w:sz w:val="24"/>
        </w:rPr>
      </w:pPr>
      <w:r>
        <w:rPr>
          <w:rFonts w:asciiTheme="minorEastAsia" w:hAnsiTheme="minorEastAsia" w:cstheme="minorEastAsia" w:hint="eastAsia"/>
          <w:sz w:val="24"/>
        </w:rPr>
        <w:t>董事、总经理和其他高级管理人员不得兼任监事。</w:t>
      </w:r>
    </w:p>
    <w:p w14:paraId="6A73290F" w14:textId="77777777" w:rsidR="00743C89" w:rsidRDefault="000F5B55">
      <w:pPr>
        <w:numPr>
          <w:ilvl w:val="0"/>
          <w:numId w:val="1"/>
        </w:numPr>
        <w:tabs>
          <w:tab w:val="left" w:pos="0"/>
          <w:tab w:val="left" w:pos="1440"/>
          <w:tab w:val="left" w:pos="2040"/>
        </w:tabs>
        <w:spacing w:line="480" w:lineRule="exact"/>
        <w:ind w:left="0" w:firstLine="539"/>
        <w:rPr>
          <w:rFonts w:asciiTheme="minorEastAsia" w:hAnsiTheme="minorEastAsia" w:cstheme="minorEastAsia"/>
          <w:sz w:val="24"/>
        </w:rPr>
      </w:pPr>
      <w:r>
        <w:rPr>
          <w:rFonts w:asciiTheme="minorEastAsia" w:hAnsiTheme="minorEastAsia" w:cstheme="minorEastAsia" w:hint="eastAsia"/>
          <w:sz w:val="24"/>
        </w:rPr>
        <w:t>监事应当遵守法律、行政法规和本章程，对公司负有忠实义务和勤勉义务，不得利用职权贿赂或者收受其他非法收入，不得侵占公司的财产。</w:t>
      </w:r>
    </w:p>
    <w:p w14:paraId="5EFB0B40" w14:textId="77777777" w:rsidR="00743C89" w:rsidRDefault="000F5B55">
      <w:pPr>
        <w:numPr>
          <w:ilvl w:val="0"/>
          <w:numId w:val="1"/>
        </w:numPr>
        <w:tabs>
          <w:tab w:val="left" w:pos="0"/>
          <w:tab w:val="left" w:pos="1440"/>
          <w:tab w:val="left" w:pos="2040"/>
        </w:tabs>
        <w:spacing w:line="480" w:lineRule="exact"/>
        <w:ind w:left="0" w:firstLine="539"/>
        <w:rPr>
          <w:rFonts w:asciiTheme="minorEastAsia" w:hAnsiTheme="minorEastAsia" w:cstheme="minorEastAsia"/>
          <w:sz w:val="24"/>
        </w:rPr>
      </w:pPr>
      <w:r>
        <w:rPr>
          <w:rFonts w:asciiTheme="minorEastAsia" w:hAnsiTheme="minorEastAsia" w:cstheme="minorEastAsia" w:hint="eastAsia"/>
          <w:sz w:val="24"/>
        </w:rPr>
        <w:t>监事的任期每届为三年。监事任期届满，连选可以连任。</w:t>
      </w:r>
    </w:p>
    <w:p w14:paraId="5FEB782E" w14:textId="77777777" w:rsidR="00743C89" w:rsidRDefault="000F5B55">
      <w:pPr>
        <w:numPr>
          <w:ilvl w:val="0"/>
          <w:numId w:val="1"/>
        </w:numPr>
        <w:tabs>
          <w:tab w:val="left" w:pos="0"/>
          <w:tab w:val="left" w:pos="1440"/>
          <w:tab w:val="left" w:pos="2040"/>
        </w:tabs>
        <w:spacing w:line="480" w:lineRule="exact"/>
        <w:ind w:left="0" w:firstLine="539"/>
        <w:rPr>
          <w:rFonts w:asciiTheme="minorEastAsia" w:hAnsiTheme="minorEastAsia" w:cstheme="minorEastAsia"/>
          <w:sz w:val="24"/>
        </w:rPr>
      </w:pPr>
      <w:r>
        <w:rPr>
          <w:rFonts w:asciiTheme="minorEastAsia" w:hAnsiTheme="minorEastAsia" w:cstheme="minorEastAsia" w:hint="eastAsia"/>
          <w:sz w:val="24"/>
        </w:rPr>
        <w:t>监事任期届满未及时改选，或者监事在任期内辞职导致监事会成员低于法定人数的，在改选出的监事就任前，原监事仍应当依照法律、行政法规和本章程的规定，履行监事职务。</w:t>
      </w:r>
    </w:p>
    <w:p w14:paraId="676E660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监事应当保证公司披露的信息真实、准确、完整。</w:t>
      </w:r>
    </w:p>
    <w:p w14:paraId="114E362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监事可以列席董事会会议，并对董事会决议事项提出质询或者建议。</w:t>
      </w:r>
    </w:p>
    <w:p w14:paraId="007F39F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监事不得利用其关联关系损害公司利益，若给公司造成损失的，应当承担赔偿责任。</w:t>
      </w:r>
    </w:p>
    <w:p w14:paraId="2BDEEE5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监事执行公司职务时违反法律、行政法规、部门规章或本章程的规定，给公司造成损失的，应当承担赔偿责任。</w:t>
      </w:r>
    </w:p>
    <w:p w14:paraId="2269D832"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35" w:name="_Toc1444"/>
      <w:r>
        <w:rPr>
          <w:rFonts w:asciiTheme="minorEastAsia" w:eastAsiaTheme="minorEastAsia" w:hAnsiTheme="minorEastAsia" w:cstheme="minorEastAsia" w:hint="eastAsia"/>
          <w:sz w:val="28"/>
          <w:szCs w:val="28"/>
        </w:rPr>
        <w:t>第二节　监事会</w:t>
      </w:r>
      <w:bookmarkEnd w:id="35"/>
    </w:p>
    <w:p w14:paraId="5197C6A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设监事会。监事会至少由三名监事组成，监事会设主席一人。监事会主席由全体监事过半数选举产生。监事会主席召集和主持监事会会议；监事会主席不能履行职务或者不履行职务的，由过半数监事共同推举一名监事召集和主持监事会会议。</w:t>
      </w:r>
    </w:p>
    <w:p w14:paraId="46ADA82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监事会应当包括股东代表和适当比例的公司职工代表，其中职工代表的比例不低于三分之一。监事会中的职工代表由公司职工通过职工代表大会、职工大会或者其他形式民主选举产生。</w:t>
      </w:r>
    </w:p>
    <w:p w14:paraId="0F181B3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监事会行使下列职权：</w:t>
      </w:r>
    </w:p>
    <w:p w14:paraId="2AD9A27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（一）应当对董事会编制的公司定期报告进行审核并提出书面审核意见；</w:t>
      </w:r>
    </w:p>
    <w:p w14:paraId="7A39942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（二）检查公司财务；</w:t>
      </w:r>
    </w:p>
    <w:p w14:paraId="0DF48FF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（三）对董事、高级管理人员执行公司职务的行为进行监督，对违反法律、行政法规、本章程或者股东会决议的董事、高级管理人员提出罢免的建议；</w:t>
      </w:r>
    </w:p>
    <w:p w14:paraId="7A44498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（四）当董事、高级管理人员的行为损害公司的利益时，要求董事、高级管理人员予以纠正；</w:t>
      </w:r>
    </w:p>
    <w:p w14:paraId="28C4B1F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（五）提议召开临时股东会，在董事会不履行《公司法》规定的召集和主持股东会职责时召集和主持股东会；</w:t>
      </w:r>
    </w:p>
    <w:p w14:paraId="1CECB50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（六）向股东会提出提案；</w:t>
      </w:r>
    </w:p>
    <w:p w14:paraId="3FEA05B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（七）依照《公司法》规定，对董事、高级管理人员提起诉讼；</w:t>
      </w:r>
    </w:p>
    <w:p w14:paraId="0FEA297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（八）发现公司经营情况异常，可以进行调查；必要时，可以聘请会计师事务所、律师事务所等专业机构协助其工作，费用由公司承担；</w:t>
      </w:r>
    </w:p>
    <w:p w14:paraId="2545172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（九）本章程规定或法律授予的其他职权。</w:t>
      </w:r>
    </w:p>
    <w:p w14:paraId="66967FC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监事会每六个月至少召开一次会议。监事可以提议召开临时监事会会议。紧急情况下，监事会会议可以通讯方式召开。</w:t>
      </w:r>
    </w:p>
    <w:p w14:paraId="36B1914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监事会决议应当经过半数监事通过。</w:t>
      </w:r>
    </w:p>
    <w:p w14:paraId="551EEDF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监事会制定监事会议事规则，明确监事会的议事方式和表决程序，以确保监事会的工作效率和科学决策。</w:t>
      </w:r>
    </w:p>
    <w:p w14:paraId="1E9B034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监事会议事规则作为本章程的附件，由监事会拟定，股东会批准。</w:t>
      </w:r>
    </w:p>
    <w:p w14:paraId="3BD994A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监事会应当将所议事项的决定做成会议记录，出席会议的监事应当在会议记录上签名。</w:t>
      </w:r>
    </w:p>
    <w:p w14:paraId="2527DC8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监事有权要求在会议记录上对其在会议上的发言作出某种说明性记载。监事会会议记录作为公司档案至少保存十年。</w:t>
      </w:r>
    </w:p>
    <w:p w14:paraId="0543DA13"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监事会会议通知包括以下内容：</w:t>
      </w:r>
    </w:p>
    <w:p w14:paraId="1711B2C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（一）举行会议的日期、地点和会议期限；</w:t>
      </w:r>
    </w:p>
    <w:p w14:paraId="1D03D4F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（二）事由及议题；</w:t>
      </w:r>
    </w:p>
    <w:p w14:paraId="1D002C1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（三）发出通知的日期。</w:t>
      </w:r>
    </w:p>
    <w:p w14:paraId="2EA7A0CF" w14:textId="77777777" w:rsidR="00743C89" w:rsidRDefault="00743C89">
      <w:pPr>
        <w:spacing w:line="500" w:lineRule="exact"/>
        <w:ind w:firstLineChars="200" w:firstLine="480"/>
        <w:rPr>
          <w:rFonts w:asciiTheme="minorEastAsia" w:hAnsiTheme="minorEastAsia" w:cstheme="minorEastAsia"/>
          <w:sz w:val="24"/>
        </w:rPr>
      </w:pPr>
    </w:p>
    <w:p w14:paraId="2AA75CB2"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36" w:name="_Toc261168825"/>
      <w:bookmarkStart w:id="37" w:name="_Toc25956"/>
      <w:r>
        <w:rPr>
          <w:rFonts w:asciiTheme="minorEastAsia" w:eastAsiaTheme="minorEastAsia" w:hAnsiTheme="minorEastAsia" w:cstheme="minorEastAsia" w:hint="eastAsia"/>
          <w:b/>
          <w:sz w:val="32"/>
          <w:szCs w:val="32"/>
        </w:rPr>
        <w:lastRenderedPageBreak/>
        <w:t>第八章　财务会计制度、利润分配和审计</w:t>
      </w:r>
      <w:bookmarkEnd w:id="36"/>
      <w:bookmarkEnd w:id="37"/>
    </w:p>
    <w:p w14:paraId="719BEE4E"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38" w:name="_Toc261168826"/>
      <w:bookmarkStart w:id="39" w:name="_Toc6635"/>
      <w:r>
        <w:rPr>
          <w:rFonts w:asciiTheme="minorEastAsia" w:eastAsiaTheme="minorEastAsia" w:hAnsiTheme="minorEastAsia" w:cstheme="minorEastAsia" w:hint="eastAsia"/>
          <w:sz w:val="28"/>
          <w:szCs w:val="28"/>
        </w:rPr>
        <w:t>第一节　财务会计制度</w:t>
      </w:r>
      <w:bookmarkEnd w:id="38"/>
      <w:bookmarkEnd w:id="39"/>
    </w:p>
    <w:p w14:paraId="061217C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公司依照法律、行政法规和国家有关部门的规定，制定公司的财务会计制度。</w:t>
      </w:r>
    </w:p>
    <w:p w14:paraId="7F27076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在每一会计年度结束之日起四个月内向中国证监会和证券交易所报送年度财务会计报告，在每一会计年度上半年结束之日起两个月内向广东证监局和深圳证券交易所报送并披露中期报告，在每一会计年度前三个月和前九个月结束之日起的一个月内向广东证监局和深圳证券交易所报送并披露季度报告。</w:t>
      </w:r>
    </w:p>
    <w:p w14:paraId="1754F48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上述年度报告、中期报告、季度报告按照有关法律、行政法规、中国证监会及深圳证券交易所的规定进行编制。</w:t>
      </w:r>
    </w:p>
    <w:p w14:paraId="3134E84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公司除法定的会计账簿外，将不另立会计账簿。公司的资产，不以任何个人名义开立账户存储。</w:t>
      </w:r>
    </w:p>
    <w:p w14:paraId="55BFEFD1"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40" w:name="_Toc13105"/>
      <w:r>
        <w:rPr>
          <w:rFonts w:asciiTheme="minorEastAsia" w:eastAsiaTheme="minorEastAsia" w:hAnsiTheme="minorEastAsia" w:cstheme="minorEastAsia" w:hint="eastAsia"/>
          <w:sz w:val="28"/>
          <w:szCs w:val="28"/>
        </w:rPr>
        <w:t>第二节  利润分配</w:t>
      </w:r>
      <w:bookmarkEnd w:id="40"/>
    </w:p>
    <w:p w14:paraId="3F6000B7"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公司分配当年税后利润时，应当提取利润的10%列入公司法定公积金。公司法定公积金累计额为公司注册资本的50%以上的，可以不再提取。</w:t>
      </w:r>
    </w:p>
    <w:p w14:paraId="6108338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公司的法定公积金不足以弥补以前年度亏损的，在依照前款规定提取法定公积金之前，应当先用当年利润弥补亏损。</w:t>
      </w:r>
    </w:p>
    <w:p w14:paraId="12AD09E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公司从税后利润中提取法定公积金后，经股东会决议，还可以从税后利润中提取任意公积金。</w:t>
      </w:r>
    </w:p>
    <w:p w14:paraId="13627AB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公司弥补亏损和提取公积金后所余税后利润，按照股东持有的股份比例分配，但本章程规定不按持股比例分配的除外。</w:t>
      </w:r>
    </w:p>
    <w:p w14:paraId="440A084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股东会违反前款规定，在公司弥补亏损和提取法定公积金之前向股东分配利润的，股东必须将违反规定分配的利润退还公司。</w:t>
      </w:r>
    </w:p>
    <w:p w14:paraId="4FED8C06"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公司持有的本公司股份不参与分配利润。</w:t>
      </w:r>
    </w:p>
    <w:p w14:paraId="6721AD6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公司的公积金用于弥补公司的亏损、扩大公司生产经营或者转为增加公</w:t>
      </w:r>
      <w:r>
        <w:rPr>
          <w:rFonts w:asciiTheme="minorEastAsia" w:hAnsiTheme="minorEastAsia" w:cstheme="minorEastAsia" w:hint="eastAsia"/>
          <w:sz w:val="24"/>
        </w:rPr>
        <w:lastRenderedPageBreak/>
        <w:t>司资本。但是，资本公积金将不用于弥补公司的亏损。</w:t>
      </w:r>
    </w:p>
    <w:p w14:paraId="12061F7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法定公积金转为资本时，所留存的该项公积金将不少于转增前公司注册资本的25%。</w:t>
      </w:r>
    </w:p>
    <w:p w14:paraId="0FF2B47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公司股东会对利润分配方案作出决议后，公司董事会须在股东会召开后二个月内完成股利（或股份）的派发事项。</w:t>
      </w:r>
    </w:p>
    <w:p w14:paraId="35B9936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公司利润分配政策如下：</w:t>
      </w:r>
    </w:p>
    <w:p w14:paraId="71B4C364"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（一）利润分配的原则</w:t>
      </w:r>
    </w:p>
    <w:p w14:paraId="547F5B3F"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公司以重视对投资者的合理投资回报并兼顾公司的可持续发展为原则，结合公司的盈利情况和业务未来发展战略的实际需要，建立对投资者持续、稳定和多样化的回报机制。</w:t>
      </w:r>
    </w:p>
    <w:p w14:paraId="72A1DD10"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（二）利润分配的形式</w:t>
      </w:r>
    </w:p>
    <w:p w14:paraId="5A261E8D"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将采取现金或者股票或者现金与股票相结合或者法律、行政法规允许的其他方式分配利润。在符合现金分红的条件下，公司应当优先采取现金分红的方式进行利润分配。在有条件的情况下，公司可以进行中期现金分红。</w:t>
      </w:r>
    </w:p>
    <w:p w14:paraId="244DBF3C"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（三）利润分配的具体实施</w:t>
      </w:r>
    </w:p>
    <w:p w14:paraId="14E49AE8"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1.在同时满足以下条件时，公司可实施现金分红：</w:t>
      </w:r>
    </w:p>
    <w:p w14:paraId="21177DB1"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（1）公司该年度实现的可分配利润（即公司弥补亏损、提取公积金后所余的税后利润）为正值；</w:t>
      </w:r>
    </w:p>
    <w:p w14:paraId="1D3DA6C0"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（2）审计机构对公司该年度财务报告出具标准无保留意见的审计报告。</w:t>
      </w:r>
    </w:p>
    <w:p w14:paraId="6132D71C"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2.公司董事会应当综合考虑所处行业特点、发展阶段、自身经营模式、盈利水平以及是否有重大资金支出安排等因素，区分下列情形，并按照公司章程规定的程序，提出差异化的现金分红政策：</w:t>
      </w:r>
    </w:p>
    <w:p w14:paraId="76733252"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（1）公司发展阶段属成熟期且无重大资金支出安排的，进行利润分配时，现金分红在本次利润分配中所占比例最低应达到80%；</w:t>
      </w:r>
    </w:p>
    <w:p w14:paraId="3C5E7C3C"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（2）公司发展阶段属成熟期且有重大资金支出安排的，进行利润分配时，现金分红在本次利润分配中所占比例最低应达到40%；</w:t>
      </w:r>
    </w:p>
    <w:p w14:paraId="0FD0DACC"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（3）公司发展阶段属成长期且有重大资金支出安排的，进行利润分配时，现金分红在本次利润分配中所占比例最低应达到20%；</w:t>
      </w:r>
    </w:p>
    <w:p w14:paraId="5A668525"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（4）公司发展阶段不易区分但有重大资金支出安排的，可以按照前款规定处理。</w:t>
      </w:r>
    </w:p>
    <w:p w14:paraId="2A0ECFC2"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公司应当每年度采取现金方式分配股利，以现金方式分配的股利不少于当年实现的可分配利润的10%。</w:t>
      </w:r>
    </w:p>
    <w:p w14:paraId="15450DDC"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lastRenderedPageBreak/>
        <w:t>重大资金支出是指：公司未来十二个月内拟对外投资、收购资产或购买设备的累计支出超过公司最近一期经审计总资产的30%；或公司未来十二个月内拟对外投资、收购资产或购买设备的累计支出达到或超过公司最近一期经审计净资产50%，且绝对金额超过3,000万元。该交易涉及的资产总额同时存在账面值和评估值的，以较高者作为计算数据。</w:t>
      </w:r>
    </w:p>
    <w:p w14:paraId="1531763C"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3、公司业绩增长快速、经营情况良好且董事会认为公司股票价格与公司股本规模不匹配、发放股票股利有利于公司全体股东整体利益时，可以在满足现金分红的条件下，由公司董事会综合考虑公司成长性、每股净资产的摊薄等因素提出并实施股票股利分配方案。</w:t>
      </w:r>
    </w:p>
    <w:p w14:paraId="25918FF3"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4、公司利润分配不得超过累计可分配利润的范围，不得损害公司持续经营能力。</w:t>
      </w:r>
    </w:p>
    <w:p w14:paraId="43474E93"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5、存在股东违规占用资金情况的，公司有权扣减该股东所分配的现金红利，以偿还其占用的资金。</w:t>
      </w:r>
    </w:p>
    <w:p w14:paraId="78E5E7E6"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（四）公司利润分配的决策机制</w:t>
      </w:r>
    </w:p>
    <w:p w14:paraId="7DF8141F"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公司每年利润分配预案由公司董事会结合法律、行政法规和本章程的规定、公司盈利情况、资金状况提出和拟定，经董事会审议通过并经半数以上独立董事同意后提请股东会审议。</w:t>
      </w:r>
    </w:p>
    <w:p w14:paraId="3128D323"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董事会审议现金分红具体方案时，应当认真研究和论证公司现金分红的时机、条件和最低比例、调整的条件及其决策程序要求等事宜。</w:t>
      </w:r>
    </w:p>
    <w:p w14:paraId="0638B285"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独立董事可以征集中小股东的意见，提出分红提案，并直接提交董事会审议。</w:t>
      </w:r>
    </w:p>
    <w:p w14:paraId="482552C3"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对现金分红具体方案进行审议时，应当通过多种渠道主动与股东特别是中小股东进行沟通和交流（包括但不限于提供网络投票表决、邀请中小股东参会等），充分听取中小股东的意见和诉求，并及时答复中小股东关心的问题。</w:t>
      </w:r>
    </w:p>
    <w:p w14:paraId="5AE4D064"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在当年满足现金分红条件情况下，董事会未提出以现金方式进行利润分配预案的，还应说明原因并在年度报告中披露原因、公司留存资金的使用计划和安排；在召开股东会时，公司还应当提供网络投票等方式以方便中小股东参与股东会表决。</w:t>
      </w:r>
    </w:p>
    <w:p w14:paraId="15211225" w14:textId="77777777" w:rsidR="00743C89" w:rsidRDefault="000F5B55">
      <w:p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股东会应根据法律、行政法规和本章程的规定对董事会提出的利润分配预案进行表决。</w:t>
      </w:r>
    </w:p>
    <w:p w14:paraId="488F94CB"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公司利润分配政策的调整机制：</w:t>
      </w:r>
    </w:p>
    <w:p w14:paraId="6C76D7D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如遇战争、自然灾害等不可抗力，或者公司生产经营情况、投资规划和长期发展或因外部经营环境、自身经营状况发生较大变化，或者有权部门下发利润分配相关新规定的情况，需要调整或变更利润分配政策和股东回报规划的，调整或变更后的利润分配政策和股东回报规划不得违反相关法律、行政法规、部门规章及本章程的有关规定。</w:t>
      </w:r>
    </w:p>
    <w:p w14:paraId="474C11C1"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公司有关调整或变更利润分配政策和股东回报规划的议案需经董事会详细论证并充分考</w:t>
      </w:r>
      <w:r>
        <w:rPr>
          <w:rFonts w:asciiTheme="minorEastAsia" w:hAnsiTheme="minorEastAsia" w:cstheme="minorEastAsia" w:hint="eastAsia"/>
          <w:sz w:val="24"/>
        </w:rPr>
        <w:lastRenderedPageBreak/>
        <w:t>虑监事会和公众投资者的意见，独立董事应发表独立意见。该议案经公司董事会审议通过、独立董事发表独立意见后提交股东会特别决议审议通过。在股东会审议该议案时，应当提供网络投票表决等方式为社会公众股东参加股东会提供便利。</w:t>
      </w:r>
    </w:p>
    <w:p w14:paraId="4C51E311"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41" w:name="_Toc27710"/>
      <w:bookmarkStart w:id="42" w:name="_Toc261168827"/>
      <w:r>
        <w:rPr>
          <w:rFonts w:asciiTheme="minorEastAsia" w:eastAsiaTheme="minorEastAsia" w:hAnsiTheme="minorEastAsia" w:cstheme="minorEastAsia" w:hint="eastAsia"/>
          <w:sz w:val="28"/>
          <w:szCs w:val="28"/>
        </w:rPr>
        <w:t>第三节　内部审计</w:t>
      </w:r>
      <w:bookmarkEnd w:id="41"/>
      <w:bookmarkEnd w:id="42"/>
    </w:p>
    <w:p w14:paraId="2235875B"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公司实行内部审计制度，配备专职审计人员，对公司财务收支和经济活动进行内部审计监督。</w:t>
      </w:r>
    </w:p>
    <w:p w14:paraId="7846C1A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公司内部审计制度和审计人员的职责，应当经董事会批准后实施。审计负责人向董事会负责并报告工作。</w:t>
      </w:r>
    </w:p>
    <w:p w14:paraId="4D7F2F74"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43" w:name="_Toc261168828"/>
      <w:bookmarkStart w:id="44" w:name="_Toc30255"/>
      <w:r>
        <w:rPr>
          <w:rFonts w:asciiTheme="minorEastAsia" w:eastAsiaTheme="minorEastAsia" w:hAnsiTheme="minorEastAsia" w:cstheme="minorEastAsia" w:hint="eastAsia"/>
          <w:sz w:val="28"/>
          <w:szCs w:val="28"/>
        </w:rPr>
        <w:t>第四节　会计师事务所的聘任</w:t>
      </w:r>
      <w:bookmarkEnd w:id="43"/>
      <w:bookmarkEnd w:id="44"/>
    </w:p>
    <w:p w14:paraId="234C599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公司聘用符合《证券法》规定的会计师事务所进行会计报表审计、净资产验证及其他相关的咨询服务等业务，聘期一年，可以续聘。</w:t>
      </w:r>
    </w:p>
    <w:p w14:paraId="4316F27E" w14:textId="77777777" w:rsidR="00743C89" w:rsidRDefault="000F5B55">
      <w:pPr>
        <w:numPr>
          <w:ilvl w:val="0"/>
          <w:numId w:val="1"/>
        </w:numPr>
        <w:tabs>
          <w:tab w:val="left" w:pos="0"/>
          <w:tab w:val="left" w:pos="1440"/>
          <w:tab w:val="left" w:pos="252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公司聘用会计师事务所必须由股东会决定，董事会不得在股东会决定前委任会计师事务所。</w:t>
      </w:r>
    </w:p>
    <w:p w14:paraId="62619B6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公司保证向聘用的会计师事务所提供真实、完整的会计凭证、会计账簿、财务会计报告及其他会计资料，不得拒绝、隐匿、谎报。</w:t>
      </w:r>
    </w:p>
    <w:p w14:paraId="55945B4B"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会计师事务所的审计费用由股东会决定。</w:t>
      </w:r>
    </w:p>
    <w:p w14:paraId="377F3D0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公司解聘或者不再续聘会计师事务所时，提前15天通知会计师事务所，公司股东会就解聘会计师事务所进行表决时，允许会计师事务所陈述意见。</w:t>
      </w:r>
    </w:p>
    <w:p w14:paraId="705C44B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会计师事务所提出辞聘的，应当向股东会说明公司有无不当情形。</w:t>
      </w:r>
    </w:p>
    <w:p w14:paraId="1EC40814"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45" w:name="_Toc261168829"/>
      <w:bookmarkStart w:id="46" w:name="_Toc11778"/>
      <w:r>
        <w:rPr>
          <w:rFonts w:asciiTheme="minorEastAsia" w:eastAsiaTheme="minorEastAsia" w:hAnsiTheme="minorEastAsia" w:cstheme="minorEastAsia" w:hint="eastAsia"/>
          <w:b/>
          <w:sz w:val="32"/>
          <w:szCs w:val="32"/>
        </w:rPr>
        <w:t>第九章　通知</w:t>
      </w:r>
      <w:bookmarkEnd w:id="45"/>
      <w:r>
        <w:rPr>
          <w:rFonts w:asciiTheme="minorEastAsia" w:eastAsiaTheme="minorEastAsia" w:hAnsiTheme="minorEastAsia" w:cstheme="minorEastAsia" w:hint="eastAsia"/>
          <w:b/>
          <w:sz w:val="32"/>
          <w:szCs w:val="32"/>
        </w:rPr>
        <w:t>和公告</w:t>
      </w:r>
      <w:bookmarkEnd w:id="46"/>
    </w:p>
    <w:p w14:paraId="6176AFB8"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47" w:name="_Toc26310"/>
      <w:r>
        <w:rPr>
          <w:rFonts w:asciiTheme="minorEastAsia" w:eastAsiaTheme="minorEastAsia" w:hAnsiTheme="minorEastAsia" w:cstheme="minorEastAsia" w:hint="eastAsia"/>
          <w:sz w:val="28"/>
          <w:szCs w:val="28"/>
        </w:rPr>
        <w:t>第一节　通知</w:t>
      </w:r>
      <w:bookmarkEnd w:id="47"/>
    </w:p>
    <w:p w14:paraId="2140187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bookmarkStart w:id="48" w:name="_Ref422068121"/>
      <w:r>
        <w:rPr>
          <w:rFonts w:asciiTheme="minorEastAsia" w:hAnsiTheme="minorEastAsia" w:cstheme="minorEastAsia" w:hint="eastAsia"/>
          <w:sz w:val="24"/>
        </w:rPr>
        <w:t>公司的通知以下列形式发出：</w:t>
      </w:r>
      <w:bookmarkEnd w:id="48"/>
    </w:p>
    <w:p w14:paraId="32F82371" w14:textId="77777777" w:rsidR="00743C89" w:rsidRDefault="000F5B55">
      <w:pPr>
        <w:numPr>
          <w:ilvl w:val="0"/>
          <w:numId w:val="3"/>
        </w:numPr>
        <w:spacing w:line="500" w:lineRule="exact"/>
        <w:rPr>
          <w:rFonts w:asciiTheme="minorEastAsia" w:hAnsiTheme="minorEastAsia" w:cstheme="minorEastAsia"/>
          <w:sz w:val="24"/>
        </w:rPr>
      </w:pPr>
      <w:r>
        <w:rPr>
          <w:rFonts w:asciiTheme="minorEastAsia" w:hAnsiTheme="minorEastAsia" w:cstheme="minorEastAsia" w:hint="eastAsia"/>
          <w:sz w:val="24"/>
        </w:rPr>
        <w:t>公告方式；</w:t>
      </w:r>
    </w:p>
    <w:p w14:paraId="74746A15" w14:textId="77777777" w:rsidR="00743C89" w:rsidRDefault="000F5B55">
      <w:pPr>
        <w:numPr>
          <w:ilvl w:val="0"/>
          <w:numId w:val="3"/>
        </w:numPr>
        <w:spacing w:line="500" w:lineRule="exact"/>
        <w:rPr>
          <w:rFonts w:asciiTheme="minorEastAsia" w:hAnsiTheme="minorEastAsia" w:cstheme="minorEastAsia"/>
          <w:sz w:val="24"/>
        </w:rPr>
      </w:pPr>
      <w:r>
        <w:rPr>
          <w:rFonts w:asciiTheme="minorEastAsia" w:hAnsiTheme="minorEastAsia" w:cstheme="minorEastAsia" w:hint="eastAsia"/>
          <w:sz w:val="24"/>
        </w:rPr>
        <w:lastRenderedPageBreak/>
        <w:t>以专人送出；</w:t>
      </w:r>
    </w:p>
    <w:p w14:paraId="3116A523" w14:textId="77777777" w:rsidR="00743C89" w:rsidRDefault="000F5B55">
      <w:pPr>
        <w:numPr>
          <w:ilvl w:val="0"/>
          <w:numId w:val="3"/>
        </w:numPr>
        <w:spacing w:line="500" w:lineRule="exact"/>
        <w:rPr>
          <w:rFonts w:asciiTheme="minorEastAsia" w:hAnsiTheme="minorEastAsia" w:cstheme="minorEastAsia"/>
          <w:sz w:val="24"/>
        </w:rPr>
      </w:pPr>
      <w:r>
        <w:rPr>
          <w:rFonts w:asciiTheme="minorEastAsia" w:hAnsiTheme="minorEastAsia" w:cstheme="minorEastAsia" w:hint="eastAsia"/>
          <w:sz w:val="24"/>
        </w:rPr>
        <w:t>以邮件方式送出；</w:t>
      </w:r>
    </w:p>
    <w:p w14:paraId="4CC9ECC8" w14:textId="77777777" w:rsidR="00743C89" w:rsidRDefault="000F5B55">
      <w:pPr>
        <w:numPr>
          <w:ilvl w:val="0"/>
          <w:numId w:val="3"/>
        </w:numPr>
        <w:spacing w:line="500" w:lineRule="exact"/>
        <w:rPr>
          <w:rFonts w:asciiTheme="minorEastAsia" w:hAnsiTheme="minorEastAsia" w:cstheme="minorEastAsia"/>
          <w:sz w:val="24"/>
        </w:rPr>
      </w:pPr>
      <w:r>
        <w:rPr>
          <w:rFonts w:asciiTheme="minorEastAsia" w:hAnsiTheme="minorEastAsia" w:cstheme="minorEastAsia" w:hint="eastAsia"/>
          <w:sz w:val="24"/>
        </w:rPr>
        <w:t>以电子邮件方式送出；</w:t>
      </w:r>
    </w:p>
    <w:p w14:paraId="798D8FEA" w14:textId="77777777" w:rsidR="00743C89" w:rsidRDefault="000F5B55">
      <w:pPr>
        <w:numPr>
          <w:ilvl w:val="0"/>
          <w:numId w:val="3"/>
        </w:numPr>
        <w:spacing w:line="500" w:lineRule="exact"/>
        <w:rPr>
          <w:rFonts w:asciiTheme="minorEastAsia" w:hAnsiTheme="minorEastAsia" w:cstheme="minorEastAsia"/>
          <w:sz w:val="24"/>
        </w:rPr>
      </w:pPr>
      <w:r>
        <w:rPr>
          <w:rFonts w:asciiTheme="minorEastAsia" w:hAnsiTheme="minorEastAsia" w:cstheme="minorEastAsia" w:hint="eastAsia"/>
          <w:sz w:val="24"/>
        </w:rPr>
        <w:t>以传真、数据电文方式进行；</w:t>
      </w:r>
    </w:p>
    <w:p w14:paraId="46D70D5A" w14:textId="77777777" w:rsidR="00743C89" w:rsidRDefault="000F5B55">
      <w:pPr>
        <w:numPr>
          <w:ilvl w:val="0"/>
          <w:numId w:val="3"/>
        </w:numPr>
        <w:spacing w:line="500" w:lineRule="exact"/>
        <w:rPr>
          <w:rFonts w:asciiTheme="minorEastAsia" w:hAnsiTheme="minorEastAsia" w:cstheme="minorEastAsia"/>
          <w:sz w:val="24"/>
        </w:rPr>
      </w:pPr>
      <w:r>
        <w:rPr>
          <w:rFonts w:asciiTheme="minorEastAsia" w:hAnsiTheme="minorEastAsia" w:cstheme="minorEastAsia" w:hint="eastAsia"/>
          <w:sz w:val="24"/>
        </w:rPr>
        <w:t>以电话、短信等即时通讯方式进行；</w:t>
      </w:r>
    </w:p>
    <w:p w14:paraId="5BD1CEED" w14:textId="77777777" w:rsidR="00743C89" w:rsidRDefault="000F5B55">
      <w:pPr>
        <w:numPr>
          <w:ilvl w:val="0"/>
          <w:numId w:val="3"/>
        </w:numPr>
        <w:spacing w:line="500" w:lineRule="exact"/>
        <w:rPr>
          <w:rFonts w:asciiTheme="minorEastAsia" w:hAnsiTheme="minorEastAsia" w:cstheme="minorEastAsia"/>
          <w:sz w:val="24"/>
        </w:rPr>
      </w:pPr>
      <w:r>
        <w:rPr>
          <w:rFonts w:asciiTheme="minorEastAsia" w:hAnsiTheme="minorEastAsia" w:cstheme="minorEastAsia" w:hint="eastAsia"/>
          <w:sz w:val="24"/>
        </w:rPr>
        <w:t>本章程规定的其他形式。</w:t>
      </w:r>
    </w:p>
    <w:p w14:paraId="729E0FC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公司发出的通知，以公告方式进行的，一经公告，视为所有相关人员收到通知。</w:t>
      </w:r>
    </w:p>
    <w:p w14:paraId="34D1234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公司召开股东会的会议通知，以本章程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REF _Ref422068121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第一百七十一条 </w:t>
      </w:r>
      <w:r>
        <w:rPr>
          <w:rFonts w:asciiTheme="minorEastAsia" w:hAnsiTheme="minorEastAsia" w:cstheme="minorEastAsia" w:hint="eastAsia"/>
          <w:sz w:val="24"/>
        </w:rPr>
        <w:fldChar w:fldCharType="end"/>
      </w:r>
      <w:r>
        <w:rPr>
          <w:rFonts w:asciiTheme="minorEastAsia" w:hAnsiTheme="minorEastAsia" w:cstheme="minorEastAsia" w:hint="eastAsia"/>
          <w:sz w:val="24"/>
        </w:rPr>
        <w:t>规定的方式中的一种或几种进行。但对于股东会临时会议，本章程另有规定的除外。</w:t>
      </w:r>
    </w:p>
    <w:p w14:paraId="56436C1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公司召开董事会的会议通知，以本章程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REF _Ref422068121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第一百七十一条 </w:t>
      </w:r>
      <w:r>
        <w:rPr>
          <w:rFonts w:asciiTheme="minorEastAsia" w:hAnsiTheme="minorEastAsia" w:cstheme="minorEastAsia" w:hint="eastAsia"/>
          <w:sz w:val="24"/>
        </w:rPr>
        <w:fldChar w:fldCharType="end"/>
      </w:r>
      <w:r>
        <w:rPr>
          <w:rFonts w:asciiTheme="minorEastAsia" w:hAnsiTheme="minorEastAsia" w:cstheme="minorEastAsia" w:hint="eastAsia"/>
          <w:sz w:val="24"/>
        </w:rPr>
        <w:t>规定的方式中的一种或几种进行。但对于董事会临时会议，本章程另有规定的除外。</w:t>
      </w:r>
    </w:p>
    <w:p w14:paraId="73961CD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公司召开监事会的会议通知，以本章程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REF _Ref422068121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第一百七十一条 </w:t>
      </w:r>
      <w:r>
        <w:rPr>
          <w:rFonts w:asciiTheme="minorEastAsia" w:hAnsiTheme="minorEastAsia" w:cstheme="minorEastAsia" w:hint="eastAsia"/>
          <w:sz w:val="24"/>
        </w:rPr>
        <w:fldChar w:fldCharType="end"/>
      </w:r>
      <w:r>
        <w:rPr>
          <w:rFonts w:asciiTheme="minorEastAsia" w:hAnsiTheme="minorEastAsia" w:cstheme="minorEastAsia" w:hint="eastAsia"/>
          <w:sz w:val="24"/>
        </w:rPr>
        <w:t>规定的方式中的一种或几种进行。但对于监事会临时会议，本章程另有规定的除外。</w:t>
      </w:r>
    </w:p>
    <w:p w14:paraId="60DC912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通知以公告方式送出的，第一次公告刊登日为送达日期。公司通知以专人送出的，由被送达人在送达回执上签名（或盖章），被送达人签收日期为送达日期；公司通知以邮件送出的，自交付邮局之日起第七个工作日为送达日期；公司以电子邮件方式送出的，以电子邮件发出当日为送达日期；公司通知以传真、数据电文、电话、短信等即时通讯方式送出的，一经发送成功，视为所有相关人员收到通知。</w:t>
      </w:r>
    </w:p>
    <w:p w14:paraId="08B9A8E4" w14:textId="77777777" w:rsidR="00743C89" w:rsidRDefault="000F5B55">
      <w:pPr>
        <w:numPr>
          <w:ilvl w:val="0"/>
          <w:numId w:val="1"/>
        </w:numPr>
        <w:tabs>
          <w:tab w:val="left" w:pos="0"/>
          <w:tab w:val="left" w:pos="1440"/>
          <w:tab w:val="left" w:pos="252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因意外遗漏未向某有权得到通知的人送出会议通知或者该等人没有收到会议通知，会议及会议作出的决议并不因此无效。</w:t>
      </w:r>
    </w:p>
    <w:p w14:paraId="5590E1E2"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49" w:name="_Toc14389"/>
      <w:r>
        <w:rPr>
          <w:rFonts w:asciiTheme="minorEastAsia" w:eastAsiaTheme="minorEastAsia" w:hAnsiTheme="minorEastAsia" w:cstheme="minorEastAsia" w:hint="eastAsia"/>
          <w:sz w:val="28"/>
          <w:szCs w:val="28"/>
        </w:rPr>
        <w:t>第二节　公告</w:t>
      </w:r>
      <w:bookmarkEnd w:id="49"/>
    </w:p>
    <w:p w14:paraId="6E988E90" w14:textId="77777777" w:rsidR="00743C89" w:rsidRDefault="000F5B55">
      <w:pPr>
        <w:numPr>
          <w:ilvl w:val="0"/>
          <w:numId w:val="1"/>
        </w:numPr>
        <w:tabs>
          <w:tab w:val="left" w:pos="0"/>
          <w:tab w:val="left" w:pos="1440"/>
          <w:tab w:val="left" w:pos="252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公司指定符合中国证监会规定条件的信息披露报纸和巨潮资讯网（www.cninfo.com.cn）为刊登公司公告和其他需要披露信息的媒体。</w:t>
      </w:r>
    </w:p>
    <w:p w14:paraId="6DA22F28"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50" w:name="_Toc261168830"/>
      <w:bookmarkStart w:id="51" w:name="_Toc15207"/>
      <w:r>
        <w:rPr>
          <w:rFonts w:asciiTheme="minorEastAsia" w:eastAsiaTheme="minorEastAsia" w:hAnsiTheme="minorEastAsia" w:cstheme="minorEastAsia" w:hint="eastAsia"/>
          <w:b/>
          <w:sz w:val="32"/>
          <w:szCs w:val="32"/>
        </w:rPr>
        <w:lastRenderedPageBreak/>
        <w:t>第十章　合并、分立、增资、减资、解散和清算</w:t>
      </w:r>
      <w:bookmarkEnd w:id="50"/>
      <w:bookmarkEnd w:id="51"/>
    </w:p>
    <w:p w14:paraId="01F813B0"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52" w:name="_Toc261168831"/>
      <w:bookmarkStart w:id="53" w:name="_Toc19267"/>
      <w:r>
        <w:rPr>
          <w:rFonts w:asciiTheme="minorEastAsia" w:eastAsiaTheme="minorEastAsia" w:hAnsiTheme="minorEastAsia" w:cstheme="minorEastAsia" w:hint="eastAsia"/>
          <w:sz w:val="28"/>
          <w:szCs w:val="28"/>
        </w:rPr>
        <w:t>第一节　合并、分立、增资和减资</w:t>
      </w:r>
      <w:bookmarkEnd w:id="52"/>
      <w:bookmarkEnd w:id="53"/>
    </w:p>
    <w:p w14:paraId="2517E7A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公司合并可以采取吸收合并或者新设合并。</w:t>
      </w:r>
    </w:p>
    <w:p w14:paraId="211FE68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一个公司吸收其他公司为吸收合并，被吸收的公司解散。两个以上公司合并设立一个新的公司为新设合并，合并各方解散。</w:t>
      </w:r>
    </w:p>
    <w:p w14:paraId="5FDB1A7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合并，应当由合并各方签订合并协议，并编制资产负债表及财产清单。公司应当自作出合并决议之日起十日内通知债权人，并于三十日内在本章程指定的报纸上公告。债权人自接到通知书之日起三十日内，未接到通知书的自公告之日起四十五日内，可以要求公司清偿债务或者提供相应的担保。</w:t>
      </w:r>
    </w:p>
    <w:p w14:paraId="7392154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公司合并时，合并各方的债权、债务，由合并后存续的公司或者新设的公司承继。</w:t>
      </w:r>
    </w:p>
    <w:p w14:paraId="46470F6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公司分立，其财产作相应的分割。</w:t>
      </w:r>
    </w:p>
    <w:p w14:paraId="2F2778C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公司分立，应当编制资产负债表及财产清单。公司应当自作出分立决议之日起十日内通知债权人，并于三十日内在本章程指定的报纸上公告。</w:t>
      </w:r>
    </w:p>
    <w:p w14:paraId="18513C44"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公司分立前的债务由分立后的公司承担连带责任。但是，公司在分立前与债权人就债务清偿达成的书面协议另有约定的除外。</w:t>
      </w:r>
    </w:p>
    <w:p w14:paraId="7F81CB9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公司需要减少注册资本时，必须编制资产负债表及财产清单。</w:t>
      </w:r>
    </w:p>
    <w:p w14:paraId="316CB70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应当自作出减少注册资本决议之日起十日内通知债权人，并于三十日内在本章程指定的报纸上公告。债权人自接到通知书之日起三十日内，未接到通知书的自公告之日起四十五日内，有权要求公司清偿债务或者提供相应的担保。</w:t>
      </w:r>
    </w:p>
    <w:p w14:paraId="15A4793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公司减资后的注册资本将不低于法定的最低限额。</w:t>
      </w:r>
    </w:p>
    <w:p w14:paraId="3A5E46B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公司合并或者分立，登记事项发生变更的，应当依法向公司登记机关办理变更登记；公司解散的，应当依法办理公司注销登记；设立新公司的，应当依法办理公司设立登记。</w:t>
      </w:r>
    </w:p>
    <w:p w14:paraId="2A9D795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公司增加或者减少注册资本，应当依法向公司登记机关办理变更登记。</w:t>
      </w:r>
    </w:p>
    <w:p w14:paraId="15457F5A" w14:textId="77777777" w:rsidR="00743C89" w:rsidRDefault="000F5B55">
      <w:pPr>
        <w:pStyle w:val="af0"/>
        <w:spacing w:before="360" w:after="360" w:line="500" w:lineRule="exact"/>
        <w:outlineLvl w:val="1"/>
        <w:rPr>
          <w:rFonts w:asciiTheme="minorEastAsia" w:eastAsiaTheme="minorEastAsia" w:hAnsiTheme="minorEastAsia" w:cstheme="minorEastAsia"/>
          <w:sz w:val="28"/>
          <w:szCs w:val="28"/>
        </w:rPr>
      </w:pPr>
      <w:bookmarkStart w:id="54" w:name="_Toc261168832"/>
      <w:bookmarkStart w:id="55" w:name="_Toc3977"/>
      <w:r>
        <w:rPr>
          <w:rFonts w:asciiTheme="minorEastAsia" w:eastAsiaTheme="minorEastAsia" w:hAnsiTheme="minorEastAsia" w:cstheme="minorEastAsia" w:hint="eastAsia"/>
          <w:sz w:val="28"/>
          <w:szCs w:val="28"/>
        </w:rPr>
        <w:lastRenderedPageBreak/>
        <w:t>第二节　解散和清算</w:t>
      </w:r>
      <w:bookmarkEnd w:id="54"/>
      <w:bookmarkEnd w:id="55"/>
    </w:p>
    <w:p w14:paraId="26335545"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bookmarkStart w:id="56" w:name="_Ref422068546"/>
      <w:r>
        <w:rPr>
          <w:rFonts w:asciiTheme="minorEastAsia" w:hAnsiTheme="minorEastAsia" w:cstheme="minorEastAsia" w:hint="eastAsia"/>
          <w:sz w:val="24"/>
        </w:rPr>
        <w:t>公司因下列原因解散：</w:t>
      </w:r>
      <w:bookmarkEnd w:id="56"/>
    </w:p>
    <w:p w14:paraId="1A5B0D0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（一）本章程规定的营业期限届满或者本章程规定的其他解散事由出现；</w:t>
      </w:r>
    </w:p>
    <w:p w14:paraId="320FEB5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（二）股东会决议解散；</w:t>
      </w:r>
    </w:p>
    <w:p w14:paraId="27C5012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（三）因公司合并或者分立需要解散；</w:t>
      </w:r>
    </w:p>
    <w:p w14:paraId="4BC977F4"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（四）依法被吊销营业执照、责令关闭或者被撤销；</w:t>
      </w:r>
    </w:p>
    <w:p w14:paraId="0B0B961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（五）公司经营管理发生严重困难，继续存续会使股东利益受到重大损失，通过其他途径不能解决的，持有公司全部股东表决权10%以上的股东，可以请求人民法院解散公司。</w:t>
      </w:r>
    </w:p>
    <w:p w14:paraId="568AEBDE"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公司有本章程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 REF _Ref422068546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第一百八十六条 </w:t>
      </w:r>
      <w:r>
        <w:rPr>
          <w:rFonts w:asciiTheme="minorEastAsia" w:hAnsiTheme="minorEastAsia" w:cstheme="minorEastAsia" w:hint="eastAsia"/>
          <w:sz w:val="24"/>
        </w:rPr>
        <w:fldChar w:fldCharType="end"/>
      </w:r>
      <w:r>
        <w:rPr>
          <w:rFonts w:asciiTheme="minorEastAsia" w:hAnsiTheme="minorEastAsia" w:cstheme="minorEastAsia" w:hint="eastAsia"/>
          <w:sz w:val="24"/>
        </w:rPr>
        <w:t>第一项、第二项情形的，且尚未向股东分配财产的，可以通过修改本章程或者经股东会决议而存续。</w:t>
      </w:r>
    </w:p>
    <w:p w14:paraId="2A877DD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依照前款规定修改本章程或者经股东会决议，须经出席股东会会议的股东所持表决权的三分之二以上通过。</w:t>
      </w:r>
    </w:p>
    <w:p w14:paraId="7789BC4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公司因本章程</w:t>
      </w: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REF _Ref422068546 \r \h \* MERGEFORMAT </w:instrText>
      </w:r>
      <w:r>
        <w:rPr>
          <w:rFonts w:asciiTheme="minorEastAsia" w:hAnsiTheme="minorEastAsia" w:cstheme="minorEastAsia" w:hint="eastAsia"/>
          <w:sz w:val="24"/>
        </w:rPr>
      </w:r>
      <w:r>
        <w:rPr>
          <w:rFonts w:asciiTheme="minorEastAsia" w:hAnsiTheme="minorEastAsia" w:cstheme="minorEastAsia" w:hint="eastAsia"/>
          <w:sz w:val="24"/>
        </w:rPr>
        <w:fldChar w:fldCharType="separate"/>
      </w:r>
      <w:r>
        <w:rPr>
          <w:rFonts w:asciiTheme="minorEastAsia" w:hAnsiTheme="minorEastAsia" w:cstheme="minorEastAsia" w:hint="eastAsia"/>
          <w:sz w:val="24"/>
        </w:rPr>
        <w:t xml:space="preserve">第一百八十六条 </w:t>
      </w:r>
      <w:r>
        <w:rPr>
          <w:rFonts w:asciiTheme="minorEastAsia" w:hAnsiTheme="minorEastAsia" w:cstheme="minorEastAsia" w:hint="eastAsia"/>
          <w:sz w:val="24"/>
        </w:rPr>
        <w:fldChar w:fldCharType="end"/>
      </w:r>
      <w:r>
        <w:rPr>
          <w:rFonts w:asciiTheme="minorEastAsia" w:hAnsiTheme="minorEastAsia" w:cstheme="minorEastAsia" w:hint="eastAsia"/>
          <w:sz w:val="24"/>
        </w:rPr>
        <w:t>第（一）项、第（二）项、第（四）项、第（五）项规定而解散的，应当清算。董事为公司清算义务人，应当在解散事由出现之日起十五日内组成清算组进行清算。</w:t>
      </w:r>
    </w:p>
    <w:p w14:paraId="40E412FE" w14:textId="77777777" w:rsidR="00743C89" w:rsidRDefault="000F5B55">
      <w:pPr>
        <w:numPr>
          <w:ilvl w:val="255"/>
          <w:numId w:val="0"/>
        </w:numPr>
        <w:tabs>
          <w:tab w:val="left" w:pos="0"/>
          <w:tab w:val="left" w:pos="1440"/>
          <w:tab w:val="left" w:pos="2040"/>
        </w:tabs>
        <w:spacing w:line="480" w:lineRule="exact"/>
        <w:ind w:left="540"/>
        <w:rPr>
          <w:rFonts w:asciiTheme="minorEastAsia" w:hAnsiTheme="minorEastAsia" w:cstheme="minorEastAsia"/>
          <w:sz w:val="24"/>
        </w:rPr>
      </w:pPr>
      <w:r>
        <w:rPr>
          <w:rFonts w:asciiTheme="minorEastAsia" w:hAnsiTheme="minorEastAsia" w:cstheme="minorEastAsia" w:hint="eastAsia"/>
          <w:sz w:val="24"/>
        </w:rPr>
        <w:t>清算组由董事组成，但是本章程另有规定或者股东会决议另选他人的除外。</w:t>
      </w:r>
    </w:p>
    <w:p w14:paraId="4DD59902" w14:textId="77777777" w:rsidR="00743C89" w:rsidRDefault="000F5B55">
      <w:pPr>
        <w:numPr>
          <w:ilvl w:val="255"/>
          <w:numId w:val="0"/>
        </w:numPr>
        <w:tabs>
          <w:tab w:val="left" w:pos="0"/>
          <w:tab w:val="left" w:pos="1440"/>
          <w:tab w:val="left" w:pos="2040"/>
        </w:tabs>
        <w:spacing w:line="480" w:lineRule="exact"/>
        <w:ind w:left="540"/>
        <w:rPr>
          <w:rFonts w:asciiTheme="minorEastAsia" w:hAnsiTheme="minorEastAsia" w:cstheme="minorEastAsia"/>
          <w:sz w:val="24"/>
        </w:rPr>
      </w:pPr>
      <w:r>
        <w:rPr>
          <w:rFonts w:asciiTheme="minorEastAsia" w:hAnsiTheme="minorEastAsia" w:cstheme="minorEastAsia" w:hint="eastAsia"/>
          <w:sz w:val="24"/>
        </w:rPr>
        <w:t>清算义务人未及时履行清算义务，给公司或者债权人造成损失的，应当承担赔偿责任。</w:t>
      </w:r>
    </w:p>
    <w:p w14:paraId="2AF45570" w14:textId="77777777" w:rsidR="00743C89" w:rsidRDefault="000F5B55">
      <w:pPr>
        <w:numPr>
          <w:ilvl w:val="255"/>
          <w:numId w:val="0"/>
        </w:numPr>
        <w:tabs>
          <w:tab w:val="left" w:pos="0"/>
          <w:tab w:val="left" w:pos="1440"/>
          <w:tab w:val="left" w:pos="2040"/>
        </w:tabs>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逾期不成立清算组进行清算或者成立清算组后不清算的，利害关系人可以申请人民法院指定有关人员组成清算组进行清算。</w:t>
      </w:r>
    </w:p>
    <w:p w14:paraId="7A7E6E7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清算组在清算期间行使下列职权：</w:t>
      </w:r>
    </w:p>
    <w:p w14:paraId="5F60E80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（一）清理公司财产，分别编制资产负债表和财产清单；</w:t>
      </w:r>
    </w:p>
    <w:p w14:paraId="23B341AC"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（二）通知、公告债权人；</w:t>
      </w:r>
    </w:p>
    <w:p w14:paraId="2EEB1C22"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（三）处理与清算有关的公司未了结的业务；</w:t>
      </w:r>
    </w:p>
    <w:p w14:paraId="0CA3041E"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（四）清缴所欠税款以及清算过程中产生的税款；</w:t>
      </w:r>
    </w:p>
    <w:p w14:paraId="64E1BC7A"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（五）清理债权、债务；</w:t>
      </w:r>
    </w:p>
    <w:p w14:paraId="43087C65"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（六）分配公司清偿债务后的剩余财产；</w:t>
      </w:r>
    </w:p>
    <w:p w14:paraId="379913F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（七）代表公司参与民事诉讼活动。</w:t>
      </w:r>
    </w:p>
    <w:p w14:paraId="06A0E74C"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lastRenderedPageBreak/>
        <w:t>清算组应当自成立之日起十日内通知债权人，并于六十日内在报纸上或者国家企业信用信息公示系统公告。债权人应当自接到通知书之日起三十日内，未接到通知书的自公告之日起四十五日内，向清算组申报其债权。</w:t>
      </w:r>
    </w:p>
    <w:p w14:paraId="65D5F0E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债权人申报债权，应当说明债权的有关事项，并提供证明材料。清算组应当对债权进行登记。</w:t>
      </w:r>
    </w:p>
    <w:p w14:paraId="5B88954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在申报债权期间，清算组不得对债权人进行清偿。</w:t>
      </w:r>
    </w:p>
    <w:p w14:paraId="21D3B53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清算组在清理公司财产、编制资产负债表和财产清单后，应当制定清算方案，并报股东会或者人民法院确认。</w:t>
      </w:r>
    </w:p>
    <w:p w14:paraId="51DAB79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公司财产在分别支付清算费用、职工的工资、社会保险费用和法定补偿金，缴纳所欠税款，清偿公司债务后的剩余财产，公司按照股东持有的股份比例分配。</w:t>
      </w:r>
    </w:p>
    <w:p w14:paraId="4EC2352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清算期间，公司存续，但不能开展与清算无关的经营活动。公司财产在未按前款规定清偿前，将不会分配给股东。</w:t>
      </w:r>
    </w:p>
    <w:p w14:paraId="0B7E31CD"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清算组在清理公司财产、编制资产负债表和财产清单后，发现公司财产不足清偿债务的，应当依法向人民法院申请宣告破产。</w:t>
      </w:r>
    </w:p>
    <w:p w14:paraId="0349390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公司经人民法院裁定宣告破产后，清算组应当将清算事务移交给人民法院。</w:t>
      </w:r>
    </w:p>
    <w:p w14:paraId="2B1D73D2"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公司清算结束后，清算组应当制作清算报告，报股东会或者人民法院确认，并报送公司登记机关，申请注销公司登记，公告公司终止。</w:t>
      </w:r>
    </w:p>
    <w:p w14:paraId="23F11490"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清算组成员应当忠于职守，依法履行清算义务。</w:t>
      </w:r>
    </w:p>
    <w:p w14:paraId="72AE978D"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清算组成员不得利用职权贿赂或者收受其他非法收入，不得侵占公司财产。</w:t>
      </w:r>
    </w:p>
    <w:p w14:paraId="2EF8E1C0"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清算组成员因故意或者重大过失给公司或者债权人造成损失的，应当承担赔偿责任。</w:t>
      </w:r>
    </w:p>
    <w:p w14:paraId="2619D64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公司被依法宣告破产的，依照有关企业破产的法律实施破产清算。</w:t>
      </w:r>
    </w:p>
    <w:p w14:paraId="483D336F"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57" w:name="_Toc26266"/>
      <w:bookmarkStart w:id="58" w:name="_Toc261168833"/>
      <w:r>
        <w:rPr>
          <w:rFonts w:asciiTheme="minorEastAsia" w:eastAsiaTheme="minorEastAsia" w:hAnsiTheme="minorEastAsia" w:cstheme="minorEastAsia" w:hint="eastAsia"/>
          <w:b/>
          <w:sz w:val="32"/>
          <w:szCs w:val="32"/>
        </w:rPr>
        <w:t>第十一章　修改章程</w:t>
      </w:r>
      <w:bookmarkEnd w:id="57"/>
      <w:bookmarkEnd w:id="58"/>
    </w:p>
    <w:p w14:paraId="6EEB0F86"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有下列情形之一的，公司应当修改章程：</w:t>
      </w:r>
    </w:p>
    <w:p w14:paraId="4ABF7E97"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（一）《公司法》或有关法律、行政法规修改后，章程规定的事项与修改后的法律、行政法规的规定相抵触；</w:t>
      </w:r>
    </w:p>
    <w:p w14:paraId="2F684AE3"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（二）公司的情况发生变化，与章程记载的事项不一致；</w:t>
      </w:r>
    </w:p>
    <w:p w14:paraId="4F0DACB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（三）股东会决定修改章程。</w:t>
      </w:r>
    </w:p>
    <w:p w14:paraId="5AA903C3" w14:textId="77777777" w:rsidR="00743C89" w:rsidRDefault="000F5B55">
      <w:pPr>
        <w:numPr>
          <w:ilvl w:val="0"/>
          <w:numId w:val="1"/>
        </w:numPr>
        <w:tabs>
          <w:tab w:val="left" w:pos="0"/>
          <w:tab w:val="left" w:pos="1440"/>
          <w:tab w:val="left" w:pos="2520"/>
        </w:tabs>
        <w:spacing w:line="480" w:lineRule="exact"/>
        <w:ind w:left="0" w:firstLine="540"/>
        <w:rPr>
          <w:rFonts w:asciiTheme="minorEastAsia" w:hAnsiTheme="minorEastAsia" w:cstheme="minorEastAsia"/>
          <w:bCs/>
          <w:sz w:val="24"/>
        </w:rPr>
      </w:pPr>
      <w:r>
        <w:rPr>
          <w:rFonts w:asciiTheme="minorEastAsia" w:hAnsiTheme="minorEastAsia" w:cstheme="minorEastAsia" w:hint="eastAsia"/>
          <w:sz w:val="24"/>
        </w:rPr>
        <w:lastRenderedPageBreak/>
        <w:t>若本章程相关条款系直接引用法律、</w:t>
      </w:r>
      <w:r>
        <w:rPr>
          <w:rFonts w:asciiTheme="minorEastAsia" w:hAnsiTheme="minorEastAsia" w:cstheme="minorEastAsia" w:hint="eastAsia"/>
          <w:bCs/>
          <w:sz w:val="24"/>
        </w:rPr>
        <w:t>行政法规、规范性文件的具体规定作出，而该等法律、行政法规、规范性文件发生变化的，在本章程作出修订前，可直接依照届时有效的法律、行政法规、规范性文件执行。</w:t>
      </w:r>
    </w:p>
    <w:p w14:paraId="21022AA8" w14:textId="77777777" w:rsidR="00743C89" w:rsidRDefault="000F5B55">
      <w:pPr>
        <w:numPr>
          <w:ilvl w:val="0"/>
          <w:numId w:val="1"/>
        </w:numPr>
        <w:tabs>
          <w:tab w:val="left" w:pos="0"/>
          <w:tab w:val="left" w:pos="1440"/>
          <w:tab w:val="left" w:pos="252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股东会决议通过的章程修改事项应经主管机关审批的，须报主管机关批准；涉及公司登记事项的，依法办理变更登记。</w:t>
      </w:r>
    </w:p>
    <w:p w14:paraId="406F1FE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董事会依照股东会修改章程的决议和有关主管机关的审批意见修改本章程。</w:t>
      </w:r>
    </w:p>
    <w:p w14:paraId="59120EC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章程修改事项属于法律、行政法规要求披露的信息，按规定予以公告。</w:t>
      </w:r>
      <w:bookmarkStart w:id="59" w:name="_Toc261168834"/>
    </w:p>
    <w:p w14:paraId="24CE075E" w14:textId="77777777" w:rsidR="00743C89" w:rsidRDefault="000F5B55">
      <w:pPr>
        <w:pStyle w:val="af1"/>
        <w:spacing w:before="360" w:after="360" w:line="500" w:lineRule="exact"/>
        <w:outlineLvl w:val="0"/>
        <w:rPr>
          <w:rFonts w:asciiTheme="minorEastAsia" w:eastAsiaTheme="minorEastAsia" w:hAnsiTheme="minorEastAsia" w:cstheme="minorEastAsia"/>
          <w:b/>
          <w:sz w:val="32"/>
          <w:szCs w:val="32"/>
        </w:rPr>
      </w:pPr>
      <w:bookmarkStart w:id="60" w:name="_Toc14184"/>
      <w:r>
        <w:rPr>
          <w:rFonts w:asciiTheme="minorEastAsia" w:eastAsiaTheme="minorEastAsia" w:hAnsiTheme="minorEastAsia" w:cstheme="minorEastAsia" w:hint="eastAsia"/>
          <w:b/>
          <w:sz w:val="32"/>
          <w:szCs w:val="32"/>
        </w:rPr>
        <w:t>第十二章　附则</w:t>
      </w:r>
      <w:bookmarkEnd w:id="59"/>
      <w:bookmarkEnd w:id="60"/>
    </w:p>
    <w:p w14:paraId="0EFD6C8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释义</w:t>
      </w:r>
    </w:p>
    <w:p w14:paraId="2B39468B"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（一）控股股东，是指其持有的股份超过公司股本总额50%的股东；持有股份的比例虽然低于50%，但依其持有的股份所享有的表决权已足以对股东会的决议产生重大影响的股东。</w:t>
      </w:r>
    </w:p>
    <w:p w14:paraId="4F54119F"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（二）实际控制人，是指虽不是公司的股东，但通过投资关系、协议或者其他安排，能够实际支配公司行为的人。</w:t>
      </w:r>
    </w:p>
    <w:p w14:paraId="6734D368" w14:textId="77777777" w:rsidR="00743C89" w:rsidRDefault="000F5B55">
      <w:pPr>
        <w:spacing w:line="50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三）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14:paraId="709F2408"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董事会可依照章程的规定，制订章程细则。章程细则不得与章程的规定相抵触。</w:t>
      </w:r>
    </w:p>
    <w:p w14:paraId="24362C49"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本章程以中文书写，其他任何语种或不同版本的章程与本章程有歧义时，以在公司登记机关最近一次核准登记或备案后的中文版章程为准。</w:t>
      </w:r>
    </w:p>
    <w:p w14:paraId="67A5A061"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本章程所称“以上”、“以内”、“以下”都含本数；“不满”、“以外”、“低于”、“多于”不含本数。</w:t>
      </w:r>
    </w:p>
    <w:p w14:paraId="3A60D8DF" w14:textId="77777777" w:rsidR="00743C89" w:rsidRDefault="000F5B55">
      <w:pPr>
        <w:numPr>
          <w:ilvl w:val="0"/>
          <w:numId w:val="1"/>
        </w:numPr>
        <w:tabs>
          <w:tab w:val="left" w:pos="0"/>
          <w:tab w:val="left" w:pos="1440"/>
          <w:tab w:val="left" w:pos="204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本章程有关独立董事、董事会秘书、董事会专门委员会等的规定，仅在公司实际设置独立董事、董事会秘书、董事会专门委员会后适用。</w:t>
      </w:r>
    </w:p>
    <w:p w14:paraId="571FC2A9" w14:textId="77777777" w:rsidR="00743C89" w:rsidRDefault="000F5B55">
      <w:pPr>
        <w:numPr>
          <w:ilvl w:val="0"/>
          <w:numId w:val="1"/>
        </w:numPr>
        <w:tabs>
          <w:tab w:val="left" w:pos="0"/>
          <w:tab w:val="left" w:pos="1440"/>
          <w:tab w:val="left" w:pos="1530"/>
          <w:tab w:val="left" w:pos="1620"/>
          <w:tab w:val="left" w:pos="171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本章程由公司董事会负责解释。</w:t>
      </w:r>
    </w:p>
    <w:p w14:paraId="787BA0C9" w14:textId="77777777" w:rsidR="00743C89" w:rsidRDefault="000F5B55">
      <w:pPr>
        <w:numPr>
          <w:ilvl w:val="0"/>
          <w:numId w:val="1"/>
        </w:numPr>
        <w:tabs>
          <w:tab w:val="left" w:pos="0"/>
          <w:tab w:val="left" w:pos="1440"/>
          <w:tab w:val="left" w:pos="1890"/>
          <w:tab w:val="left" w:pos="216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t>本章程附件包括股东会议事规则、董事会议事规则和监事会议事规则。</w:t>
      </w:r>
    </w:p>
    <w:p w14:paraId="4E71C961" w14:textId="77777777" w:rsidR="00743C89" w:rsidRDefault="000F5B55">
      <w:pPr>
        <w:numPr>
          <w:ilvl w:val="0"/>
          <w:numId w:val="1"/>
        </w:numPr>
        <w:tabs>
          <w:tab w:val="left" w:pos="0"/>
          <w:tab w:val="left" w:pos="1440"/>
          <w:tab w:val="left" w:pos="2160"/>
        </w:tabs>
        <w:spacing w:line="480" w:lineRule="exact"/>
        <w:ind w:left="0" w:firstLine="540"/>
        <w:rPr>
          <w:rFonts w:asciiTheme="minorEastAsia" w:hAnsiTheme="minorEastAsia" w:cstheme="minorEastAsia"/>
          <w:sz w:val="24"/>
        </w:rPr>
      </w:pPr>
      <w:r>
        <w:rPr>
          <w:rFonts w:asciiTheme="minorEastAsia" w:hAnsiTheme="minorEastAsia" w:cstheme="minorEastAsia" w:hint="eastAsia"/>
          <w:sz w:val="24"/>
        </w:rPr>
        <w:lastRenderedPageBreak/>
        <w:t>本章程自股东会审议通过之日起生效。</w:t>
      </w:r>
    </w:p>
    <w:p w14:paraId="203EC490" w14:textId="77777777" w:rsidR="00743C89" w:rsidRDefault="000F5B55">
      <w:pPr>
        <w:adjustRightInd w:val="0"/>
        <w:snapToGrid w:val="0"/>
        <w:spacing w:beforeLines="50" w:before="156" w:afterLines="50" w:after="156" w:line="300" w:lineRule="auto"/>
        <w:jc w:val="right"/>
        <w:rPr>
          <w:rFonts w:asciiTheme="minorEastAsia" w:hAnsiTheme="minorEastAsia" w:cstheme="minorEastAsia"/>
          <w:sz w:val="24"/>
        </w:rPr>
      </w:pPr>
      <w:r>
        <w:rPr>
          <w:rFonts w:asciiTheme="minorEastAsia" w:hAnsiTheme="minorEastAsia" w:cstheme="minorEastAsia" w:hint="eastAsia"/>
          <w:sz w:val="24"/>
        </w:rPr>
        <w:t>广东天亿马信息产业股份有限公司</w:t>
      </w:r>
    </w:p>
    <w:p w14:paraId="792FC689" w14:textId="6BAC14C4" w:rsidR="00743C89" w:rsidRDefault="000F5B55" w:rsidP="00F13B6A">
      <w:pPr>
        <w:widowControl/>
        <w:wordWrap w:val="0"/>
        <w:jc w:val="right"/>
        <w:rPr>
          <w:rFonts w:asciiTheme="minorEastAsia" w:hAnsiTheme="minorEastAsia" w:cstheme="minorEastAsia"/>
          <w:sz w:val="24"/>
        </w:rPr>
      </w:pPr>
      <w:r>
        <w:rPr>
          <w:rFonts w:asciiTheme="minorEastAsia" w:hAnsiTheme="minorEastAsia" w:cstheme="minorEastAsia" w:hint="eastAsia"/>
          <w:sz w:val="24"/>
        </w:rPr>
        <w:t>二〇二</w:t>
      </w:r>
      <w:r w:rsidR="00F13B6A">
        <w:rPr>
          <w:rFonts w:asciiTheme="minorEastAsia" w:hAnsiTheme="minorEastAsia" w:cstheme="minorEastAsia" w:hint="eastAsia"/>
          <w:sz w:val="24"/>
        </w:rPr>
        <w:t>五</w:t>
      </w:r>
      <w:r>
        <w:rPr>
          <w:rFonts w:asciiTheme="minorEastAsia" w:hAnsiTheme="minorEastAsia" w:cstheme="minorEastAsia" w:hint="eastAsia"/>
          <w:sz w:val="24"/>
        </w:rPr>
        <w:t>年</w:t>
      </w:r>
      <w:r w:rsidR="000442BC">
        <w:rPr>
          <w:rFonts w:asciiTheme="minorEastAsia" w:hAnsiTheme="minorEastAsia" w:cstheme="minorEastAsia" w:hint="eastAsia"/>
          <w:sz w:val="24"/>
        </w:rPr>
        <w:t>四</w:t>
      </w:r>
      <w:bookmarkStart w:id="61" w:name="_GoBack"/>
      <w:bookmarkEnd w:id="61"/>
      <w:r>
        <w:rPr>
          <w:rFonts w:asciiTheme="minorEastAsia" w:hAnsiTheme="minorEastAsia" w:cstheme="minorEastAsia" w:hint="eastAsia"/>
          <w:sz w:val="24"/>
        </w:rPr>
        <w:t>月</w:t>
      </w:r>
    </w:p>
    <w:sectPr w:rsidR="00743C89">
      <w:headerReference w:type="default" r:id="rId12"/>
      <w:pgSz w:w="11906" w:h="16838"/>
      <w:pgMar w:top="1134" w:right="1134" w:bottom="993" w:left="113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2128A8" w14:textId="77777777" w:rsidR="00D922AC" w:rsidRDefault="00D922AC">
      <w:r>
        <w:separator/>
      </w:r>
    </w:p>
  </w:endnote>
  <w:endnote w:type="continuationSeparator" w:id="0">
    <w:p w14:paraId="6FE5F905" w14:textId="77777777" w:rsidR="00D922AC" w:rsidRDefault="00D92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0802687"/>
    </w:sdtPr>
    <w:sdtEndPr/>
    <w:sdtContent>
      <w:sdt>
        <w:sdtPr>
          <w:id w:val="-1669238322"/>
        </w:sdtPr>
        <w:sdtEndPr/>
        <w:sdtContent>
          <w:p w14:paraId="39CDE201" w14:textId="77777777" w:rsidR="00743C89" w:rsidRDefault="000F5B55">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442BC">
              <w:rPr>
                <w:b/>
                <w:bCs/>
                <w:noProof/>
              </w:rPr>
              <w:t>44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442BC">
              <w:rPr>
                <w:b/>
                <w:bCs/>
                <w:noProof/>
              </w:rPr>
              <w:t>44</w:t>
            </w:r>
            <w:r>
              <w:rPr>
                <w:b/>
                <w:bCs/>
                <w:sz w:val="24"/>
                <w:szCs w:val="24"/>
              </w:rPr>
              <w:fldChar w:fldCharType="end"/>
            </w:r>
          </w:p>
        </w:sdtContent>
      </w:sdt>
    </w:sdtContent>
  </w:sdt>
  <w:p w14:paraId="0687057E" w14:textId="77777777" w:rsidR="00743C89" w:rsidRDefault="00743C8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501E76" w14:textId="77777777" w:rsidR="00D922AC" w:rsidRDefault="00D922AC">
      <w:r>
        <w:separator/>
      </w:r>
    </w:p>
  </w:footnote>
  <w:footnote w:type="continuationSeparator" w:id="0">
    <w:p w14:paraId="385A947D" w14:textId="77777777" w:rsidR="00D922AC" w:rsidRDefault="00D922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FACC53" w14:textId="77777777" w:rsidR="00743C89" w:rsidRDefault="000F5B55">
    <w:pPr>
      <w:pStyle w:val="a7"/>
    </w:pPr>
    <w:r>
      <w:rPr>
        <w:rFonts w:hint="eastAsia"/>
      </w:rPr>
      <w:t>广东天亿马信息产业股份有限公司</w:t>
    </w:r>
    <w:r>
      <w:rPr>
        <w:rFonts w:hint="eastAsia"/>
      </w:rPr>
      <w:t xml:space="preserve">                                                                </w:t>
    </w:r>
    <w:r>
      <w:rPr>
        <w:rFonts w:hint="eastAsia"/>
      </w:rPr>
      <w:t>公司章程</w:t>
    </w:r>
  </w:p>
  <w:p w14:paraId="0510D74F" w14:textId="77777777" w:rsidR="00743C89" w:rsidRDefault="00743C8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start w:val="1"/>
      <w:numFmt w:val="chineseCountingThousand"/>
      <w:suff w:val="space"/>
      <w:lvlText w:val="第%1条 "/>
      <w:lvlJc w:val="left"/>
      <w:pPr>
        <w:ind w:left="1244" w:hanging="960"/>
      </w:pPr>
      <w:rPr>
        <w:rFonts w:asciiTheme="majorEastAsia" w:eastAsiaTheme="majorEastAsia" w:hAnsiTheme="majorEastAsia"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
    <w:nsid w:val="1B0D730C"/>
    <w:multiLevelType w:val="multilevel"/>
    <w:tmpl w:val="1B0D730C"/>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46CD5710"/>
    <w:multiLevelType w:val="multilevel"/>
    <w:tmpl w:val="46CD5710"/>
    <w:lvl w:ilvl="0">
      <w:start w:val="1"/>
      <w:numFmt w:val="japaneseCounting"/>
      <w:lvlText w:val="（%1）"/>
      <w:lvlJc w:val="left"/>
      <w:pPr>
        <w:ind w:left="1260" w:hanging="720"/>
      </w:pPr>
      <w:rPr>
        <w:rFonts w:hint="default"/>
      </w:rPr>
    </w:lvl>
    <w:lvl w:ilvl="1">
      <w:start w:val="1"/>
      <w:numFmt w:val="lowerLetter"/>
      <w:lvlText w:val="%2)"/>
      <w:lvlJc w:val="left"/>
      <w:pPr>
        <w:ind w:left="1380" w:hanging="420"/>
      </w:pPr>
    </w:lvl>
    <w:lvl w:ilvl="2">
      <w:start w:val="1"/>
      <w:numFmt w:val="lowerRoman"/>
      <w:lvlText w:val="%3."/>
      <w:lvlJc w:val="right"/>
      <w:pPr>
        <w:ind w:left="1800" w:hanging="420"/>
      </w:pPr>
    </w:lvl>
    <w:lvl w:ilvl="3">
      <w:start w:val="1"/>
      <w:numFmt w:val="decimal"/>
      <w:lvlText w:val="%4."/>
      <w:lvlJc w:val="left"/>
      <w:pPr>
        <w:ind w:left="2220" w:hanging="420"/>
      </w:pPr>
    </w:lvl>
    <w:lvl w:ilvl="4">
      <w:start w:val="1"/>
      <w:numFmt w:val="lowerLetter"/>
      <w:lvlText w:val="%5)"/>
      <w:lvlJc w:val="left"/>
      <w:pPr>
        <w:ind w:left="2640" w:hanging="420"/>
      </w:pPr>
    </w:lvl>
    <w:lvl w:ilvl="5">
      <w:start w:val="1"/>
      <w:numFmt w:val="lowerRoman"/>
      <w:lvlText w:val="%6."/>
      <w:lvlJc w:val="right"/>
      <w:pPr>
        <w:ind w:left="3060" w:hanging="420"/>
      </w:pPr>
    </w:lvl>
    <w:lvl w:ilvl="6">
      <w:start w:val="1"/>
      <w:numFmt w:val="decimal"/>
      <w:lvlText w:val="%7."/>
      <w:lvlJc w:val="left"/>
      <w:pPr>
        <w:ind w:left="3480" w:hanging="420"/>
      </w:pPr>
    </w:lvl>
    <w:lvl w:ilvl="7">
      <w:start w:val="1"/>
      <w:numFmt w:val="lowerLetter"/>
      <w:lvlText w:val="%8)"/>
      <w:lvlJc w:val="left"/>
      <w:pPr>
        <w:ind w:left="3900" w:hanging="420"/>
      </w:pPr>
    </w:lvl>
    <w:lvl w:ilvl="8">
      <w:start w:val="1"/>
      <w:numFmt w:val="lowerRoman"/>
      <w:lvlText w:val="%9."/>
      <w:lvlJc w:val="right"/>
      <w:pPr>
        <w:ind w:left="43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172A27"/>
    <w:rsid w:val="0000476E"/>
    <w:rsid w:val="0000637D"/>
    <w:rsid w:val="00011891"/>
    <w:rsid w:val="00011B3B"/>
    <w:rsid w:val="000132F6"/>
    <w:rsid w:val="000134FB"/>
    <w:rsid w:val="00013505"/>
    <w:rsid w:val="00015E5A"/>
    <w:rsid w:val="00023D14"/>
    <w:rsid w:val="00026172"/>
    <w:rsid w:val="00027BDF"/>
    <w:rsid w:val="00030534"/>
    <w:rsid w:val="00033D1F"/>
    <w:rsid w:val="000346EA"/>
    <w:rsid w:val="00036993"/>
    <w:rsid w:val="00040B37"/>
    <w:rsid w:val="000442BC"/>
    <w:rsid w:val="00051451"/>
    <w:rsid w:val="00053487"/>
    <w:rsid w:val="000538D8"/>
    <w:rsid w:val="0005479A"/>
    <w:rsid w:val="00054DF1"/>
    <w:rsid w:val="00057431"/>
    <w:rsid w:val="00057F9F"/>
    <w:rsid w:val="00061123"/>
    <w:rsid w:val="00062554"/>
    <w:rsid w:val="00063518"/>
    <w:rsid w:val="0006408A"/>
    <w:rsid w:val="00065CA2"/>
    <w:rsid w:val="0006689F"/>
    <w:rsid w:val="00066D43"/>
    <w:rsid w:val="00077F07"/>
    <w:rsid w:val="00083720"/>
    <w:rsid w:val="00084188"/>
    <w:rsid w:val="00087245"/>
    <w:rsid w:val="00090EC1"/>
    <w:rsid w:val="00093450"/>
    <w:rsid w:val="000940BB"/>
    <w:rsid w:val="0009478E"/>
    <w:rsid w:val="0009542E"/>
    <w:rsid w:val="00095B62"/>
    <w:rsid w:val="0009660A"/>
    <w:rsid w:val="000966ED"/>
    <w:rsid w:val="000A30F1"/>
    <w:rsid w:val="000A4D97"/>
    <w:rsid w:val="000B3387"/>
    <w:rsid w:val="000B366D"/>
    <w:rsid w:val="000B514F"/>
    <w:rsid w:val="000B739D"/>
    <w:rsid w:val="000C0817"/>
    <w:rsid w:val="000C1C3E"/>
    <w:rsid w:val="000C780C"/>
    <w:rsid w:val="000D22AF"/>
    <w:rsid w:val="000D2759"/>
    <w:rsid w:val="000D2BB3"/>
    <w:rsid w:val="000D2ECB"/>
    <w:rsid w:val="000D3456"/>
    <w:rsid w:val="000D3C9E"/>
    <w:rsid w:val="000D4340"/>
    <w:rsid w:val="000E0CAD"/>
    <w:rsid w:val="000E11BD"/>
    <w:rsid w:val="000E246A"/>
    <w:rsid w:val="000E6114"/>
    <w:rsid w:val="000F0001"/>
    <w:rsid w:val="000F19E7"/>
    <w:rsid w:val="000F1E95"/>
    <w:rsid w:val="000F2304"/>
    <w:rsid w:val="000F3176"/>
    <w:rsid w:val="000F59F5"/>
    <w:rsid w:val="000F5B55"/>
    <w:rsid w:val="0010076B"/>
    <w:rsid w:val="00103F26"/>
    <w:rsid w:val="001057F1"/>
    <w:rsid w:val="001077AD"/>
    <w:rsid w:val="0010794D"/>
    <w:rsid w:val="001105AD"/>
    <w:rsid w:val="00112C79"/>
    <w:rsid w:val="001133DF"/>
    <w:rsid w:val="00125145"/>
    <w:rsid w:val="00125BCC"/>
    <w:rsid w:val="001265A4"/>
    <w:rsid w:val="00141F38"/>
    <w:rsid w:val="001437C0"/>
    <w:rsid w:val="001444AC"/>
    <w:rsid w:val="00147631"/>
    <w:rsid w:val="001477CE"/>
    <w:rsid w:val="0015165F"/>
    <w:rsid w:val="00151A5A"/>
    <w:rsid w:val="0015435F"/>
    <w:rsid w:val="00154FC3"/>
    <w:rsid w:val="001555D7"/>
    <w:rsid w:val="00161130"/>
    <w:rsid w:val="001621E4"/>
    <w:rsid w:val="00163C06"/>
    <w:rsid w:val="00163F11"/>
    <w:rsid w:val="00164149"/>
    <w:rsid w:val="00165AD3"/>
    <w:rsid w:val="00165E16"/>
    <w:rsid w:val="00172A27"/>
    <w:rsid w:val="001734E1"/>
    <w:rsid w:val="001740C8"/>
    <w:rsid w:val="001741F3"/>
    <w:rsid w:val="00176089"/>
    <w:rsid w:val="00181A3C"/>
    <w:rsid w:val="00182183"/>
    <w:rsid w:val="00183CDE"/>
    <w:rsid w:val="00184D8E"/>
    <w:rsid w:val="00186D96"/>
    <w:rsid w:val="0019217C"/>
    <w:rsid w:val="00193449"/>
    <w:rsid w:val="001A2D0B"/>
    <w:rsid w:val="001A3C92"/>
    <w:rsid w:val="001B1CA8"/>
    <w:rsid w:val="001B578E"/>
    <w:rsid w:val="001B6A3A"/>
    <w:rsid w:val="001C134A"/>
    <w:rsid w:val="001C1F14"/>
    <w:rsid w:val="001C2AFD"/>
    <w:rsid w:val="001C3959"/>
    <w:rsid w:val="001C6F98"/>
    <w:rsid w:val="001D23FF"/>
    <w:rsid w:val="001D46E6"/>
    <w:rsid w:val="001D5CAA"/>
    <w:rsid w:val="001D5D83"/>
    <w:rsid w:val="001E2A7D"/>
    <w:rsid w:val="001E3178"/>
    <w:rsid w:val="001E4DFB"/>
    <w:rsid w:val="001E52EA"/>
    <w:rsid w:val="001F2428"/>
    <w:rsid w:val="001F2C95"/>
    <w:rsid w:val="001F4098"/>
    <w:rsid w:val="001F53FC"/>
    <w:rsid w:val="001F5FBB"/>
    <w:rsid w:val="0020030A"/>
    <w:rsid w:val="002008E0"/>
    <w:rsid w:val="00202A30"/>
    <w:rsid w:val="00205520"/>
    <w:rsid w:val="00211953"/>
    <w:rsid w:val="00212008"/>
    <w:rsid w:val="00213318"/>
    <w:rsid w:val="00214922"/>
    <w:rsid w:val="00215010"/>
    <w:rsid w:val="00216000"/>
    <w:rsid w:val="00216B38"/>
    <w:rsid w:val="00217315"/>
    <w:rsid w:val="0021737C"/>
    <w:rsid w:val="0022447B"/>
    <w:rsid w:val="00225931"/>
    <w:rsid w:val="00226887"/>
    <w:rsid w:val="002273E7"/>
    <w:rsid w:val="002315B2"/>
    <w:rsid w:val="00231688"/>
    <w:rsid w:val="002344BA"/>
    <w:rsid w:val="002346C4"/>
    <w:rsid w:val="00236621"/>
    <w:rsid w:val="00237FD0"/>
    <w:rsid w:val="0024019A"/>
    <w:rsid w:val="002403C2"/>
    <w:rsid w:val="002405F1"/>
    <w:rsid w:val="00240CE7"/>
    <w:rsid w:val="00241418"/>
    <w:rsid w:val="00241974"/>
    <w:rsid w:val="00242317"/>
    <w:rsid w:val="002430E6"/>
    <w:rsid w:val="00247A67"/>
    <w:rsid w:val="002500AF"/>
    <w:rsid w:val="002502C1"/>
    <w:rsid w:val="00250EF7"/>
    <w:rsid w:val="00251A7E"/>
    <w:rsid w:val="00251F59"/>
    <w:rsid w:val="00255258"/>
    <w:rsid w:val="0025578C"/>
    <w:rsid w:val="0025607B"/>
    <w:rsid w:val="00256FFD"/>
    <w:rsid w:val="00257950"/>
    <w:rsid w:val="002621DB"/>
    <w:rsid w:val="00262529"/>
    <w:rsid w:val="00263D9E"/>
    <w:rsid w:val="00266969"/>
    <w:rsid w:val="002674DA"/>
    <w:rsid w:val="00267612"/>
    <w:rsid w:val="002748CF"/>
    <w:rsid w:val="002751CA"/>
    <w:rsid w:val="00275FB8"/>
    <w:rsid w:val="00276FFD"/>
    <w:rsid w:val="0028110D"/>
    <w:rsid w:val="00281A58"/>
    <w:rsid w:val="00283DE4"/>
    <w:rsid w:val="00286B6A"/>
    <w:rsid w:val="00290AF5"/>
    <w:rsid w:val="00290B9E"/>
    <w:rsid w:val="00290D6C"/>
    <w:rsid w:val="00293041"/>
    <w:rsid w:val="002941AB"/>
    <w:rsid w:val="00294F9B"/>
    <w:rsid w:val="00297C2B"/>
    <w:rsid w:val="002A0092"/>
    <w:rsid w:val="002A175A"/>
    <w:rsid w:val="002A1ACD"/>
    <w:rsid w:val="002A2162"/>
    <w:rsid w:val="002A22DF"/>
    <w:rsid w:val="002A2AC0"/>
    <w:rsid w:val="002A60C5"/>
    <w:rsid w:val="002A6560"/>
    <w:rsid w:val="002B0D3D"/>
    <w:rsid w:val="002B17DD"/>
    <w:rsid w:val="002B2D63"/>
    <w:rsid w:val="002B5BD1"/>
    <w:rsid w:val="002B66B0"/>
    <w:rsid w:val="002C0760"/>
    <w:rsid w:val="002C09B9"/>
    <w:rsid w:val="002C1F59"/>
    <w:rsid w:val="002C3969"/>
    <w:rsid w:val="002C48BD"/>
    <w:rsid w:val="002C563E"/>
    <w:rsid w:val="002D5E23"/>
    <w:rsid w:val="002E08A6"/>
    <w:rsid w:val="002E23AE"/>
    <w:rsid w:val="002E59DC"/>
    <w:rsid w:val="002E7B35"/>
    <w:rsid w:val="002F2324"/>
    <w:rsid w:val="002F3917"/>
    <w:rsid w:val="002F683B"/>
    <w:rsid w:val="002F6957"/>
    <w:rsid w:val="002F6BCC"/>
    <w:rsid w:val="002F7A03"/>
    <w:rsid w:val="002F7A1C"/>
    <w:rsid w:val="002F7C34"/>
    <w:rsid w:val="00304188"/>
    <w:rsid w:val="00304916"/>
    <w:rsid w:val="00304B19"/>
    <w:rsid w:val="00304E70"/>
    <w:rsid w:val="00305311"/>
    <w:rsid w:val="003070AA"/>
    <w:rsid w:val="003108ED"/>
    <w:rsid w:val="00311811"/>
    <w:rsid w:val="00317781"/>
    <w:rsid w:val="0031799C"/>
    <w:rsid w:val="003206D7"/>
    <w:rsid w:val="00321126"/>
    <w:rsid w:val="0032262C"/>
    <w:rsid w:val="003228D9"/>
    <w:rsid w:val="0032413D"/>
    <w:rsid w:val="00324547"/>
    <w:rsid w:val="0032522C"/>
    <w:rsid w:val="003263D4"/>
    <w:rsid w:val="0033318D"/>
    <w:rsid w:val="00334880"/>
    <w:rsid w:val="00341E67"/>
    <w:rsid w:val="00344B38"/>
    <w:rsid w:val="00344CD8"/>
    <w:rsid w:val="00345482"/>
    <w:rsid w:val="00350C5B"/>
    <w:rsid w:val="0035175F"/>
    <w:rsid w:val="0035310C"/>
    <w:rsid w:val="003541CA"/>
    <w:rsid w:val="0035535E"/>
    <w:rsid w:val="00356FDF"/>
    <w:rsid w:val="00361C97"/>
    <w:rsid w:val="003637EC"/>
    <w:rsid w:val="00367338"/>
    <w:rsid w:val="00372849"/>
    <w:rsid w:val="00372D0E"/>
    <w:rsid w:val="00375956"/>
    <w:rsid w:val="00375CF4"/>
    <w:rsid w:val="00380707"/>
    <w:rsid w:val="00380A2F"/>
    <w:rsid w:val="00387F32"/>
    <w:rsid w:val="0039103F"/>
    <w:rsid w:val="00392056"/>
    <w:rsid w:val="003941FA"/>
    <w:rsid w:val="003A3661"/>
    <w:rsid w:val="003A4CFC"/>
    <w:rsid w:val="003A58BA"/>
    <w:rsid w:val="003A7CFD"/>
    <w:rsid w:val="003B11DD"/>
    <w:rsid w:val="003B1CAC"/>
    <w:rsid w:val="003B3BD7"/>
    <w:rsid w:val="003B4171"/>
    <w:rsid w:val="003C4263"/>
    <w:rsid w:val="003C61DF"/>
    <w:rsid w:val="003D0A3D"/>
    <w:rsid w:val="003D0AA9"/>
    <w:rsid w:val="003E0FEB"/>
    <w:rsid w:val="003E1AC3"/>
    <w:rsid w:val="003F5A85"/>
    <w:rsid w:val="003F6616"/>
    <w:rsid w:val="003F6CB4"/>
    <w:rsid w:val="003F6DC9"/>
    <w:rsid w:val="00400316"/>
    <w:rsid w:val="00400A54"/>
    <w:rsid w:val="004025A9"/>
    <w:rsid w:val="004038CA"/>
    <w:rsid w:val="004053BA"/>
    <w:rsid w:val="00407760"/>
    <w:rsid w:val="00407F79"/>
    <w:rsid w:val="004147F9"/>
    <w:rsid w:val="0041770B"/>
    <w:rsid w:val="00417DC4"/>
    <w:rsid w:val="00421D07"/>
    <w:rsid w:val="00423D6D"/>
    <w:rsid w:val="00424495"/>
    <w:rsid w:val="00427F80"/>
    <w:rsid w:val="00430EA1"/>
    <w:rsid w:val="0043106C"/>
    <w:rsid w:val="00431CE7"/>
    <w:rsid w:val="00431F1B"/>
    <w:rsid w:val="0043337B"/>
    <w:rsid w:val="004346D3"/>
    <w:rsid w:val="00434D50"/>
    <w:rsid w:val="0043770C"/>
    <w:rsid w:val="004407F1"/>
    <w:rsid w:val="00450448"/>
    <w:rsid w:val="00450611"/>
    <w:rsid w:val="0045158B"/>
    <w:rsid w:val="00451B79"/>
    <w:rsid w:val="00460000"/>
    <w:rsid w:val="00460684"/>
    <w:rsid w:val="00462003"/>
    <w:rsid w:val="00462A44"/>
    <w:rsid w:val="004646DF"/>
    <w:rsid w:val="00465D51"/>
    <w:rsid w:val="00465FE2"/>
    <w:rsid w:val="00467703"/>
    <w:rsid w:val="00470C81"/>
    <w:rsid w:val="00471BF2"/>
    <w:rsid w:val="00472C29"/>
    <w:rsid w:val="0047355C"/>
    <w:rsid w:val="00475A0B"/>
    <w:rsid w:val="00476492"/>
    <w:rsid w:val="00477DB6"/>
    <w:rsid w:val="00480190"/>
    <w:rsid w:val="00483025"/>
    <w:rsid w:val="00490D2E"/>
    <w:rsid w:val="0049128C"/>
    <w:rsid w:val="00495C02"/>
    <w:rsid w:val="00496C79"/>
    <w:rsid w:val="00497356"/>
    <w:rsid w:val="004A06A6"/>
    <w:rsid w:val="004A1405"/>
    <w:rsid w:val="004A1465"/>
    <w:rsid w:val="004A27F8"/>
    <w:rsid w:val="004B0035"/>
    <w:rsid w:val="004B096F"/>
    <w:rsid w:val="004B0CA2"/>
    <w:rsid w:val="004B10B6"/>
    <w:rsid w:val="004B27B9"/>
    <w:rsid w:val="004B28D3"/>
    <w:rsid w:val="004B5677"/>
    <w:rsid w:val="004B757A"/>
    <w:rsid w:val="004C6325"/>
    <w:rsid w:val="004C6A4A"/>
    <w:rsid w:val="004D04BD"/>
    <w:rsid w:val="004D0AC0"/>
    <w:rsid w:val="004D185C"/>
    <w:rsid w:val="004D3116"/>
    <w:rsid w:val="004D4DF6"/>
    <w:rsid w:val="004E1E9D"/>
    <w:rsid w:val="004E51E5"/>
    <w:rsid w:val="004F0643"/>
    <w:rsid w:val="004F105E"/>
    <w:rsid w:val="004F2D89"/>
    <w:rsid w:val="004F32FB"/>
    <w:rsid w:val="004F354C"/>
    <w:rsid w:val="004F5106"/>
    <w:rsid w:val="0050032E"/>
    <w:rsid w:val="005027FC"/>
    <w:rsid w:val="0050296A"/>
    <w:rsid w:val="005039EE"/>
    <w:rsid w:val="00515A04"/>
    <w:rsid w:val="00520BFB"/>
    <w:rsid w:val="005233DE"/>
    <w:rsid w:val="00523B0F"/>
    <w:rsid w:val="00524F28"/>
    <w:rsid w:val="00525993"/>
    <w:rsid w:val="005265C2"/>
    <w:rsid w:val="00526C80"/>
    <w:rsid w:val="00532E08"/>
    <w:rsid w:val="00535FDD"/>
    <w:rsid w:val="00543579"/>
    <w:rsid w:val="0054575A"/>
    <w:rsid w:val="00546852"/>
    <w:rsid w:val="00546EC1"/>
    <w:rsid w:val="0054783B"/>
    <w:rsid w:val="0055464F"/>
    <w:rsid w:val="005564F1"/>
    <w:rsid w:val="00561E7C"/>
    <w:rsid w:val="005630E9"/>
    <w:rsid w:val="005650EF"/>
    <w:rsid w:val="00565203"/>
    <w:rsid w:val="00571884"/>
    <w:rsid w:val="0057438E"/>
    <w:rsid w:val="00574C31"/>
    <w:rsid w:val="00577BF1"/>
    <w:rsid w:val="00581D7D"/>
    <w:rsid w:val="00581DF1"/>
    <w:rsid w:val="00584C8B"/>
    <w:rsid w:val="005860D9"/>
    <w:rsid w:val="005872E6"/>
    <w:rsid w:val="00591F05"/>
    <w:rsid w:val="00594104"/>
    <w:rsid w:val="0059417A"/>
    <w:rsid w:val="00595065"/>
    <w:rsid w:val="00597AE2"/>
    <w:rsid w:val="005B3312"/>
    <w:rsid w:val="005B46AB"/>
    <w:rsid w:val="005B4C72"/>
    <w:rsid w:val="005B549E"/>
    <w:rsid w:val="005B595E"/>
    <w:rsid w:val="005B59DD"/>
    <w:rsid w:val="005B7401"/>
    <w:rsid w:val="005C0F8F"/>
    <w:rsid w:val="005C1048"/>
    <w:rsid w:val="005C22E1"/>
    <w:rsid w:val="005C480D"/>
    <w:rsid w:val="005C510D"/>
    <w:rsid w:val="005C570C"/>
    <w:rsid w:val="005D36D5"/>
    <w:rsid w:val="005D3891"/>
    <w:rsid w:val="005D4C05"/>
    <w:rsid w:val="005D5B1C"/>
    <w:rsid w:val="005E0A6C"/>
    <w:rsid w:val="005E128B"/>
    <w:rsid w:val="005E36BA"/>
    <w:rsid w:val="005E4516"/>
    <w:rsid w:val="005E543E"/>
    <w:rsid w:val="005E7CEA"/>
    <w:rsid w:val="005F32FE"/>
    <w:rsid w:val="005F59F6"/>
    <w:rsid w:val="005F6B05"/>
    <w:rsid w:val="005F7521"/>
    <w:rsid w:val="005F7C6F"/>
    <w:rsid w:val="006003ED"/>
    <w:rsid w:val="00601CFF"/>
    <w:rsid w:val="00604099"/>
    <w:rsid w:val="00605BDD"/>
    <w:rsid w:val="00605D0D"/>
    <w:rsid w:val="00606C52"/>
    <w:rsid w:val="00611580"/>
    <w:rsid w:val="006115A2"/>
    <w:rsid w:val="006131F5"/>
    <w:rsid w:val="0061623A"/>
    <w:rsid w:val="00616362"/>
    <w:rsid w:val="006260D7"/>
    <w:rsid w:val="006326C2"/>
    <w:rsid w:val="00632AC9"/>
    <w:rsid w:val="006331F8"/>
    <w:rsid w:val="006336F7"/>
    <w:rsid w:val="00634278"/>
    <w:rsid w:val="00635B4A"/>
    <w:rsid w:val="00636008"/>
    <w:rsid w:val="00636076"/>
    <w:rsid w:val="006360F3"/>
    <w:rsid w:val="0063663D"/>
    <w:rsid w:val="00636708"/>
    <w:rsid w:val="0063780F"/>
    <w:rsid w:val="006417E8"/>
    <w:rsid w:val="00641BD7"/>
    <w:rsid w:val="006421D6"/>
    <w:rsid w:val="00645DCC"/>
    <w:rsid w:val="00650716"/>
    <w:rsid w:val="00650B1F"/>
    <w:rsid w:val="00650F9C"/>
    <w:rsid w:val="00651BAD"/>
    <w:rsid w:val="0065377D"/>
    <w:rsid w:val="00653EBB"/>
    <w:rsid w:val="0065471A"/>
    <w:rsid w:val="00654B5B"/>
    <w:rsid w:val="006554E5"/>
    <w:rsid w:val="0065563D"/>
    <w:rsid w:val="0066332D"/>
    <w:rsid w:val="00664A1A"/>
    <w:rsid w:val="00664EFA"/>
    <w:rsid w:val="00666619"/>
    <w:rsid w:val="00666A16"/>
    <w:rsid w:val="006716EA"/>
    <w:rsid w:val="00673325"/>
    <w:rsid w:val="00675254"/>
    <w:rsid w:val="00676CC3"/>
    <w:rsid w:val="00684881"/>
    <w:rsid w:val="00686546"/>
    <w:rsid w:val="006913B8"/>
    <w:rsid w:val="00691D0C"/>
    <w:rsid w:val="00692FEF"/>
    <w:rsid w:val="00694626"/>
    <w:rsid w:val="006970F4"/>
    <w:rsid w:val="0069724A"/>
    <w:rsid w:val="00697971"/>
    <w:rsid w:val="006A1672"/>
    <w:rsid w:val="006A1812"/>
    <w:rsid w:val="006A2684"/>
    <w:rsid w:val="006A3611"/>
    <w:rsid w:val="006A3F31"/>
    <w:rsid w:val="006A42F1"/>
    <w:rsid w:val="006A73BD"/>
    <w:rsid w:val="006A7F84"/>
    <w:rsid w:val="006B10F2"/>
    <w:rsid w:val="006B46FD"/>
    <w:rsid w:val="006B5EE6"/>
    <w:rsid w:val="006B5FFD"/>
    <w:rsid w:val="006B6710"/>
    <w:rsid w:val="006B75B2"/>
    <w:rsid w:val="006C1DFA"/>
    <w:rsid w:val="006C2BF9"/>
    <w:rsid w:val="006C4318"/>
    <w:rsid w:val="006C4A48"/>
    <w:rsid w:val="006C4F7A"/>
    <w:rsid w:val="006C5BAB"/>
    <w:rsid w:val="006C68AF"/>
    <w:rsid w:val="006C6B7C"/>
    <w:rsid w:val="006D003A"/>
    <w:rsid w:val="006D05FB"/>
    <w:rsid w:val="006D075A"/>
    <w:rsid w:val="006D2400"/>
    <w:rsid w:val="006D3EBF"/>
    <w:rsid w:val="006D409C"/>
    <w:rsid w:val="006D40B3"/>
    <w:rsid w:val="006D7251"/>
    <w:rsid w:val="006E0D4B"/>
    <w:rsid w:val="006E13D8"/>
    <w:rsid w:val="006E1F43"/>
    <w:rsid w:val="006E3B76"/>
    <w:rsid w:val="006E41CB"/>
    <w:rsid w:val="006E4758"/>
    <w:rsid w:val="006E4A61"/>
    <w:rsid w:val="006E5311"/>
    <w:rsid w:val="006E5AF1"/>
    <w:rsid w:val="006E5B55"/>
    <w:rsid w:val="006E66AA"/>
    <w:rsid w:val="006E72B1"/>
    <w:rsid w:val="006F22D4"/>
    <w:rsid w:val="006F2912"/>
    <w:rsid w:val="006F3345"/>
    <w:rsid w:val="006F4408"/>
    <w:rsid w:val="006F4533"/>
    <w:rsid w:val="006F60C6"/>
    <w:rsid w:val="0070047C"/>
    <w:rsid w:val="007035B3"/>
    <w:rsid w:val="00703654"/>
    <w:rsid w:val="00703EFE"/>
    <w:rsid w:val="00704360"/>
    <w:rsid w:val="00707ABC"/>
    <w:rsid w:val="00710F8A"/>
    <w:rsid w:val="00712ACC"/>
    <w:rsid w:val="0071663A"/>
    <w:rsid w:val="00716649"/>
    <w:rsid w:val="00716D50"/>
    <w:rsid w:val="00720E0F"/>
    <w:rsid w:val="007219E0"/>
    <w:rsid w:val="00721BFC"/>
    <w:rsid w:val="00723A75"/>
    <w:rsid w:val="0072483F"/>
    <w:rsid w:val="007256B2"/>
    <w:rsid w:val="007300FD"/>
    <w:rsid w:val="00730873"/>
    <w:rsid w:val="00731334"/>
    <w:rsid w:val="00732CE9"/>
    <w:rsid w:val="00734A2C"/>
    <w:rsid w:val="0073532D"/>
    <w:rsid w:val="0073697F"/>
    <w:rsid w:val="00737316"/>
    <w:rsid w:val="00741887"/>
    <w:rsid w:val="00741DDC"/>
    <w:rsid w:val="0074397F"/>
    <w:rsid w:val="00743C89"/>
    <w:rsid w:val="00744F5D"/>
    <w:rsid w:val="007469C9"/>
    <w:rsid w:val="00751871"/>
    <w:rsid w:val="0075203E"/>
    <w:rsid w:val="00752DFE"/>
    <w:rsid w:val="00757EEB"/>
    <w:rsid w:val="00760571"/>
    <w:rsid w:val="00760598"/>
    <w:rsid w:val="00760EFA"/>
    <w:rsid w:val="00770160"/>
    <w:rsid w:val="007759AE"/>
    <w:rsid w:val="00775FDB"/>
    <w:rsid w:val="0078452D"/>
    <w:rsid w:val="00785B85"/>
    <w:rsid w:val="00785E3D"/>
    <w:rsid w:val="00787AE8"/>
    <w:rsid w:val="00787FB7"/>
    <w:rsid w:val="0079026B"/>
    <w:rsid w:val="00790682"/>
    <w:rsid w:val="00792268"/>
    <w:rsid w:val="00793AA5"/>
    <w:rsid w:val="007960BF"/>
    <w:rsid w:val="00796611"/>
    <w:rsid w:val="007A191D"/>
    <w:rsid w:val="007A2534"/>
    <w:rsid w:val="007A3056"/>
    <w:rsid w:val="007A43EA"/>
    <w:rsid w:val="007A4525"/>
    <w:rsid w:val="007A6430"/>
    <w:rsid w:val="007B1876"/>
    <w:rsid w:val="007B2104"/>
    <w:rsid w:val="007B3EB5"/>
    <w:rsid w:val="007B49AB"/>
    <w:rsid w:val="007B5259"/>
    <w:rsid w:val="007B5302"/>
    <w:rsid w:val="007B5D98"/>
    <w:rsid w:val="007C22C4"/>
    <w:rsid w:val="007C22F5"/>
    <w:rsid w:val="007C6FE3"/>
    <w:rsid w:val="007C78D3"/>
    <w:rsid w:val="007D149B"/>
    <w:rsid w:val="007D30BB"/>
    <w:rsid w:val="007D341E"/>
    <w:rsid w:val="007D3845"/>
    <w:rsid w:val="007D4CEF"/>
    <w:rsid w:val="007D5F26"/>
    <w:rsid w:val="007D63F8"/>
    <w:rsid w:val="007D71F1"/>
    <w:rsid w:val="007D7B57"/>
    <w:rsid w:val="007E1048"/>
    <w:rsid w:val="007E141E"/>
    <w:rsid w:val="007E3A66"/>
    <w:rsid w:val="007E3AF5"/>
    <w:rsid w:val="007E667E"/>
    <w:rsid w:val="007E70D3"/>
    <w:rsid w:val="007F1C4F"/>
    <w:rsid w:val="007F553B"/>
    <w:rsid w:val="007F77DE"/>
    <w:rsid w:val="008005FA"/>
    <w:rsid w:val="008071B8"/>
    <w:rsid w:val="008101B8"/>
    <w:rsid w:val="008144D8"/>
    <w:rsid w:val="00815A64"/>
    <w:rsid w:val="00815BD3"/>
    <w:rsid w:val="00816EA6"/>
    <w:rsid w:val="00820A21"/>
    <w:rsid w:val="00820CAA"/>
    <w:rsid w:val="00821B12"/>
    <w:rsid w:val="00826B21"/>
    <w:rsid w:val="00831538"/>
    <w:rsid w:val="00832789"/>
    <w:rsid w:val="00832DA6"/>
    <w:rsid w:val="008331C9"/>
    <w:rsid w:val="0083443A"/>
    <w:rsid w:val="00834E48"/>
    <w:rsid w:val="0083521F"/>
    <w:rsid w:val="0083714A"/>
    <w:rsid w:val="00840279"/>
    <w:rsid w:val="008423EF"/>
    <w:rsid w:val="00844B3E"/>
    <w:rsid w:val="00845FA5"/>
    <w:rsid w:val="008473AC"/>
    <w:rsid w:val="008476A6"/>
    <w:rsid w:val="00850EB2"/>
    <w:rsid w:val="00852B18"/>
    <w:rsid w:val="0085375D"/>
    <w:rsid w:val="008578B0"/>
    <w:rsid w:val="008602D0"/>
    <w:rsid w:val="008610E5"/>
    <w:rsid w:val="008618EF"/>
    <w:rsid w:val="00862760"/>
    <w:rsid w:val="00863472"/>
    <w:rsid w:val="00864718"/>
    <w:rsid w:val="00867535"/>
    <w:rsid w:val="00867701"/>
    <w:rsid w:val="00867869"/>
    <w:rsid w:val="00872BAE"/>
    <w:rsid w:val="0087400C"/>
    <w:rsid w:val="008753A5"/>
    <w:rsid w:val="0087628A"/>
    <w:rsid w:val="00877F7B"/>
    <w:rsid w:val="008821BC"/>
    <w:rsid w:val="008911B7"/>
    <w:rsid w:val="00892B23"/>
    <w:rsid w:val="00894D8D"/>
    <w:rsid w:val="00897125"/>
    <w:rsid w:val="00897F05"/>
    <w:rsid w:val="008A25B2"/>
    <w:rsid w:val="008A5576"/>
    <w:rsid w:val="008A748D"/>
    <w:rsid w:val="008B2E11"/>
    <w:rsid w:val="008B60EC"/>
    <w:rsid w:val="008B73A3"/>
    <w:rsid w:val="008C209A"/>
    <w:rsid w:val="008C7573"/>
    <w:rsid w:val="008D4EC8"/>
    <w:rsid w:val="008D5322"/>
    <w:rsid w:val="008D56E8"/>
    <w:rsid w:val="008D61A2"/>
    <w:rsid w:val="008D685A"/>
    <w:rsid w:val="008E4B57"/>
    <w:rsid w:val="008E4BFD"/>
    <w:rsid w:val="008E5510"/>
    <w:rsid w:val="008E7CAA"/>
    <w:rsid w:val="008F2396"/>
    <w:rsid w:val="008F27E3"/>
    <w:rsid w:val="008F4948"/>
    <w:rsid w:val="008F581E"/>
    <w:rsid w:val="008F6F67"/>
    <w:rsid w:val="00901C39"/>
    <w:rsid w:val="00903993"/>
    <w:rsid w:val="00903A9A"/>
    <w:rsid w:val="00904523"/>
    <w:rsid w:val="009069D6"/>
    <w:rsid w:val="009069F1"/>
    <w:rsid w:val="0091365E"/>
    <w:rsid w:val="00915751"/>
    <w:rsid w:val="009168F1"/>
    <w:rsid w:val="009228B9"/>
    <w:rsid w:val="00923252"/>
    <w:rsid w:val="00925E02"/>
    <w:rsid w:val="0092603C"/>
    <w:rsid w:val="0092708E"/>
    <w:rsid w:val="009270A6"/>
    <w:rsid w:val="00927371"/>
    <w:rsid w:val="009312EA"/>
    <w:rsid w:val="00931C84"/>
    <w:rsid w:val="00933677"/>
    <w:rsid w:val="009338FF"/>
    <w:rsid w:val="00933B82"/>
    <w:rsid w:val="00933EC0"/>
    <w:rsid w:val="00934E6C"/>
    <w:rsid w:val="00935739"/>
    <w:rsid w:val="00935AB1"/>
    <w:rsid w:val="0094361E"/>
    <w:rsid w:val="00946D24"/>
    <w:rsid w:val="00946ED6"/>
    <w:rsid w:val="00946F4D"/>
    <w:rsid w:val="00947E69"/>
    <w:rsid w:val="009512BF"/>
    <w:rsid w:val="0095307B"/>
    <w:rsid w:val="0095584D"/>
    <w:rsid w:val="0096135D"/>
    <w:rsid w:val="00961450"/>
    <w:rsid w:val="009638BB"/>
    <w:rsid w:val="00964650"/>
    <w:rsid w:val="00965C68"/>
    <w:rsid w:val="0096679B"/>
    <w:rsid w:val="00970877"/>
    <w:rsid w:val="0097623F"/>
    <w:rsid w:val="00980743"/>
    <w:rsid w:val="00980A1F"/>
    <w:rsid w:val="0098152E"/>
    <w:rsid w:val="0098229D"/>
    <w:rsid w:val="00982879"/>
    <w:rsid w:val="00985B87"/>
    <w:rsid w:val="00992F3A"/>
    <w:rsid w:val="00993CB0"/>
    <w:rsid w:val="00995EF7"/>
    <w:rsid w:val="00996CE9"/>
    <w:rsid w:val="009A09C5"/>
    <w:rsid w:val="009A2BB8"/>
    <w:rsid w:val="009A2E16"/>
    <w:rsid w:val="009A316D"/>
    <w:rsid w:val="009A3A2C"/>
    <w:rsid w:val="009A55AB"/>
    <w:rsid w:val="009A7D1E"/>
    <w:rsid w:val="009B1EFC"/>
    <w:rsid w:val="009B2592"/>
    <w:rsid w:val="009B4DEE"/>
    <w:rsid w:val="009B5015"/>
    <w:rsid w:val="009B53B3"/>
    <w:rsid w:val="009C0484"/>
    <w:rsid w:val="009C22EA"/>
    <w:rsid w:val="009C4CD3"/>
    <w:rsid w:val="009C54EF"/>
    <w:rsid w:val="009D0D93"/>
    <w:rsid w:val="009D23F9"/>
    <w:rsid w:val="009D2FA1"/>
    <w:rsid w:val="009D317E"/>
    <w:rsid w:val="009D328A"/>
    <w:rsid w:val="009D3770"/>
    <w:rsid w:val="009D41F0"/>
    <w:rsid w:val="009D453A"/>
    <w:rsid w:val="009D5BF7"/>
    <w:rsid w:val="009D6097"/>
    <w:rsid w:val="009D6ACD"/>
    <w:rsid w:val="009E042E"/>
    <w:rsid w:val="009E105F"/>
    <w:rsid w:val="009E392F"/>
    <w:rsid w:val="009E5BF7"/>
    <w:rsid w:val="009E5E70"/>
    <w:rsid w:val="009E6A85"/>
    <w:rsid w:val="009E7AD1"/>
    <w:rsid w:val="009F06C8"/>
    <w:rsid w:val="009F0C9C"/>
    <w:rsid w:val="009F20B6"/>
    <w:rsid w:val="009F6553"/>
    <w:rsid w:val="009F6594"/>
    <w:rsid w:val="009F6B6C"/>
    <w:rsid w:val="009F6BB4"/>
    <w:rsid w:val="009F6DFD"/>
    <w:rsid w:val="009F70CB"/>
    <w:rsid w:val="00A02585"/>
    <w:rsid w:val="00A03295"/>
    <w:rsid w:val="00A03D86"/>
    <w:rsid w:val="00A0507E"/>
    <w:rsid w:val="00A0720E"/>
    <w:rsid w:val="00A07C70"/>
    <w:rsid w:val="00A11FD8"/>
    <w:rsid w:val="00A1453C"/>
    <w:rsid w:val="00A14681"/>
    <w:rsid w:val="00A152A8"/>
    <w:rsid w:val="00A1573E"/>
    <w:rsid w:val="00A1582C"/>
    <w:rsid w:val="00A16B75"/>
    <w:rsid w:val="00A213E8"/>
    <w:rsid w:val="00A22F68"/>
    <w:rsid w:val="00A23CFC"/>
    <w:rsid w:val="00A274F3"/>
    <w:rsid w:val="00A31B5E"/>
    <w:rsid w:val="00A31E4E"/>
    <w:rsid w:val="00A34C40"/>
    <w:rsid w:val="00A40F54"/>
    <w:rsid w:val="00A52429"/>
    <w:rsid w:val="00A5262C"/>
    <w:rsid w:val="00A56623"/>
    <w:rsid w:val="00A568E4"/>
    <w:rsid w:val="00A57656"/>
    <w:rsid w:val="00A61C24"/>
    <w:rsid w:val="00A65D82"/>
    <w:rsid w:val="00A73E97"/>
    <w:rsid w:val="00A74322"/>
    <w:rsid w:val="00A759BC"/>
    <w:rsid w:val="00A7669A"/>
    <w:rsid w:val="00A775E7"/>
    <w:rsid w:val="00A80C4D"/>
    <w:rsid w:val="00A82ABC"/>
    <w:rsid w:val="00A82F1B"/>
    <w:rsid w:val="00A86029"/>
    <w:rsid w:val="00A86E52"/>
    <w:rsid w:val="00A873B7"/>
    <w:rsid w:val="00A9303C"/>
    <w:rsid w:val="00AA0E42"/>
    <w:rsid w:val="00AA1CCE"/>
    <w:rsid w:val="00AA2AB4"/>
    <w:rsid w:val="00AA4FAC"/>
    <w:rsid w:val="00AA5A1F"/>
    <w:rsid w:val="00AA6EA8"/>
    <w:rsid w:val="00AA71FD"/>
    <w:rsid w:val="00AB245E"/>
    <w:rsid w:val="00AB308A"/>
    <w:rsid w:val="00AB3F0E"/>
    <w:rsid w:val="00AB60F3"/>
    <w:rsid w:val="00AC1BD0"/>
    <w:rsid w:val="00AC1BF2"/>
    <w:rsid w:val="00AC28BF"/>
    <w:rsid w:val="00AC3084"/>
    <w:rsid w:val="00AC3E75"/>
    <w:rsid w:val="00AC3EC8"/>
    <w:rsid w:val="00AC6A3B"/>
    <w:rsid w:val="00AD2178"/>
    <w:rsid w:val="00AE107F"/>
    <w:rsid w:val="00AE1D5F"/>
    <w:rsid w:val="00AE4A44"/>
    <w:rsid w:val="00AF1270"/>
    <w:rsid w:val="00AF3DD3"/>
    <w:rsid w:val="00AF44F6"/>
    <w:rsid w:val="00AF4B08"/>
    <w:rsid w:val="00AF4D1A"/>
    <w:rsid w:val="00AF5953"/>
    <w:rsid w:val="00AF7622"/>
    <w:rsid w:val="00AF7BE5"/>
    <w:rsid w:val="00B003A2"/>
    <w:rsid w:val="00B0466F"/>
    <w:rsid w:val="00B04680"/>
    <w:rsid w:val="00B06428"/>
    <w:rsid w:val="00B12420"/>
    <w:rsid w:val="00B12EDF"/>
    <w:rsid w:val="00B134EC"/>
    <w:rsid w:val="00B145E0"/>
    <w:rsid w:val="00B20964"/>
    <w:rsid w:val="00B226B5"/>
    <w:rsid w:val="00B229B6"/>
    <w:rsid w:val="00B27272"/>
    <w:rsid w:val="00B27B27"/>
    <w:rsid w:val="00B313C5"/>
    <w:rsid w:val="00B319A2"/>
    <w:rsid w:val="00B33E53"/>
    <w:rsid w:val="00B35629"/>
    <w:rsid w:val="00B3759B"/>
    <w:rsid w:val="00B400DB"/>
    <w:rsid w:val="00B4248D"/>
    <w:rsid w:val="00B42F7B"/>
    <w:rsid w:val="00B44990"/>
    <w:rsid w:val="00B468D7"/>
    <w:rsid w:val="00B46D4E"/>
    <w:rsid w:val="00B50822"/>
    <w:rsid w:val="00B511AD"/>
    <w:rsid w:val="00B51964"/>
    <w:rsid w:val="00B52FD8"/>
    <w:rsid w:val="00B533C9"/>
    <w:rsid w:val="00B53FAD"/>
    <w:rsid w:val="00B55CEC"/>
    <w:rsid w:val="00B60E79"/>
    <w:rsid w:val="00B62D3A"/>
    <w:rsid w:val="00B63EAD"/>
    <w:rsid w:val="00B64A3A"/>
    <w:rsid w:val="00B660A7"/>
    <w:rsid w:val="00B66EE5"/>
    <w:rsid w:val="00B67F7A"/>
    <w:rsid w:val="00B702FC"/>
    <w:rsid w:val="00B70709"/>
    <w:rsid w:val="00B73AE4"/>
    <w:rsid w:val="00B747E4"/>
    <w:rsid w:val="00B74AFD"/>
    <w:rsid w:val="00B74CB4"/>
    <w:rsid w:val="00B80C2B"/>
    <w:rsid w:val="00B81471"/>
    <w:rsid w:val="00B832F2"/>
    <w:rsid w:val="00B8335D"/>
    <w:rsid w:val="00B83FF6"/>
    <w:rsid w:val="00B84467"/>
    <w:rsid w:val="00B85BAC"/>
    <w:rsid w:val="00B86E8B"/>
    <w:rsid w:val="00B966B9"/>
    <w:rsid w:val="00B9720A"/>
    <w:rsid w:val="00BA0B35"/>
    <w:rsid w:val="00BA31F5"/>
    <w:rsid w:val="00BA34C3"/>
    <w:rsid w:val="00BA5AB8"/>
    <w:rsid w:val="00BA6B5A"/>
    <w:rsid w:val="00BA7072"/>
    <w:rsid w:val="00BB4310"/>
    <w:rsid w:val="00BB68ED"/>
    <w:rsid w:val="00BB7302"/>
    <w:rsid w:val="00BC043A"/>
    <w:rsid w:val="00BC42FD"/>
    <w:rsid w:val="00BC5284"/>
    <w:rsid w:val="00BC6221"/>
    <w:rsid w:val="00BC7976"/>
    <w:rsid w:val="00BC7A6D"/>
    <w:rsid w:val="00BC7AD6"/>
    <w:rsid w:val="00BD5507"/>
    <w:rsid w:val="00BD736B"/>
    <w:rsid w:val="00BE1B23"/>
    <w:rsid w:val="00BE1FEC"/>
    <w:rsid w:val="00BE5C53"/>
    <w:rsid w:val="00BE7671"/>
    <w:rsid w:val="00BE7D2C"/>
    <w:rsid w:val="00BF0C75"/>
    <w:rsid w:val="00BF42AC"/>
    <w:rsid w:val="00BF66F0"/>
    <w:rsid w:val="00BF7FD9"/>
    <w:rsid w:val="00C00B03"/>
    <w:rsid w:val="00C0136F"/>
    <w:rsid w:val="00C0167E"/>
    <w:rsid w:val="00C01CA7"/>
    <w:rsid w:val="00C02B7C"/>
    <w:rsid w:val="00C03A19"/>
    <w:rsid w:val="00C05A93"/>
    <w:rsid w:val="00C06399"/>
    <w:rsid w:val="00C07539"/>
    <w:rsid w:val="00C077E1"/>
    <w:rsid w:val="00C07F14"/>
    <w:rsid w:val="00C109D9"/>
    <w:rsid w:val="00C10E5A"/>
    <w:rsid w:val="00C14A46"/>
    <w:rsid w:val="00C21598"/>
    <w:rsid w:val="00C2190C"/>
    <w:rsid w:val="00C257AB"/>
    <w:rsid w:val="00C26BE2"/>
    <w:rsid w:val="00C27AE8"/>
    <w:rsid w:val="00C30C64"/>
    <w:rsid w:val="00C33743"/>
    <w:rsid w:val="00C3437D"/>
    <w:rsid w:val="00C35DA2"/>
    <w:rsid w:val="00C42559"/>
    <w:rsid w:val="00C42D3A"/>
    <w:rsid w:val="00C47A3D"/>
    <w:rsid w:val="00C47CB9"/>
    <w:rsid w:val="00C50593"/>
    <w:rsid w:val="00C52738"/>
    <w:rsid w:val="00C527BC"/>
    <w:rsid w:val="00C53733"/>
    <w:rsid w:val="00C53CA1"/>
    <w:rsid w:val="00C55597"/>
    <w:rsid w:val="00C6201C"/>
    <w:rsid w:val="00C6239F"/>
    <w:rsid w:val="00C634E2"/>
    <w:rsid w:val="00C651A6"/>
    <w:rsid w:val="00C70CFE"/>
    <w:rsid w:val="00C74813"/>
    <w:rsid w:val="00C7637D"/>
    <w:rsid w:val="00C80207"/>
    <w:rsid w:val="00C843B8"/>
    <w:rsid w:val="00C854D7"/>
    <w:rsid w:val="00C85D71"/>
    <w:rsid w:val="00C86F01"/>
    <w:rsid w:val="00C9027C"/>
    <w:rsid w:val="00C9294C"/>
    <w:rsid w:val="00C92C8D"/>
    <w:rsid w:val="00C936DD"/>
    <w:rsid w:val="00C94CA2"/>
    <w:rsid w:val="00C9532D"/>
    <w:rsid w:val="00C970D8"/>
    <w:rsid w:val="00CA3BB7"/>
    <w:rsid w:val="00CA3F98"/>
    <w:rsid w:val="00CA73F5"/>
    <w:rsid w:val="00CB08A2"/>
    <w:rsid w:val="00CB0AEC"/>
    <w:rsid w:val="00CB4316"/>
    <w:rsid w:val="00CC0535"/>
    <w:rsid w:val="00CC09E4"/>
    <w:rsid w:val="00CC2D90"/>
    <w:rsid w:val="00CC372A"/>
    <w:rsid w:val="00CC6528"/>
    <w:rsid w:val="00CC695C"/>
    <w:rsid w:val="00CC6DD5"/>
    <w:rsid w:val="00CC777A"/>
    <w:rsid w:val="00CD2521"/>
    <w:rsid w:val="00CD265D"/>
    <w:rsid w:val="00CD3F0E"/>
    <w:rsid w:val="00CD4C29"/>
    <w:rsid w:val="00CD6809"/>
    <w:rsid w:val="00CD6FCC"/>
    <w:rsid w:val="00CE0E65"/>
    <w:rsid w:val="00CE6EF4"/>
    <w:rsid w:val="00CF028D"/>
    <w:rsid w:val="00CF281B"/>
    <w:rsid w:val="00CF2D01"/>
    <w:rsid w:val="00CF3950"/>
    <w:rsid w:val="00CF3EF1"/>
    <w:rsid w:val="00CF4623"/>
    <w:rsid w:val="00CF47FD"/>
    <w:rsid w:val="00CF49A3"/>
    <w:rsid w:val="00CF6662"/>
    <w:rsid w:val="00CF7CEB"/>
    <w:rsid w:val="00D0085C"/>
    <w:rsid w:val="00D03FDE"/>
    <w:rsid w:val="00D102C5"/>
    <w:rsid w:val="00D1389E"/>
    <w:rsid w:val="00D138C9"/>
    <w:rsid w:val="00D14F5A"/>
    <w:rsid w:val="00D1625A"/>
    <w:rsid w:val="00D17F4F"/>
    <w:rsid w:val="00D212A3"/>
    <w:rsid w:val="00D22B7F"/>
    <w:rsid w:val="00D236D1"/>
    <w:rsid w:val="00D24098"/>
    <w:rsid w:val="00D276E6"/>
    <w:rsid w:val="00D309EE"/>
    <w:rsid w:val="00D331F9"/>
    <w:rsid w:val="00D33387"/>
    <w:rsid w:val="00D34252"/>
    <w:rsid w:val="00D368BE"/>
    <w:rsid w:val="00D40425"/>
    <w:rsid w:val="00D4045E"/>
    <w:rsid w:val="00D41E73"/>
    <w:rsid w:val="00D42162"/>
    <w:rsid w:val="00D458CF"/>
    <w:rsid w:val="00D45AD8"/>
    <w:rsid w:val="00D507A2"/>
    <w:rsid w:val="00D53681"/>
    <w:rsid w:val="00D57F51"/>
    <w:rsid w:val="00D61EC0"/>
    <w:rsid w:val="00D6239E"/>
    <w:rsid w:val="00D628F7"/>
    <w:rsid w:val="00D64154"/>
    <w:rsid w:val="00D667B4"/>
    <w:rsid w:val="00D70FE2"/>
    <w:rsid w:val="00D73B76"/>
    <w:rsid w:val="00D7482F"/>
    <w:rsid w:val="00D748D3"/>
    <w:rsid w:val="00D75DA0"/>
    <w:rsid w:val="00D80953"/>
    <w:rsid w:val="00D82771"/>
    <w:rsid w:val="00D82A0C"/>
    <w:rsid w:val="00D84BD7"/>
    <w:rsid w:val="00D84F7F"/>
    <w:rsid w:val="00D85694"/>
    <w:rsid w:val="00D86652"/>
    <w:rsid w:val="00D8724F"/>
    <w:rsid w:val="00D87287"/>
    <w:rsid w:val="00D87990"/>
    <w:rsid w:val="00D90B11"/>
    <w:rsid w:val="00D90D1F"/>
    <w:rsid w:val="00D90F7B"/>
    <w:rsid w:val="00D9105B"/>
    <w:rsid w:val="00D91E67"/>
    <w:rsid w:val="00D922AC"/>
    <w:rsid w:val="00D9302F"/>
    <w:rsid w:val="00D94EBD"/>
    <w:rsid w:val="00D974CF"/>
    <w:rsid w:val="00DA1B81"/>
    <w:rsid w:val="00DA6BE6"/>
    <w:rsid w:val="00DA6F61"/>
    <w:rsid w:val="00DA70B9"/>
    <w:rsid w:val="00DB035B"/>
    <w:rsid w:val="00DB3491"/>
    <w:rsid w:val="00DB4029"/>
    <w:rsid w:val="00DC08F7"/>
    <w:rsid w:val="00DD0EE6"/>
    <w:rsid w:val="00DD6B9C"/>
    <w:rsid w:val="00DD739C"/>
    <w:rsid w:val="00DE13B5"/>
    <w:rsid w:val="00DE1FAA"/>
    <w:rsid w:val="00DE2214"/>
    <w:rsid w:val="00DE3F22"/>
    <w:rsid w:val="00DF02C2"/>
    <w:rsid w:val="00DF362E"/>
    <w:rsid w:val="00DF59C7"/>
    <w:rsid w:val="00E01B17"/>
    <w:rsid w:val="00E05BDB"/>
    <w:rsid w:val="00E104EC"/>
    <w:rsid w:val="00E14755"/>
    <w:rsid w:val="00E16FAF"/>
    <w:rsid w:val="00E238EE"/>
    <w:rsid w:val="00E2714E"/>
    <w:rsid w:val="00E2725A"/>
    <w:rsid w:val="00E27972"/>
    <w:rsid w:val="00E27E18"/>
    <w:rsid w:val="00E30593"/>
    <w:rsid w:val="00E3222A"/>
    <w:rsid w:val="00E3330B"/>
    <w:rsid w:val="00E36214"/>
    <w:rsid w:val="00E441F9"/>
    <w:rsid w:val="00E453C1"/>
    <w:rsid w:val="00E45694"/>
    <w:rsid w:val="00E4636E"/>
    <w:rsid w:val="00E50698"/>
    <w:rsid w:val="00E54E9D"/>
    <w:rsid w:val="00E55045"/>
    <w:rsid w:val="00E55A05"/>
    <w:rsid w:val="00E56D5A"/>
    <w:rsid w:val="00E60C29"/>
    <w:rsid w:val="00E622F4"/>
    <w:rsid w:val="00E62E55"/>
    <w:rsid w:val="00E62E76"/>
    <w:rsid w:val="00E67878"/>
    <w:rsid w:val="00E70B8F"/>
    <w:rsid w:val="00E7120C"/>
    <w:rsid w:val="00E73FBE"/>
    <w:rsid w:val="00E74E3D"/>
    <w:rsid w:val="00E761C8"/>
    <w:rsid w:val="00E7781D"/>
    <w:rsid w:val="00E8028C"/>
    <w:rsid w:val="00E80BE9"/>
    <w:rsid w:val="00E8182A"/>
    <w:rsid w:val="00E83E1E"/>
    <w:rsid w:val="00E83E7B"/>
    <w:rsid w:val="00E8481C"/>
    <w:rsid w:val="00E86B9D"/>
    <w:rsid w:val="00E87A8A"/>
    <w:rsid w:val="00E90368"/>
    <w:rsid w:val="00E91565"/>
    <w:rsid w:val="00E919AF"/>
    <w:rsid w:val="00E920D5"/>
    <w:rsid w:val="00E9259E"/>
    <w:rsid w:val="00E93579"/>
    <w:rsid w:val="00E94119"/>
    <w:rsid w:val="00E94880"/>
    <w:rsid w:val="00E94D35"/>
    <w:rsid w:val="00E950DB"/>
    <w:rsid w:val="00E9645E"/>
    <w:rsid w:val="00E966AE"/>
    <w:rsid w:val="00EA224D"/>
    <w:rsid w:val="00EA2C2B"/>
    <w:rsid w:val="00EA47ED"/>
    <w:rsid w:val="00EA4AB7"/>
    <w:rsid w:val="00EA5F06"/>
    <w:rsid w:val="00EA627A"/>
    <w:rsid w:val="00EA74F5"/>
    <w:rsid w:val="00EB1F41"/>
    <w:rsid w:val="00EB27E9"/>
    <w:rsid w:val="00EB4806"/>
    <w:rsid w:val="00EB75F8"/>
    <w:rsid w:val="00EB7B5B"/>
    <w:rsid w:val="00EC1C49"/>
    <w:rsid w:val="00EC226C"/>
    <w:rsid w:val="00EC6870"/>
    <w:rsid w:val="00ED1CDD"/>
    <w:rsid w:val="00EE242D"/>
    <w:rsid w:val="00EE321A"/>
    <w:rsid w:val="00EE35CC"/>
    <w:rsid w:val="00EE38B6"/>
    <w:rsid w:val="00EE426B"/>
    <w:rsid w:val="00EE5149"/>
    <w:rsid w:val="00EE51F1"/>
    <w:rsid w:val="00EF06EE"/>
    <w:rsid w:val="00EF1104"/>
    <w:rsid w:val="00EF3A54"/>
    <w:rsid w:val="00EF4704"/>
    <w:rsid w:val="00EF6F2F"/>
    <w:rsid w:val="00F00143"/>
    <w:rsid w:val="00F01201"/>
    <w:rsid w:val="00F020DF"/>
    <w:rsid w:val="00F03767"/>
    <w:rsid w:val="00F0393B"/>
    <w:rsid w:val="00F04225"/>
    <w:rsid w:val="00F0523A"/>
    <w:rsid w:val="00F05812"/>
    <w:rsid w:val="00F1029C"/>
    <w:rsid w:val="00F10433"/>
    <w:rsid w:val="00F12D72"/>
    <w:rsid w:val="00F13B6A"/>
    <w:rsid w:val="00F14B59"/>
    <w:rsid w:val="00F15BB3"/>
    <w:rsid w:val="00F162EB"/>
    <w:rsid w:val="00F179C6"/>
    <w:rsid w:val="00F17BD7"/>
    <w:rsid w:val="00F206F2"/>
    <w:rsid w:val="00F21128"/>
    <w:rsid w:val="00F23B37"/>
    <w:rsid w:val="00F25550"/>
    <w:rsid w:val="00F34164"/>
    <w:rsid w:val="00F361A5"/>
    <w:rsid w:val="00F3651A"/>
    <w:rsid w:val="00F369DF"/>
    <w:rsid w:val="00F37C03"/>
    <w:rsid w:val="00F40A6F"/>
    <w:rsid w:val="00F41A95"/>
    <w:rsid w:val="00F429A3"/>
    <w:rsid w:val="00F433E5"/>
    <w:rsid w:val="00F43531"/>
    <w:rsid w:val="00F43F72"/>
    <w:rsid w:val="00F4771C"/>
    <w:rsid w:val="00F528CD"/>
    <w:rsid w:val="00F53522"/>
    <w:rsid w:val="00F53979"/>
    <w:rsid w:val="00F548E8"/>
    <w:rsid w:val="00F55820"/>
    <w:rsid w:val="00F5662D"/>
    <w:rsid w:val="00F65E56"/>
    <w:rsid w:val="00F7152C"/>
    <w:rsid w:val="00F72934"/>
    <w:rsid w:val="00F72F6E"/>
    <w:rsid w:val="00F73D29"/>
    <w:rsid w:val="00F756B6"/>
    <w:rsid w:val="00F770EC"/>
    <w:rsid w:val="00F7739A"/>
    <w:rsid w:val="00F819DF"/>
    <w:rsid w:val="00F820D3"/>
    <w:rsid w:val="00F837F4"/>
    <w:rsid w:val="00F83BF7"/>
    <w:rsid w:val="00F84BF1"/>
    <w:rsid w:val="00F84FEB"/>
    <w:rsid w:val="00F86DA5"/>
    <w:rsid w:val="00F872D3"/>
    <w:rsid w:val="00F904D2"/>
    <w:rsid w:val="00F9153A"/>
    <w:rsid w:val="00F9214B"/>
    <w:rsid w:val="00F930E6"/>
    <w:rsid w:val="00F94513"/>
    <w:rsid w:val="00F94B6A"/>
    <w:rsid w:val="00F96BB0"/>
    <w:rsid w:val="00F97057"/>
    <w:rsid w:val="00F97706"/>
    <w:rsid w:val="00FA0780"/>
    <w:rsid w:val="00FA25BA"/>
    <w:rsid w:val="00FA3452"/>
    <w:rsid w:val="00FA44C1"/>
    <w:rsid w:val="00FB3698"/>
    <w:rsid w:val="00FB4A06"/>
    <w:rsid w:val="00FB4E50"/>
    <w:rsid w:val="00FB53E1"/>
    <w:rsid w:val="00FC284E"/>
    <w:rsid w:val="00FC3D82"/>
    <w:rsid w:val="00FC44DF"/>
    <w:rsid w:val="00FC4E99"/>
    <w:rsid w:val="00FC6707"/>
    <w:rsid w:val="00FC753C"/>
    <w:rsid w:val="00FD1100"/>
    <w:rsid w:val="00FD2BBD"/>
    <w:rsid w:val="00FD3BC5"/>
    <w:rsid w:val="00FD45BE"/>
    <w:rsid w:val="00FD4A7B"/>
    <w:rsid w:val="00FD62FA"/>
    <w:rsid w:val="00FD75EB"/>
    <w:rsid w:val="00FD780F"/>
    <w:rsid w:val="00FE244A"/>
    <w:rsid w:val="00FE270D"/>
    <w:rsid w:val="00FE4F36"/>
    <w:rsid w:val="00FE5F87"/>
    <w:rsid w:val="00FE697F"/>
    <w:rsid w:val="00FE72F8"/>
    <w:rsid w:val="00FE7DBB"/>
    <w:rsid w:val="00FF0226"/>
    <w:rsid w:val="00FF3CDF"/>
    <w:rsid w:val="00FF48FB"/>
    <w:rsid w:val="00FF5692"/>
    <w:rsid w:val="00FF65D6"/>
    <w:rsid w:val="00FF7124"/>
    <w:rsid w:val="00FF74AB"/>
    <w:rsid w:val="0CFB1275"/>
    <w:rsid w:val="4F82262B"/>
    <w:rsid w:val="51775BE4"/>
    <w:rsid w:val="5E650F2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nhideWhenUsed="1"/>
    <w:lsdException w:name="toc 4" w:uiPriority="39" w:qFormat="1"/>
    <w:lsdException w:name="toc 5" w:uiPriority="39" w:qFormat="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jc w:val="center"/>
      <w:outlineLvl w:val="0"/>
    </w:pPr>
    <w:rPr>
      <w:rFonts w:eastAsia="黑体"/>
      <w:bCs/>
      <w:kern w:val="44"/>
      <w:sz w:val="44"/>
      <w:szCs w:val="44"/>
    </w:rPr>
  </w:style>
  <w:style w:type="paragraph" w:styleId="2">
    <w:name w:val="heading 2"/>
    <w:basedOn w:val="a"/>
    <w:next w:val="a"/>
    <w:qFormat/>
    <w:pPr>
      <w:keepNext/>
      <w:keepLines/>
      <w:spacing w:before="260" w:after="260" w:line="413" w:lineRule="auto"/>
      <w:jc w:val="center"/>
      <w:outlineLvl w:val="1"/>
    </w:pPr>
    <w:rPr>
      <w:rFonts w:eastAsia="黑体"/>
      <w:bCs/>
      <w:sz w:val="32"/>
      <w:szCs w:val="32"/>
    </w:rPr>
  </w:style>
  <w:style w:type="paragraph" w:styleId="3">
    <w:name w:val="heading 3"/>
    <w:basedOn w:val="a"/>
    <w:next w:val="a"/>
    <w:qFormat/>
    <w:pPr>
      <w:keepNext/>
      <w:keepLines/>
      <w:spacing w:before="260" w:after="260" w:line="413" w:lineRule="auto"/>
      <w:jc w:val="center"/>
      <w:outlineLvl w:val="2"/>
    </w:pPr>
    <w:rPr>
      <w:rFonts w:eastAsia="黑体"/>
      <w:bCs/>
      <w:sz w:val="30"/>
      <w:szCs w:val="30"/>
    </w:rPr>
  </w:style>
  <w:style w:type="paragraph" w:styleId="4">
    <w:name w:val="heading 4"/>
    <w:basedOn w:val="a"/>
    <w:next w:val="a"/>
    <w:qFormat/>
    <w:pPr>
      <w:keepNext/>
      <w:keepLines/>
      <w:spacing w:before="280" w:after="290" w:line="377" w:lineRule="auto"/>
      <w:ind w:firstLineChars="200" w:firstLine="200"/>
      <w:outlineLvl w:val="3"/>
    </w:pPr>
    <w:rPr>
      <w:rFonts w:eastAsia="黑体"/>
      <w:bCs/>
      <w:sz w:val="24"/>
    </w:rPr>
  </w:style>
  <w:style w:type="paragraph" w:styleId="5">
    <w:name w:val="heading 5"/>
    <w:basedOn w:val="a"/>
    <w:next w:val="a"/>
    <w:link w:val="5Char"/>
    <w:qFormat/>
    <w:pPr>
      <w:keepNext/>
      <w:keepLines/>
      <w:spacing w:before="280" w:after="290" w:line="377" w:lineRule="auto"/>
      <w:ind w:firstLineChars="200" w:firstLine="200"/>
      <w:outlineLvl w:val="4"/>
    </w:pPr>
    <w:rPr>
      <w:rFonts w:eastAsia="黑体"/>
      <w:bCs/>
      <w:sz w:val="24"/>
    </w:rPr>
  </w:style>
  <w:style w:type="paragraph" w:styleId="6">
    <w:name w:val="heading 6"/>
    <w:basedOn w:val="a"/>
    <w:next w:val="a"/>
    <w:qFormat/>
    <w:pPr>
      <w:keepNext/>
      <w:keepLines/>
      <w:spacing w:before="240" w:after="64" w:line="317" w:lineRule="auto"/>
      <w:ind w:firstLineChars="200" w:firstLine="200"/>
      <w:outlineLvl w:val="5"/>
    </w:pPr>
    <w:rPr>
      <w:rFonts w:eastAsia="黑体"/>
      <w:bCs/>
      <w:sz w:val="24"/>
    </w:rPr>
  </w:style>
  <w:style w:type="paragraph" w:styleId="7">
    <w:name w:val="heading 7"/>
    <w:basedOn w:val="a"/>
    <w:next w:val="a"/>
    <w:qFormat/>
    <w:pPr>
      <w:keepNext/>
      <w:keepLines/>
      <w:spacing w:before="240" w:after="64" w:line="317" w:lineRule="auto"/>
      <w:ind w:firstLineChars="200" w:firstLine="200"/>
      <w:outlineLvl w:val="6"/>
    </w:pPr>
    <w:rPr>
      <w:rFonts w:eastAsia="黑体"/>
      <w:bCs/>
      <w:sz w:val="24"/>
    </w:rPr>
  </w:style>
  <w:style w:type="paragraph" w:styleId="8">
    <w:name w:val="heading 8"/>
    <w:basedOn w:val="a"/>
    <w:next w:val="a"/>
    <w:qFormat/>
    <w:pPr>
      <w:keepNext/>
      <w:keepLines/>
      <w:spacing w:before="240" w:after="64" w:line="317" w:lineRule="auto"/>
      <w:ind w:firstLineChars="200" w:firstLine="200"/>
      <w:outlineLvl w:val="7"/>
    </w:pPr>
    <w:rPr>
      <w:rFonts w:eastAsia="黑体"/>
      <w:sz w:val="24"/>
    </w:rPr>
  </w:style>
  <w:style w:type="paragraph" w:styleId="9">
    <w:name w:val="heading 9"/>
    <w:basedOn w:val="a"/>
    <w:next w:val="a"/>
    <w:qFormat/>
    <w:pPr>
      <w:keepNext/>
      <w:keepLines/>
      <w:spacing w:before="240" w:after="64" w:line="317" w:lineRule="auto"/>
      <w:ind w:firstLineChars="200" w:firstLine="200"/>
      <w:outlineLvl w:val="8"/>
    </w:pPr>
    <w:rPr>
      <w:rFonts w:eastAsia="黑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qFormat/>
    <w:pPr>
      <w:shd w:val="clear" w:color="auto" w:fill="000080"/>
    </w:pPr>
  </w:style>
  <w:style w:type="paragraph" w:styleId="a4">
    <w:name w:val="annotation text"/>
    <w:basedOn w:val="a"/>
    <w:link w:val="Char"/>
    <w:qFormat/>
    <w:pPr>
      <w:jc w:val="left"/>
    </w:pPr>
  </w:style>
  <w:style w:type="paragraph" w:styleId="50">
    <w:name w:val="toc 5"/>
    <w:basedOn w:val="a"/>
    <w:next w:val="a"/>
    <w:uiPriority w:val="39"/>
    <w:qFormat/>
    <w:pPr>
      <w:tabs>
        <w:tab w:val="right" w:leader="dot" w:pos="9214"/>
      </w:tabs>
      <w:ind w:leftChars="472" w:left="991" w:rightChars="201" w:right="422" w:firstLine="2"/>
    </w:pPr>
  </w:style>
  <w:style w:type="paragraph" w:styleId="a5">
    <w:name w:val="Balloon Text"/>
    <w:basedOn w:val="a"/>
    <w:qFormat/>
    <w:rPr>
      <w:sz w:val="18"/>
      <w:szCs w:val="18"/>
    </w:rPr>
  </w:style>
  <w:style w:type="paragraph" w:styleId="a6">
    <w:name w:val="footer"/>
    <w:basedOn w:val="a"/>
    <w:link w:val="Char0"/>
    <w:uiPriority w:val="99"/>
    <w:qFormat/>
    <w:pPr>
      <w:tabs>
        <w:tab w:val="center" w:pos="4153"/>
        <w:tab w:val="right" w:pos="8306"/>
      </w:tabs>
      <w:snapToGrid w:val="0"/>
      <w:jc w:val="left"/>
    </w:pPr>
    <w:rPr>
      <w:rFonts w:eastAsia="方正仿宋简体"/>
      <w:sz w:val="18"/>
      <w:szCs w:val="20"/>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style>
  <w:style w:type="paragraph" w:styleId="40">
    <w:name w:val="toc 4"/>
    <w:basedOn w:val="a"/>
    <w:next w:val="a"/>
    <w:uiPriority w:val="39"/>
    <w:qFormat/>
    <w:pPr>
      <w:tabs>
        <w:tab w:val="right" w:leader="dot" w:pos="9214"/>
      </w:tabs>
      <w:spacing w:line="300" w:lineRule="exact"/>
      <w:ind w:leftChars="67" w:left="141" w:firstLine="1"/>
    </w:pPr>
  </w:style>
  <w:style w:type="paragraph" w:styleId="20">
    <w:name w:val="toc 2"/>
    <w:basedOn w:val="a"/>
    <w:next w:val="a"/>
    <w:autoRedefine/>
    <w:uiPriority w:val="39"/>
    <w:unhideWhenUsed/>
    <w:qFormat/>
    <w:pPr>
      <w:ind w:leftChars="200" w:left="420"/>
    </w:pPr>
  </w:style>
  <w:style w:type="paragraph" w:styleId="a8">
    <w:name w:val="Normal (Web)"/>
    <w:basedOn w:val="a"/>
    <w:uiPriority w:val="99"/>
    <w:unhideWhenUsed/>
    <w:qFormat/>
    <w:pPr>
      <w:widowControl/>
      <w:spacing w:before="100" w:beforeAutospacing="1" w:after="100" w:afterAutospacing="1"/>
      <w:jc w:val="left"/>
    </w:pPr>
    <w:rPr>
      <w:rFonts w:ascii="宋体" w:hAnsi="宋体" w:cs="宋体"/>
      <w:color w:val="000000"/>
      <w:kern w:val="0"/>
      <w:sz w:val="24"/>
    </w:rPr>
  </w:style>
  <w:style w:type="paragraph" w:styleId="a9">
    <w:name w:val="Title"/>
    <w:basedOn w:val="a"/>
    <w:next w:val="a"/>
    <w:link w:val="Char1"/>
    <w:qFormat/>
    <w:pPr>
      <w:spacing w:before="240" w:after="60"/>
      <w:jc w:val="center"/>
      <w:outlineLvl w:val="0"/>
    </w:pPr>
    <w:rPr>
      <w:rFonts w:ascii="Cambria" w:hAnsi="Cambria"/>
      <w:b/>
      <w:bCs/>
      <w:sz w:val="32"/>
      <w:szCs w:val="32"/>
    </w:rPr>
  </w:style>
  <w:style w:type="paragraph" w:styleId="aa">
    <w:name w:val="annotation subject"/>
    <w:basedOn w:val="a4"/>
    <w:next w:val="a4"/>
    <w:link w:val="Char2"/>
    <w:uiPriority w:val="99"/>
    <w:qFormat/>
    <w:rPr>
      <w:b/>
      <w:bCs/>
    </w:rPr>
  </w:style>
  <w:style w:type="table" w:styleId="ab">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qFormat/>
  </w:style>
  <w:style w:type="character" w:styleId="ad">
    <w:name w:val="Emphasis"/>
    <w:basedOn w:val="a0"/>
    <w:uiPriority w:val="20"/>
    <w:qFormat/>
    <w:rPr>
      <w:b/>
      <w:bCs/>
      <w:color w:val="C15653"/>
      <w:u w:val="single"/>
    </w:rPr>
  </w:style>
  <w:style w:type="character" w:styleId="ae">
    <w:name w:val="Hyperlink"/>
    <w:uiPriority w:val="99"/>
    <w:qFormat/>
    <w:rPr>
      <w:color w:val="0000FF"/>
      <w:u w:val="single"/>
    </w:rPr>
  </w:style>
  <w:style w:type="character" w:styleId="af">
    <w:name w:val="annotation reference"/>
    <w:qFormat/>
    <w:rPr>
      <w:sz w:val="21"/>
      <w:szCs w:val="21"/>
    </w:rPr>
  </w:style>
  <w:style w:type="character" w:customStyle="1" w:styleId="Char3">
    <w:name w:val="节 Char"/>
    <w:link w:val="af0"/>
    <w:qFormat/>
    <w:rPr>
      <w:rFonts w:eastAsia="黑体"/>
      <w:bCs/>
      <w:kern w:val="2"/>
      <w:sz w:val="21"/>
      <w:szCs w:val="21"/>
      <w:lang w:val="en-US" w:eastAsia="zh-CN" w:bidi="ar-SA"/>
    </w:rPr>
  </w:style>
  <w:style w:type="paragraph" w:customStyle="1" w:styleId="af0">
    <w:name w:val="节"/>
    <w:basedOn w:val="5"/>
    <w:link w:val="Char3"/>
    <w:qFormat/>
    <w:pPr>
      <w:ind w:firstLineChars="0" w:firstLine="0"/>
      <w:jc w:val="center"/>
    </w:pPr>
    <w:rPr>
      <w:sz w:val="21"/>
      <w:szCs w:val="21"/>
    </w:rPr>
  </w:style>
  <w:style w:type="character" w:customStyle="1" w:styleId="5Char">
    <w:name w:val="标题 5 Char"/>
    <w:link w:val="5"/>
    <w:qFormat/>
    <w:rPr>
      <w:rFonts w:eastAsia="黑体"/>
      <w:bCs/>
      <w:kern w:val="2"/>
      <w:sz w:val="24"/>
      <w:szCs w:val="24"/>
      <w:lang w:val="en-US" w:eastAsia="zh-CN" w:bidi="ar-SA"/>
    </w:rPr>
  </w:style>
  <w:style w:type="paragraph" w:customStyle="1" w:styleId="af1">
    <w:name w:val="章"/>
    <w:basedOn w:val="4"/>
    <w:qFormat/>
    <w:pPr>
      <w:spacing w:before="260" w:after="260" w:line="413" w:lineRule="auto"/>
      <w:ind w:firstLineChars="0" w:firstLine="0"/>
      <w:jc w:val="center"/>
    </w:pPr>
    <w:rPr>
      <w:sz w:val="21"/>
      <w:szCs w:val="21"/>
    </w:rPr>
  </w:style>
  <w:style w:type="paragraph" w:customStyle="1" w:styleId="Char4">
    <w:name w:val="Char"/>
    <w:basedOn w:val="a"/>
    <w:qFormat/>
    <w:pPr>
      <w:widowControl/>
      <w:spacing w:after="160" w:line="240" w:lineRule="exact"/>
      <w:jc w:val="left"/>
    </w:pPr>
    <w:rPr>
      <w:rFonts w:ascii="Verdana" w:hAnsi="Verdana"/>
      <w:kern w:val="0"/>
      <w:sz w:val="20"/>
      <w:szCs w:val="20"/>
      <w:lang w:eastAsia="en-US"/>
    </w:rPr>
  </w:style>
  <w:style w:type="paragraph" w:customStyle="1" w:styleId="af2">
    <w:name w:val="文号"/>
    <w:basedOn w:val="3"/>
    <w:qFormat/>
    <w:rPr>
      <w:rFonts w:eastAsia="仿宋_GB2312"/>
      <w:sz w:val="18"/>
      <w:szCs w:val="18"/>
    </w:rPr>
  </w:style>
  <w:style w:type="paragraph" w:customStyle="1" w:styleId="11">
    <w:name w:val="修订1"/>
    <w:hidden/>
    <w:uiPriority w:val="99"/>
    <w:semiHidden/>
    <w:qFormat/>
    <w:rPr>
      <w:kern w:val="2"/>
      <w:sz w:val="21"/>
      <w:szCs w:val="24"/>
    </w:rPr>
  </w:style>
  <w:style w:type="character" w:customStyle="1" w:styleId="Char1">
    <w:name w:val="标题 Char"/>
    <w:link w:val="a9"/>
    <w:qFormat/>
    <w:rPr>
      <w:rFonts w:ascii="Cambria" w:hAnsi="Cambria" w:cs="Times New Roman"/>
      <w:b/>
      <w:bCs/>
      <w:kern w:val="2"/>
      <w:sz w:val="32"/>
      <w:szCs w:val="32"/>
    </w:rPr>
  </w:style>
  <w:style w:type="character" w:customStyle="1" w:styleId="12">
    <w:name w:val="页码1"/>
    <w:basedOn w:val="a0"/>
    <w:qFormat/>
  </w:style>
  <w:style w:type="character" w:customStyle="1" w:styleId="13">
    <w:name w:val="批注引用1"/>
    <w:qFormat/>
    <w:rPr>
      <w:sz w:val="21"/>
      <w:szCs w:val="21"/>
    </w:rPr>
  </w:style>
  <w:style w:type="character" w:customStyle="1" w:styleId="CharChar">
    <w:name w:val="节 Char Char"/>
    <w:qFormat/>
    <w:rPr>
      <w:rFonts w:eastAsia="黑体"/>
      <w:bCs/>
      <w:kern w:val="2"/>
      <w:sz w:val="21"/>
      <w:szCs w:val="21"/>
      <w:lang w:val="en-US" w:eastAsia="zh-CN"/>
    </w:rPr>
  </w:style>
  <w:style w:type="character" w:customStyle="1" w:styleId="Char">
    <w:name w:val="批注文字 Char"/>
    <w:link w:val="a4"/>
    <w:qFormat/>
    <w:rPr>
      <w:kern w:val="2"/>
      <w:sz w:val="21"/>
      <w:szCs w:val="24"/>
    </w:rPr>
  </w:style>
  <w:style w:type="paragraph" w:customStyle="1" w:styleId="Char10">
    <w:name w:val="Char1"/>
    <w:basedOn w:val="a"/>
    <w:qFormat/>
    <w:pPr>
      <w:widowControl/>
      <w:spacing w:after="160" w:line="240" w:lineRule="exact"/>
      <w:jc w:val="left"/>
    </w:pPr>
    <w:rPr>
      <w:rFonts w:ascii="Verdana" w:hAnsi="Verdana"/>
      <w:kern w:val="0"/>
      <w:sz w:val="20"/>
      <w:szCs w:val="20"/>
      <w:lang w:eastAsia="en-US"/>
    </w:rPr>
  </w:style>
  <w:style w:type="paragraph" w:customStyle="1" w:styleId="14">
    <w:name w:val="文档结构图1"/>
    <w:basedOn w:val="a"/>
    <w:qFormat/>
    <w:pPr>
      <w:shd w:val="clear" w:color="auto" w:fill="000080"/>
    </w:pPr>
  </w:style>
  <w:style w:type="paragraph" w:customStyle="1" w:styleId="15">
    <w:name w:val="普通(网站)1"/>
    <w:basedOn w:val="a"/>
    <w:qFormat/>
    <w:pPr>
      <w:widowControl/>
      <w:spacing w:before="100" w:beforeAutospacing="1" w:after="100" w:afterAutospacing="1"/>
      <w:jc w:val="left"/>
    </w:pPr>
    <w:rPr>
      <w:rFonts w:ascii="宋体" w:hAnsi="宋体" w:cs="宋体"/>
      <w:kern w:val="0"/>
      <w:sz w:val="24"/>
    </w:rPr>
  </w:style>
  <w:style w:type="paragraph" w:customStyle="1" w:styleId="16">
    <w:name w:val="批注主题1"/>
    <w:basedOn w:val="a4"/>
    <w:next w:val="a4"/>
    <w:qFormat/>
    <w:rPr>
      <w:b/>
      <w:bCs/>
    </w:rPr>
  </w:style>
  <w:style w:type="paragraph" w:styleId="af3">
    <w:name w:val="List Paragraph"/>
    <w:basedOn w:val="a"/>
    <w:uiPriority w:val="34"/>
    <w:qFormat/>
    <w:pPr>
      <w:ind w:firstLineChars="200" w:firstLine="420"/>
    </w:pPr>
  </w:style>
  <w:style w:type="character" w:customStyle="1" w:styleId="Char2">
    <w:name w:val="批注主题 Char"/>
    <w:basedOn w:val="Char"/>
    <w:link w:val="aa"/>
    <w:uiPriority w:val="99"/>
    <w:qFormat/>
    <w:rPr>
      <w:b/>
      <w:bCs/>
      <w:kern w:val="2"/>
      <w:sz w:val="21"/>
      <w:szCs w:val="24"/>
    </w:rPr>
  </w:style>
  <w:style w:type="character" w:customStyle="1" w:styleId="Char0">
    <w:name w:val="页脚 Char"/>
    <w:basedOn w:val="a0"/>
    <w:link w:val="a6"/>
    <w:uiPriority w:val="99"/>
    <w:qFormat/>
    <w:rPr>
      <w:rFonts w:eastAsia="方正仿宋简体"/>
      <w:sz w:val="1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nhideWhenUsed="1"/>
    <w:lsdException w:name="toc 4" w:uiPriority="39" w:qFormat="1"/>
    <w:lsdException w:name="toc 5" w:uiPriority="39" w:qFormat="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jc w:val="center"/>
      <w:outlineLvl w:val="0"/>
    </w:pPr>
    <w:rPr>
      <w:rFonts w:eastAsia="黑体"/>
      <w:bCs/>
      <w:kern w:val="44"/>
      <w:sz w:val="44"/>
      <w:szCs w:val="44"/>
    </w:rPr>
  </w:style>
  <w:style w:type="paragraph" w:styleId="2">
    <w:name w:val="heading 2"/>
    <w:basedOn w:val="a"/>
    <w:next w:val="a"/>
    <w:qFormat/>
    <w:pPr>
      <w:keepNext/>
      <w:keepLines/>
      <w:spacing w:before="260" w:after="260" w:line="413" w:lineRule="auto"/>
      <w:jc w:val="center"/>
      <w:outlineLvl w:val="1"/>
    </w:pPr>
    <w:rPr>
      <w:rFonts w:eastAsia="黑体"/>
      <w:bCs/>
      <w:sz w:val="32"/>
      <w:szCs w:val="32"/>
    </w:rPr>
  </w:style>
  <w:style w:type="paragraph" w:styleId="3">
    <w:name w:val="heading 3"/>
    <w:basedOn w:val="a"/>
    <w:next w:val="a"/>
    <w:qFormat/>
    <w:pPr>
      <w:keepNext/>
      <w:keepLines/>
      <w:spacing w:before="260" w:after="260" w:line="413" w:lineRule="auto"/>
      <w:jc w:val="center"/>
      <w:outlineLvl w:val="2"/>
    </w:pPr>
    <w:rPr>
      <w:rFonts w:eastAsia="黑体"/>
      <w:bCs/>
      <w:sz w:val="30"/>
      <w:szCs w:val="30"/>
    </w:rPr>
  </w:style>
  <w:style w:type="paragraph" w:styleId="4">
    <w:name w:val="heading 4"/>
    <w:basedOn w:val="a"/>
    <w:next w:val="a"/>
    <w:qFormat/>
    <w:pPr>
      <w:keepNext/>
      <w:keepLines/>
      <w:spacing w:before="280" w:after="290" w:line="377" w:lineRule="auto"/>
      <w:ind w:firstLineChars="200" w:firstLine="200"/>
      <w:outlineLvl w:val="3"/>
    </w:pPr>
    <w:rPr>
      <w:rFonts w:eastAsia="黑体"/>
      <w:bCs/>
      <w:sz w:val="24"/>
    </w:rPr>
  </w:style>
  <w:style w:type="paragraph" w:styleId="5">
    <w:name w:val="heading 5"/>
    <w:basedOn w:val="a"/>
    <w:next w:val="a"/>
    <w:link w:val="5Char"/>
    <w:qFormat/>
    <w:pPr>
      <w:keepNext/>
      <w:keepLines/>
      <w:spacing w:before="280" w:after="290" w:line="377" w:lineRule="auto"/>
      <w:ind w:firstLineChars="200" w:firstLine="200"/>
      <w:outlineLvl w:val="4"/>
    </w:pPr>
    <w:rPr>
      <w:rFonts w:eastAsia="黑体"/>
      <w:bCs/>
      <w:sz w:val="24"/>
    </w:rPr>
  </w:style>
  <w:style w:type="paragraph" w:styleId="6">
    <w:name w:val="heading 6"/>
    <w:basedOn w:val="a"/>
    <w:next w:val="a"/>
    <w:qFormat/>
    <w:pPr>
      <w:keepNext/>
      <w:keepLines/>
      <w:spacing w:before="240" w:after="64" w:line="317" w:lineRule="auto"/>
      <w:ind w:firstLineChars="200" w:firstLine="200"/>
      <w:outlineLvl w:val="5"/>
    </w:pPr>
    <w:rPr>
      <w:rFonts w:eastAsia="黑体"/>
      <w:bCs/>
      <w:sz w:val="24"/>
    </w:rPr>
  </w:style>
  <w:style w:type="paragraph" w:styleId="7">
    <w:name w:val="heading 7"/>
    <w:basedOn w:val="a"/>
    <w:next w:val="a"/>
    <w:qFormat/>
    <w:pPr>
      <w:keepNext/>
      <w:keepLines/>
      <w:spacing w:before="240" w:after="64" w:line="317" w:lineRule="auto"/>
      <w:ind w:firstLineChars="200" w:firstLine="200"/>
      <w:outlineLvl w:val="6"/>
    </w:pPr>
    <w:rPr>
      <w:rFonts w:eastAsia="黑体"/>
      <w:bCs/>
      <w:sz w:val="24"/>
    </w:rPr>
  </w:style>
  <w:style w:type="paragraph" w:styleId="8">
    <w:name w:val="heading 8"/>
    <w:basedOn w:val="a"/>
    <w:next w:val="a"/>
    <w:qFormat/>
    <w:pPr>
      <w:keepNext/>
      <w:keepLines/>
      <w:spacing w:before="240" w:after="64" w:line="317" w:lineRule="auto"/>
      <w:ind w:firstLineChars="200" w:firstLine="200"/>
      <w:outlineLvl w:val="7"/>
    </w:pPr>
    <w:rPr>
      <w:rFonts w:eastAsia="黑体"/>
      <w:sz w:val="24"/>
    </w:rPr>
  </w:style>
  <w:style w:type="paragraph" w:styleId="9">
    <w:name w:val="heading 9"/>
    <w:basedOn w:val="a"/>
    <w:next w:val="a"/>
    <w:qFormat/>
    <w:pPr>
      <w:keepNext/>
      <w:keepLines/>
      <w:spacing w:before="240" w:after="64" w:line="317" w:lineRule="auto"/>
      <w:ind w:firstLineChars="200" w:firstLine="200"/>
      <w:outlineLvl w:val="8"/>
    </w:pPr>
    <w:rPr>
      <w:rFonts w:eastAsia="黑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qFormat/>
    <w:pPr>
      <w:shd w:val="clear" w:color="auto" w:fill="000080"/>
    </w:pPr>
  </w:style>
  <w:style w:type="paragraph" w:styleId="a4">
    <w:name w:val="annotation text"/>
    <w:basedOn w:val="a"/>
    <w:link w:val="Char"/>
    <w:qFormat/>
    <w:pPr>
      <w:jc w:val="left"/>
    </w:pPr>
  </w:style>
  <w:style w:type="paragraph" w:styleId="50">
    <w:name w:val="toc 5"/>
    <w:basedOn w:val="a"/>
    <w:next w:val="a"/>
    <w:uiPriority w:val="39"/>
    <w:qFormat/>
    <w:pPr>
      <w:tabs>
        <w:tab w:val="right" w:leader="dot" w:pos="9214"/>
      </w:tabs>
      <w:ind w:leftChars="472" w:left="991" w:rightChars="201" w:right="422" w:firstLine="2"/>
    </w:pPr>
  </w:style>
  <w:style w:type="paragraph" w:styleId="a5">
    <w:name w:val="Balloon Text"/>
    <w:basedOn w:val="a"/>
    <w:qFormat/>
    <w:rPr>
      <w:sz w:val="18"/>
      <w:szCs w:val="18"/>
    </w:rPr>
  </w:style>
  <w:style w:type="paragraph" w:styleId="a6">
    <w:name w:val="footer"/>
    <w:basedOn w:val="a"/>
    <w:link w:val="Char0"/>
    <w:uiPriority w:val="99"/>
    <w:qFormat/>
    <w:pPr>
      <w:tabs>
        <w:tab w:val="center" w:pos="4153"/>
        <w:tab w:val="right" w:pos="8306"/>
      </w:tabs>
      <w:snapToGrid w:val="0"/>
      <w:jc w:val="left"/>
    </w:pPr>
    <w:rPr>
      <w:rFonts w:eastAsia="方正仿宋简体"/>
      <w:sz w:val="18"/>
      <w:szCs w:val="20"/>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style>
  <w:style w:type="paragraph" w:styleId="40">
    <w:name w:val="toc 4"/>
    <w:basedOn w:val="a"/>
    <w:next w:val="a"/>
    <w:uiPriority w:val="39"/>
    <w:qFormat/>
    <w:pPr>
      <w:tabs>
        <w:tab w:val="right" w:leader="dot" w:pos="9214"/>
      </w:tabs>
      <w:spacing w:line="300" w:lineRule="exact"/>
      <w:ind w:leftChars="67" w:left="141" w:firstLine="1"/>
    </w:pPr>
  </w:style>
  <w:style w:type="paragraph" w:styleId="20">
    <w:name w:val="toc 2"/>
    <w:basedOn w:val="a"/>
    <w:next w:val="a"/>
    <w:autoRedefine/>
    <w:uiPriority w:val="39"/>
    <w:unhideWhenUsed/>
    <w:qFormat/>
    <w:pPr>
      <w:ind w:leftChars="200" w:left="420"/>
    </w:pPr>
  </w:style>
  <w:style w:type="paragraph" w:styleId="a8">
    <w:name w:val="Normal (Web)"/>
    <w:basedOn w:val="a"/>
    <w:uiPriority w:val="99"/>
    <w:unhideWhenUsed/>
    <w:qFormat/>
    <w:pPr>
      <w:widowControl/>
      <w:spacing w:before="100" w:beforeAutospacing="1" w:after="100" w:afterAutospacing="1"/>
      <w:jc w:val="left"/>
    </w:pPr>
    <w:rPr>
      <w:rFonts w:ascii="宋体" w:hAnsi="宋体" w:cs="宋体"/>
      <w:color w:val="000000"/>
      <w:kern w:val="0"/>
      <w:sz w:val="24"/>
    </w:rPr>
  </w:style>
  <w:style w:type="paragraph" w:styleId="a9">
    <w:name w:val="Title"/>
    <w:basedOn w:val="a"/>
    <w:next w:val="a"/>
    <w:link w:val="Char1"/>
    <w:qFormat/>
    <w:pPr>
      <w:spacing w:before="240" w:after="60"/>
      <w:jc w:val="center"/>
      <w:outlineLvl w:val="0"/>
    </w:pPr>
    <w:rPr>
      <w:rFonts w:ascii="Cambria" w:hAnsi="Cambria"/>
      <w:b/>
      <w:bCs/>
      <w:sz w:val="32"/>
      <w:szCs w:val="32"/>
    </w:rPr>
  </w:style>
  <w:style w:type="paragraph" w:styleId="aa">
    <w:name w:val="annotation subject"/>
    <w:basedOn w:val="a4"/>
    <w:next w:val="a4"/>
    <w:link w:val="Char2"/>
    <w:uiPriority w:val="99"/>
    <w:qFormat/>
    <w:rPr>
      <w:b/>
      <w:bCs/>
    </w:rPr>
  </w:style>
  <w:style w:type="table" w:styleId="ab">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qFormat/>
  </w:style>
  <w:style w:type="character" w:styleId="ad">
    <w:name w:val="Emphasis"/>
    <w:basedOn w:val="a0"/>
    <w:uiPriority w:val="20"/>
    <w:qFormat/>
    <w:rPr>
      <w:b/>
      <w:bCs/>
      <w:color w:val="C15653"/>
      <w:u w:val="single"/>
    </w:rPr>
  </w:style>
  <w:style w:type="character" w:styleId="ae">
    <w:name w:val="Hyperlink"/>
    <w:uiPriority w:val="99"/>
    <w:qFormat/>
    <w:rPr>
      <w:color w:val="0000FF"/>
      <w:u w:val="single"/>
    </w:rPr>
  </w:style>
  <w:style w:type="character" w:styleId="af">
    <w:name w:val="annotation reference"/>
    <w:qFormat/>
    <w:rPr>
      <w:sz w:val="21"/>
      <w:szCs w:val="21"/>
    </w:rPr>
  </w:style>
  <w:style w:type="character" w:customStyle="1" w:styleId="Char3">
    <w:name w:val="节 Char"/>
    <w:link w:val="af0"/>
    <w:qFormat/>
    <w:rPr>
      <w:rFonts w:eastAsia="黑体"/>
      <w:bCs/>
      <w:kern w:val="2"/>
      <w:sz w:val="21"/>
      <w:szCs w:val="21"/>
      <w:lang w:val="en-US" w:eastAsia="zh-CN" w:bidi="ar-SA"/>
    </w:rPr>
  </w:style>
  <w:style w:type="paragraph" w:customStyle="1" w:styleId="af0">
    <w:name w:val="节"/>
    <w:basedOn w:val="5"/>
    <w:link w:val="Char3"/>
    <w:qFormat/>
    <w:pPr>
      <w:ind w:firstLineChars="0" w:firstLine="0"/>
      <w:jc w:val="center"/>
    </w:pPr>
    <w:rPr>
      <w:sz w:val="21"/>
      <w:szCs w:val="21"/>
    </w:rPr>
  </w:style>
  <w:style w:type="character" w:customStyle="1" w:styleId="5Char">
    <w:name w:val="标题 5 Char"/>
    <w:link w:val="5"/>
    <w:qFormat/>
    <w:rPr>
      <w:rFonts w:eastAsia="黑体"/>
      <w:bCs/>
      <w:kern w:val="2"/>
      <w:sz w:val="24"/>
      <w:szCs w:val="24"/>
      <w:lang w:val="en-US" w:eastAsia="zh-CN" w:bidi="ar-SA"/>
    </w:rPr>
  </w:style>
  <w:style w:type="paragraph" w:customStyle="1" w:styleId="af1">
    <w:name w:val="章"/>
    <w:basedOn w:val="4"/>
    <w:qFormat/>
    <w:pPr>
      <w:spacing w:before="260" w:after="260" w:line="413" w:lineRule="auto"/>
      <w:ind w:firstLineChars="0" w:firstLine="0"/>
      <w:jc w:val="center"/>
    </w:pPr>
    <w:rPr>
      <w:sz w:val="21"/>
      <w:szCs w:val="21"/>
    </w:rPr>
  </w:style>
  <w:style w:type="paragraph" w:customStyle="1" w:styleId="Char4">
    <w:name w:val="Char"/>
    <w:basedOn w:val="a"/>
    <w:qFormat/>
    <w:pPr>
      <w:widowControl/>
      <w:spacing w:after="160" w:line="240" w:lineRule="exact"/>
      <w:jc w:val="left"/>
    </w:pPr>
    <w:rPr>
      <w:rFonts w:ascii="Verdana" w:hAnsi="Verdana"/>
      <w:kern w:val="0"/>
      <w:sz w:val="20"/>
      <w:szCs w:val="20"/>
      <w:lang w:eastAsia="en-US"/>
    </w:rPr>
  </w:style>
  <w:style w:type="paragraph" w:customStyle="1" w:styleId="af2">
    <w:name w:val="文号"/>
    <w:basedOn w:val="3"/>
    <w:qFormat/>
    <w:rPr>
      <w:rFonts w:eastAsia="仿宋_GB2312"/>
      <w:sz w:val="18"/>
      <w:szCs w:val="18"/>
    </w:rPr>
  </w:style>
  <w:style w:type="paragraph" w:customStyle="1" w:styleId="11">
    <w:name w:val="修订1"/>
    <w:hidden/>
    <w:uiPriority w:val="99"/>
    <w:semiHidden/>
    <w:qFormat/>
    <w:rPr>
      <w:kern w:val="2"/>
      <w:sz w:val="21"/>
      <w:szCs w:val="24"/>
    </w:rPr>
  </w:style>
  <w:style w:type="character" w:customStyle="1" w:styleId="Char1">
    <w:name w:val="标题 Char"/>
    <w:link w:val="a9"/>
    <w:qFormat/>
    <w:rPr>
      <w:rFonts w:ascii="Cambria" w:hAnsi="Cambria" w:cs="Times New Roman"/>
      <w:b/>
      <w:bCs/>
      <w:kern w:val="2"/>
      <w:sz w:val="32"/>
      <w:szCs w:val="32"/>
    </w:rPr>
  </w:style>
  <w:style w:type="character" w:customStyle="1" w:styleId="12">
    <w:name w:val="页码1"/>
    <w:basedOn w:val="a0"/>
    <w:qFormat/>
  </w:style>
  <w:style w:type="character" w:customStyle="1" w:styleId="13">
    <w:name w:val="批注引用1"/>
    <w:qFormat/>
    <w:rPr>
      <w:sz w:val="21"/>
      <w:szCs w:val="21"/>
    </w:rPr>
  </w:style>
  <w:style w:type="character" w:customStyle="1" w:styleId="CharChar">
    <w:name w:val="节 Char Char"/>
    <w:qFormat/>
    <w:rPr>
      <w:rFonts w:eastAsia="黑体"/>
      <w:bCs/>
      <w:kern w:val="2"/>
      <w:sz w:val="21"/>
      <w:szCs w:val="21"/>
      <w:lang w:val="en-US" w:eastAsia="zh-CN"/>
    </w:rPr>
  </w:style>
  <w:style w:type="character" w:customStyle="1" w:styleId="Char">
    <w:name w:val="批注文字 Char"/>
    <w:link w:val="a4"/>
    <w:qFormat/>
    <w:rPr>
      <w:kern w:val="2"/>
      <w:sz w:val="21"/>
      <w:szCs w:val="24"/>
    </w:rPr>
  </w:style>
  <w:style w:type="paragraph" w:customStyle="1" w:styleId="Char10">
    <w:name w:val="Char1"/>
    <w:basedOn w:val="a"/>
    <w:qFormat/>
    <w:pPr>
      <w:widowControl/>
      <w:spacing w:after="160" w:line="240" w:lineRule="exact"/>
      <w:jc w:val="left"/>
    </w:pPr>
    <w:rPr>
      <w:rFonts w:ascii="Verdana" w:hAnsi="Verdana"/>
      <w:kern w:val="0"/>
      <w:sz w:val="20"/>
      <w:szCs w:val="20"/>
      <w:lang w:eastAsia="en-US"/>
    </w:rPr>
  </w:style>
  <w:style w:type="paragraph" w:customStyle="1" w:styleId="14">
    <w:name w:val="文档结构图1"/>
    <w:basedOn w:val="a"/>
    <w:qFormat/>
    <w:pPr>
      <w:shd w:val="clear" w:color="auto" w:fill="000080"/>
    </w:pPr>
  </w:style>
  <w:style w:type="paragraph" w:customStyle="1" w:styleId="15">
    <w:name w:val="普通(网站)1"/>
    <w:basedOn w:val="a"/>
    <w:qFormat/>
    <w:pPr>
      <w:widowControl/>
      <w:spacing w:before="100" w:beforeAutospacing="1" w:after="100" w:afterAutospacing="1"/>
      <w:jc w:val="left"/>
    </w:pPr>
    <w:rPr>
      <w:rFonts w:ascii="宋体" w:hAnsi="宋体" w:cs="宋体"/>
      <w:kern w:val="0"/>
      <w:sz w:val="24"/>
    </w:rPr>
  </w:style>
  <w:style w:type="paragraph" w:customStyle="1" w:styleId="16">
    <w:name w:val="批注主题1"/>
    <w:basedOn w:val="a4"/>
    <w:next w:val="a4"/>
    <w:qFormat/>
    <w:rPr>
      <w:b/>
      <w:bCs/>
    </w:rPr>
  </w:style>
  <w:style w:type="paragraph" w:styleId="af3">
    <w:name w:val="List Paragraph"/>
    <w:basedOn w:val="a"/>
    <w:uiPriority w:val="34"/>
    <w:qFormat/>
    <w:pPr>
      <w:ind w:firstLineChars="200" w:firstLine="420"/>
    </w:pPr>
  </w:style>
  <w:style w:type="character" w:customStyle="1" w:styleId="Char2">
    <w:name w:val="批注主题 Char"/>
    <w:basedOn w:val="Char"/>
    <w:link w:val="aa"/>
    <w:uiPriority w:val="99"/>
    <w:qFormat/>
    <w:rPr>
      <w:b/>
      <w:bCs/>
      <w:kern w:val="2"/>
      <w:sz w:val="21"/>
      <w:szCs w:val="24"/>
    </w:rPr>
  </w:style>
  <w:style w:type="character" w:customStyle="1" w:styleId="Char0">
    <w:name w:val="页脚 Char"/>
    <w:basedOn w:val="a0"/>
    <w:link w:val="a6"/>
    <w:uiPriority w:val="99"/>
    <w:qFormat/>
    <w:rPr>
      <w:rFonts w:eastAsia="方正仿宋简体"/>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C2313F-44EF-4894-B011-C4CC1FBA33FE}">
  <ds:schemaRefs>
    <ds:schemaRef ds:uri="http://www.yonyou.com/datasource"/>
  </ds:schemaRefs>
</ds:datastoreItem>
</file>

<file path=customXml/itemProps2.xml><?xml version="1.0" encoding="utf-8"?>
<ds:datastoreItem xmlns:ds="http://schemas.openxmlformats.org/officeDocument/2006/customXml" ds:itemID="{359764EE-9322-483B-A681-FDEA2892524B}">
  <ds:schemaRefs>
    <ds:schemaRef ds:uri="http://www.yonyou.com/relation"/>
  </ds:schemaRefs>
</ds:datastoreItem>
</file>

<file path=customXml/itemProps3.xml><?xml version="1.0" encoding="utf-8"?>
<ds:datastoreItem xmlns:ds="http://schemas.openxmlformats.org/officeDocument/2006/customXml" ds:itemID="{76C97C66-D402-4507-8CF3-7EEED2E46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44</Pages>
  <Words>4998</Words>
  <Characters>28492</Characters>
  <Application>Microsoft Office Word</Application>
  <DocSecurity>0</DocSecurity>
  <Lines>237</Lines>
  <Paragraphs>66</Paragraphs>
  <ScaleCrop>false</ScaleCrop>
  <Company>Microsoft</Company>
  <LinksUpToDate>false</LinksUpToDate>
  <CharactersWithSpaces>33424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FXJ -JY</dc:creator>
  <cp:lastModifiedBy>hsq</cp:lastModifiedBy>
  <cp:revision>116</cp:revision>
  <cp:lastPrinted>2022-06-29T07:31:00Z</cp:lastPrinted>
  <dcterms:created xsi:type="dcterms:W3CDTF">2022-02-11T09:22:00Z</dcterms:created>
  <dcterms:modified xsi:type="dcterms:W3CDTF">2025-04-20T13:13:00Z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46D696067E7A4BA380728FCB54B5BFBD_13</vt:lpwstr>
  </property>
</Properties>
</file>