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D6032B">
      <w:pPr>
        <w:autoSpaceDE w:val="0"/>
        <w:autoSpaceDN w:val="0"/>
        <w:adjustRightInd w:val="0"/>
        <w:spacing w:line="360" w:lineRule="auto"/>
        <w:jc w:val="left"/>
        <w:rPr>
          <w:rFonts w:hint="default" w:ascii="仿宋" w:hAnsi="仿宋" w:eastAsia="仿宋"/>
          <w:color w:val="000000"/>
          <w:sz w:val="28"/>
          <w:lang w:val="en-US" w:eastAsia="zh-CN"/>
        </w:rPr>
      </w:pPr>
      <w:r>
        <w:rPr>
          <w:rFonts w:hint="eastAsia" w:ascii="仿宋" w:hAnsi="仿宋" w:eastAsia="仿宋"/>
          <w:color w:val="000000"/>
          <w:sz w:val="28"/>
        </w:rPr>
        <w:t>证券代码：301178    证券简称：天亿马   公告编号：202</w:t>
      </w:r>
      <w:r>
        <w:rPr>
          <w:rFonts w:hint="eastAsia" w:ascii="仿宋" w:hAnsi="仿宋" w:eastAsia="仿宋"/>
          <w:color w:val="000000"/>
          <w:sz w:val="28"/>
          <w:lang w:val="en-US" w:eastAsia="zh-CN"/>
        </w:rPr>
        <w:t>5</w:t>
      </w:r>
      <w:r>
        <w:rPr>
          <w:rFonts w:hint="eastAsia" w:ascii="仿宋" w:hAnsi="仿宋" w:eastAsia="仿宋"/>
          <w:color w:val="000000"/>
          <w:sz w:val="28"/>
        </w:rPr>
        <w:t>-</w:t>
      </w:r>
      <w:r>
        <w:rPr>
          <w:rFonts w:hint="eastAsia" w:ascii="仿宋" w:hAnsi="仿宋" w:eastAsia="仿宋"/>
          <w:color w:val="000000"/>
          <w:sz w:val="28"/>
          <w:lang w:val="en-US" w:eastAsia="zh-CN"/>
        </w:rPr>
        <w:t>041</w:t>
      </w:r>
    </w:p>
    <w:p w14:paraId="0A9ED11A"/>
    <w:p w14:paraId="7F7E72E3">
      <w:pPr>
        <w:spacing w:line="360" w:lineRule="auto"/>
        <w:jc w:val="center"/>
        <w:rPr>
          <w:rFonts w:ascii="黑体" w:hAnsi="黑体" w:eastAsia="黑体"/>
          <w:sz w:val="36"/>
          <w:szCs w:val="36"/>
        </w:rPr>
      </w:pPr>
      <w:r>
        <w:rPr>
          <w:rFonts w:hint="eastAsia" w:ascii="黑体" w:hAnsi="黑体" w:eastAsia="黑体"/>
          <w:sz w:val="36"/>
          <w:szCs w:val="36"/>
        </w:rPr>
        <w:t>广东天亿马信息产业股份有限公司</w:t>
      </w:r>
    </w:p>
    <w:p w14:paraId="75A3291A">
      <w:pPr>
        <w:spacing w:after="312" w:afterLines="100" w:line="360" w:lineRule="auto"/>
        <w:jc w:val="center"/>
        <w:rPr>
          <w:rFonts w:ascii="黑体" w:hAnsi="黑体" w:eastAsia="黑体"/>
          <w:sz w:val="36"/>
          <w:szCs w:val="36"/>
        </w:rPr>
      </w:pPr>
      <w:r>
        <w:rPr>
          <w:rFonts w:hint="eastAsia" w:ascii="黑体" w:hAnsi="黑体" w:eastAsia="黑体"/>
          <w:sz w:val="36"/>
          <w:szCs w:val="36"/>
        </w:rPr>
        <w:t>关于特定股东减持股份的预披露公告</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438DA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8522" w:type="dxa"/>
            <w:tcBorders>
              <w:top w:val="single" w:color="auto" w:sz="4" w:space="0"/>
              <w:left w:val="single" w:color="auto" w:sz="4" w:space="0"/>
              <w:bottom w:val="single" w:color="auto" w:sz="4" w:space="0"/>
              <w:right w:val="single" w:color="auto" w:sz="4" w:space="0"/>
            </w:tcBorders>
          </w:tcPr>
          <w:p w14:paraId="09F56223">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公司特定股东南京乐遂信息咨询管理合伙企业（有限合伙）保证向本公司提供的信息内容真实、准确、完整，没有虚假记载、误导性陈述或者重大遗漏。</w:t>
            </w:r>
          </w:p>
          <w:p w14:paraId="4C47AADD">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本公司及董事会全体成员保证公告内容与信息披露义务人提供的信息一致。</w:t>
            </w:r>
          </w:p>
        </w:tc>
      </w:tr>
    </w:tbl>
    <w:p w14:paraId="341A57D4"/>
    <w:p w14:paraId="1B215D44">
      <w:pPr>
        <w:spacing w:line="360" w:lineRule="auto"/>
        <w:outlineLvl w:val="0"/>
        <w:rPr>
          <w:rFonts w:ascii="仿宋" w:hAnsi="仿宋" w:eastAsia="仿宋"/>
          <w:b/>
          <w:color w:val="000000"/>
          <w:sz w:val="28"/>
        </w:rPr>
      </w:pPr>
      <w:r>
        <w:rPr>
          <w:rFonts w:hint="eastAsia" w:ascii="仿宋" w:hAnsi="仿宋" w:eastAsia="仿宋"/>
          <w:b/>
          <w:color w:val="000000"/>
          <w:sz w:val="28"/>
        </w:rPr>
        <w:t>特别提示：</w:t>
      </w:r>
    </w:p>
    <w:p w14:paraId="6C29A572">
      <w:pPr>
        <w:ind w:firstLine="560" w:firstLineChars="200"/>
        <w:rPr>
          <w:rFonts w:ascii="仿宋" w:hAnsi="仿宋" w:eastAsia="仿宋"/>
          <w:color w:val="000000"/>
          <w:sz w:val="28"/>
        </w:rPr>
      </w:pPr>
      <w:r>
        <w:rPr>
          <w:rFonts w:hint="eastAsia" w:ascii="仿宋" w:hAnsi="仿宋" w:eastAsia="仿宋"/>
          <w:sz w:val="28"/>
          <w:szCs w:val="28"/>
        </w:rPr>
        <w:t>南京乐遂信息咨询管理合伙企业（有限合伙）</w:t>
      </w:r>
      <w:r>
        <w:rPr>
          <w:rFonts w:hint="eastAsia" w:ascii="仿宋" w:hAnsi="仿宋" w:eastAsia="仿宋"/>
          <w:color w:val="000000"/>
          <w:sz w:val="28"/>
        </w:rPr>
        <w:t>（以下简称“</w:t>
      </w:r>
      <w:r>
        <w:rPr>
          <w:rFonts w:hint="eastAsia" w:ascii="仿宋" w:hAnsi="仿宋" w:eastAsia="仿宋"/>
          <w:sz w:val="28"/>
          <w:szCs w:val="28"/>
        </w:rPr>
        <w:t>南京乐遂</w:t>
      </w:r>
      <w:r>
        <w:rPr>
          <w:rFonts w:hint="eastAsia" w:ascii="仿宋" w:hAnsi="仿宋" w:eastAsia="仿宋"/>
          <w:color w:val="000000"/>
          <w:sz w:val="28"/>
        </w:rPr>
        <w:t>”）持有广东天亿马信息产业股份有限公司（以下简称“公司”或“天亿马”）股份</w:t>
      </w:r>
      <w:r>
        <w:rPr>
          <w:rFonts w:hint="eastAsia" w:ascii="仿宋" w:hAnsi="仿宋" w:eastAsia="仿宋"/>
          <w:sz w:val="28"/>
          <w:szCs w:val="28"/>
        </w:rPr>
        <w:t>983,186</w:t>
      </w:r>
      <w:r>
        <w:rPr>
          <w:rFonts w:hint="eastAsia" w:ascii="仿宋" w:hAnsi="仿宋" w:eastAsia="仿宋"/>
          <w:color w:val="000000"/>
          <w:sz w:val="28"/>
        </w:rPr>
        <w:t>股，占公司总股本比例</w:t>
      </w:r>
      <w:r>
        <w:rPr>
          <w:rFonts w:hint="eastAsia" w:ascii="仿宋" w:hAnsi="仿宋" w:eastAsia="仿宋"/>
          <w:color w:val="000000"/>
          <w:sz w:val="28"/>
          <w:lang w:val="en-US" w:eastAsia="zh-CN"/>
        </w:rPr>
        <w:t>1.47</w:t>
      </w:r>
      <w:r>
        <w:rPr>
          <w:rFonts w:hint="eastAsia" w:ascii="仿宋" w:hAnsi="仿宋" w:eastAsia="仿宋"/>
          <w:color w:val="000000"/>
          <w:sz w:val="28"/>
        </w:rPr>
        <w:t>%（占剔除公司最新披露回购专用账户股份的总股本比例为</w:t>
      </w:r>
      <w:r>
        <w:rPr>
          <w:rFonts w:hint="eastAsia" w:ascii="仿宋" w:hAnsi="仿宋" w:eastAsia="仿宋"/>
          <w:color w:val="000000"/>
          <w:sz w:val="28"/>
          <w:lang w:val="en-US" w:eastAsia="zh-CN"/>
        </w:rPr>
        <w:t>1.49</w:t>
      </w:r>
      <w:r>
        <w:rPr>
          <w:rFonts w:hint="eastAsia" w:ascii="仿宋" w:hAnsi="仿宋" w:eastAsia="仿宋"/>
          <w:color w:val="000000"/>
          <w:sz w:val="28"/>
        </w:rPr>
        <w:t>%），计划自本公告披露之日起3个交易日后的3个月内（202</w:t>
      </w:r>
      <w:r>
        <w:rPr>
          <w:rFonts w:hint="eastAsia" w:ascii="仿宋" w:hAnsi="仿宋" w:eastAsia="仿宋"/>
          <w:color w:val="000000"/>
          <w:sz w:val="28"/>
          <w:lang w:val="en-US" w:eastAsia="zh-CN"/>
        </w:rPr>
        <w:t>5</w:t>
      </w:r>
      <w:r>
        <w:rPr>
          <w:rFonts w:hint="eastAsia" w:ascii="仿宋" w:hAnsi="仿宋" w:eastAsia="仿宋"/>
          <w:color w:val="000000"/>
          <w:sz w:val="28"/>
        </w:rPr>
        <w:t>年</w:t>
      </w:r>
      <w:r>
        <w:rPr>
          <w:rFonts w:hint="eastAsia" w:ascii="仿宋" w:hAnsi="仿宋" w:eastAsia="仿宋"/>
          <w:color w:val="000000"/>
          <w:sz w:val="28"/>
          <w:lang w:val="en-US" w:eastAsia="zh-CN"/>
        </w:rPr>
        <w:t>4</w:t>
      </w:r>
      <w:r>
        <w:rPr>
          <w:rFonts w:hint="eastAsia" w:ascii="仿宋" w:hAnsi="仿宋" w:eastAsia="仿宋"/>
          <w:color w:val="000000"/>
          <w:sz w:val="28"/>
        </w:rPr>
        <w:t>月</w:t>
      </w:r>
      <w:r>
        <w:rPr>
          <w:rFonts w:hint="eastAsia" w:ascii="仿宋" w:hAnsi="仿宋" w:eastAsia="仿宋"/>
          <w:color w:val="000000"/>
          <w:sz w:val="28"/>
          <w:lang w:val="en-US" w:eastAsia="zh-CN"/>
        </w:rPr>
        <w:t>30</w:t>
      </w:r>
      <w:r>
        <w:rPr>
          <w:rFonts w:hint="eastAsia" w:ascii="仿宋" w:hAnsi="仿宋" w:eastAsia="仿宋"/>
          <w:color w:val="000000"/>
          <w:sz w:val="28"/>
        </w:rPr>
        <w:t>日至2025年</w:t>
      </w:r>
      <w:r>
        <w:rPr>
          <w:rFonts w:hint="eastAsia" w:ascii="仿宋" w:hAnsi="仿宋" w:eastAsia="仿宋"/>
          <w:color w:val="000000"/>
          <w:sz w:val="28"/>
          <w:lang w:val="en-US" w:eastAsia="zh-CN"/>
        </w:rPr>
        <w:t>7</w:t>
      </w:r>
      <w:r>
        <w:rPr>
          <w:rFonts w:hint="eastAsia" w:ascii="仿宋" w:hAnsi="仿宋" w:eastAsia="仿宋"/>
          <w:color w:val="000000"/>
          <w:sz w:val="28"/>
        </w:rPr>
        <w:t>月</w:t>
      </w:r>
      <w:r>
        <w:rPr>
          <w:rFonts w:hint="eastAsia" w:ascii="仿宋" w:hAnsi="仿宋" w:eastAsia="仿宋"/>
          <w:color w:val="000000"/>
          <w:sz w:val="28"/>
          <w:lang w:val="en-US" w:eastAsia="zh-CN"/>
        </w:rPr>
        <w:t>29</w:t>
      </w:r>
      <w:r>
        <w:rPr>
          <w:rFonts w:hint="eastAsia" w:ascii="仿宋" w:hAnsi="仿宋" w:eastAsia="仿宋"/>
          <w:color w:val="000000"/>
          <w:sz w:val="28"/>
        </w:rPr>
        <w:t>日）通过集中竞价方式、大宗交易等方式减持公司股份合计不超过983,186股，即不超过公司总股本比例</w:t>
      </w:r>
      <w:r>
        <w:rPr>
          <w:rFonts w:hint="eastAsia" w:ascii="仿宋" w:hAnsi="仿宋" w:eastAsia="仿宋"/>
          <w:color w:val="000000"/>
          <w:sz w:val="28"/>
          <w:lang w:val="en-US" w:eastAsia="zh-CN"/>
        </w:rPr>
        <w:t>1.47</w:t>
      </w:r>
      <w:r>
        <w:rPr>
          <w:rFonts w:hint="eastAsia" w:ascii="仿宋" w:hAnsi="仿宋" w:eastAsia="仿宋"/>
          <w:color w:val="000000"/>
          <w:sz w:val="28"/>
        </w:rPr>
        <w:t>%（占剔除公司最新披露回购专用账户股份的总股本比例为</w:t>
      </w:r>
      <w:r>
        <w:rPr>
          <w:rFonts w:hint="eastAsia" w:ascii="仿宋" w:hAnsi="仿宋" w:eastAsia="仿宋"/>
          <w:color w:val="000000"/>
          <w:sz w:val="28"/>
          <w:lang w:val="en-US" w:eastAsia="zh-CN"/>
        </w:rPr>
        <w:t>1.49</w:t>
      </w:r>
      <w:r>
        <w:rPr>
          <w:rFonts w:hint="eastAsia" w:ascii="仿宋" w:hAnsi="仿宋" w:eastAsia="仿宋"/>
          <w:color w:val="000000"/>
          <w:sz w:val="28"/>
        </w:rPr>
        <w:t>%）</w:t>
      </w:r>
      <w:r>
        <w:rPr>
          <w:rFonts w:hint="eastAsia" w:ascii="仿宋" w:hAnsi="仿宋" w:eastAsia="仿宋"/>
          <w:sz w:val="28"/>
          <w:szCs w:val="28"/>
        </w:rPr>
        <w:t>。其中，通过集中竞价交易方式减持的</w:t>
      </w:r>
      <w:r>
        <w:rPr>
          <w:rFonts w:hint="eastAsia" w:ascii="仿宋" w:hAnsi="仿宋" w:eastAsia="仿宋"/>
          <w:color w:val="000000"/>
          <w:sz w:val="28"/>
        </w:rPr>
        <w:t>不超过</w:t>
      </w:r>
      <w:r>
        <w:rPr>
          <w:rFonts w:ascii="仿宋" w:hAnsi="仿宋" w:eastAsia="仿宋"/>
          <w:color w:val="000000"/>
          <w:sz w:val="28"/>
        </w:rPr>
        <w:t>658,846</w:t>
      </w:r>
      <w:r>
        <w:rPr>
          <w:rFonts w:hint="eastAsia" w:ascii="仿宋" w:hAnsi="仿宋" w:eastAsia="仿宋"/>
          <w:color w:val="000000"/>
          <w:sz w:val="28"/>
        </w:rPr>
        <w:t>股，即不超过公司总股本</w:t>
      </w:r>
      <w:r>
        <w:rPr>
          <w:rFonts w:hint="eastAsia" w:ascii="仿宋" w:hAnsi="仿宋" w:eastAsia="仿宋"/>
          <w:color w:val="000000"/>
          <w:sz w:val="28"/>
          <w:lang w:val="en-US" w:eastAsia="zh-CN"/>
        </w:rPr>
        <w:t>0.98</w:t>
      </w:r>
      <w:r>
        <w:rPr>
          <w:rFonts w:hint="eastAsia" w:ascii="仿宋" w:hAnsi="仿宋" w:eastAsia="仿宋"/>
          <w:color w:val="000000"/>
          <w:sz w:val="28"/>
        </w:rPr>
        <w:t>%（占剔除公司最新披露回购专用账户股份的总股本比例为</w:t>
      </w:r>
      <w:r>
        <w:rPr>
          <w:rFonts w:hint="eastAsia" w:ascii="仿宋" w:hAnsi="仿宋" w:eastAsia="仿宋"/>
          <w:color w:val="000000"/>
          <w:sz w:val="28"/>
          <w:lang w:val="en-US" w:eastAsia="zh-CN"/>
        </w:rPr>
        <w:t>1.00</w:t>
      </w:r>
      <w:r>
        <w:rPr>
          <w:rFonts w:hint="eastAsia" w:ascii="仿宋" w:hAnsi="仿宋" w:eastAsia="仿宋"/>
          <w:color w:val="000000"/>
          <w:sz w:val="28"/>
        </w:rPr>
        <w:t>%）；通过大宗交易方式减持的不超过</w:t>
      </w:r>
      <w:r>
        <w:rPr>
          <w:rFonts w:ascii="仿宋" w:hAnsi="仿宋" w:eastAsia="仿宋"/>
          <w:color w:val="000000"/>
          <w:sz w:val="28"/>
        </w:rPr>
        <w:t>324,340</w:t>
      </w:r>
      <w:r>
        <w:rPr>
          <w:rFonts w:hint="eastAsia" w:ascii="仿宋" w:hAnsi="仿宋" w:eastAsia="仿宋"/>
          <w:color w:val="000000"/>
          <w:sz w:val="28"/>
        </w:rPr>
        <w:t>股，即不超过公司总股本0.4</w:t>
      </w:r>
      <w:r>
        <w:rPr>
          <w:rFonts w:hint="eastAsia" w:ascii="仿宋" w:hAnsi="仿宋" w:eastAsia="仿宋"/>
          <w:color w:val="000000"/>
          <w:sz w:val="28"/>
          <w:lang w:val="en-US" w:eastAsia="zh-CN"/>
        </w:rPr>
        <w:t>8</w:t>
      </w:r>
      <w:r>
        <w:rPr>
          <w:rFonts w:hint="eastAsia" w:ascii="仿宋" w:hAnsi="仿宋" w:eastAsia="仿宋"/>
          <w:color w:val="000000"/>
          <w:sz w:val="28"/>
        </w:rPr>
        <w:t>%（占剔除公司最新披露回购专用账户股份的总股本比例为</w:t>
      </w:r>
      <w:r>
        <w:rPr>
          <w:rFonts w:hint="eastAsia" w:ascii="仿宋" w:hAnsi="仿宋" w:eastAsia="仿宋"/>
          <w:color w:val="000000"/>
          <w:sz w:val="28"/>
          <w:lang w:val="en-US" w:eastAsia="zh-CN"/>
        </w:rPr>
        <w:t>0.49</w:t>
      </w:r>
      <w:r>
        <w:rPr>
          <w:rFonts w:hint="eastAsia" w:ascii="仿宋" w:hAnsi="仿宋" w:eastAsia="仿宋"/>
          <w:color w:val="000000"/>
          <w:sz w:val="28"/>
        </w:rPr>
        <w:t>%）。</w:t>
      </w:r>
    </w:p>
    <w:p w14:paraId="322AD46E">
      <w:pPr>
        <w:spacing w:line="360" w:lineRule="auto"/>
        <w:ind w:firstLine="560" w:firstLineChars="200"/>
        <w:rPr>
          <w:rFonts w:ascii="仿宋" w:hAnsi="仿宋" w:eastAsia="仿宋"/>
          <w:color w:val="000000"/>
          <w:sz w:val="28"/>
        </w:rPr>
      </w:pPr>
      <w:r>
        <w:rPr>
          <w:rFonts w:hint="eastAsia" w:ascii="仿宋" w:hAnsi="仿宋" w:eastAsia="仿宋"/>
          <w:color w:val="000000"/>
          <w:sz w:val="28"/>
        </w:rPr>
        <w:t>公司近日收到</w:t>
      </w:r>
      <w:r>
        <w:rPr>
          <w:rFonts w:hint="eastAsia" w:ascii="仿宋" w:hAnsi="仿宋" w:eastAsia="仿宋"/>
          <w:sz w:val="28"/>
          <w:szCs w:val="28"/>
        </w:rPr>
        <w:t>南京乐遂</w:t>
      </w:r>
      <w:r>
        <w:rPr>
          <w:rFonts w:hint="eastAsia" w:ascii="仿宋" w:hAnsi="仿宋" w:eastAsia="仿宋"/>
          <w:color w:val="000000"/>
          <w:sz w:val="28"/>
        </w:rPr>
        <w:t>出具的《减持计划告知函》，现将相关情况公告如下：</w:t>
      </w:r>
    </w:p>
    <w:p w14:paraId="6EE5D23A">
      <w:pPr>
        <w:spacing w:line="360" w:lineRule="auto"/>
        <w:ind w:firstLine="562" w:firstLineChars="200"/>
        <w:outlineLvl w:val="0"/>
        <w:rPr>
          <w:rFonts w:ascii="仿宋" w:hAnsi="仿宋" w:eastAsia="仿宋"/>
          <w:b/>
          <w:color w:val="000000"/>
          <w:sz w:val="28"/>
        </w:rPr>
      </w:pPr>
      <w:r>
        <w:rPr>
          <w:rFonts w:hint="eastAsia" w:ascii="仿宋" w:hAnsi="仿宋" w:eastAsia="仿宋"/>
          <w:b/>
          <w:color w:val="000000"/>
          <w:sz w:val="28"/>
        </w:rPr>
        <w:t>一、股东基本情况</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1016"/>
        <w:gridCol w:w="1559"/>
        <w:gridCol w:w="1417"/>
        <w:gridCol w:w="2978"/>
        <w:gridCol w:w="902"/>
      </w:tblGrid>
      <w:tr w14:paraId="7D10A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81" w:type="pct"/>
            <w:vAlign w:val="center"/>
          </w:tcPr>
          <w:p w14:paraId="62A1E9DB">
            <w:pPr>
              <w:jc w:val="center"/>
              <w:rPr>
                <w:rFonts w:ascii="仿宋" w:hAnsi="仿宋" w:eastAsia="仿宋"/>
                <w:b/>
                <w:color w:val="000000"/>
                <w:sz w:val="24"/>
                <w:szCs w:val="24"/>
              </w:rPr>
            </w:pPr>
            <w:r>
              <w:rPr>
                <w:rFonts w:hint="eastAsia" w:ascii="仿宋" w:hAnsi="仿宋" w:eastAsia="仿宋"/>
                <w:b/>
                <w:color w:val="000000"/>
                <w:sz w:val="24"/>
                <w:szCs w:val="24"/>
              </w:rPr>
              <w:t>序号</w:t>
            </w:r>
          </w:p>
        </w:tc>
        <w:tc>
          <w:tcPr>
            <w:tcW w:w="596" w:type="pct"/>
            <w:vAlign w:val="center"/>
          </w:tcPr>
          <w:p w14:paraId="1F7818B8">
            <w:pPr>
              <w:jc w:val="center"/>
              <w:rPr>
                <w:rFonts w:ascii="仿宋" w:hAnsi="仿宋" w:eastAsia="仿宋"/>
                <w:b/>
                <w:color w:val="000000"/>
                <w:sz w:val="24"/>
                <w:szCs w:val="24"/>
              </w:rPr>
            </w:pPr>
            <w:r>
              <w:rPr>
                <w:rFonts w:ascii="仿宋" w:hAnsi="仿宋" w:eastAsia="仿宋"/>
                <w:b/>
                <w:color w:val="000000"/>
                <w:sz w:val="24"/>
                <w:szCs w:val="24"/>
              </w:rPr>
              <w:t>股东名称</w:t>
            </w:r>
          </w:p>
        </w:tc>
        <w:tc>
          <w:tcPr>
            <w:tcW w:w="914" w:type="pct"/>
            <w:vAlign w:val="center"/>
          </w:tcPr>
          <w:p w14:paraId="175A3421">
            <w:pPr>
              <w:jc w:val="center"/>
              <w:rPr>
                <w:rFonts w:ascii="仿宋" w:hAnsi="仿宋" w:eastAsia="仿宋"/>
                <w:b/>
                <w:color w:val="000000"/>
                <w:sz w:val="24"/>
                <w:szCs w:val="24"/>
              </w:rPr>
            </w:pPr>
            <w:r>
              <w:rPr>
                <w:rFonts w:hint="eastAsia" w:ascii="仿宋" w:hAnsi="仿宋" w:eastAsia="仿宋"/>
                <w:b/>
                <w:color w:val="000000"/>
                <w:sz w:val="24"/>
                <w:szCs w:val="24"/>
              </w:rPr>
              <w:t>持有股份总数量（股）</w:t>
            </w:r>
          </w:p>
        </w:tc>
        <w:tc>
          <w:tcPr>
            <w:tcW w:w="831" w:type="pct"/>
            <w:vAlign w:val="center"/>
          </w:tcPr>
          <w:p w14:paraId="3D976F86">
            <w:pPr>
              <w:jc w:val="center"/>
              <w:rPr>
                <w:rFonts w:ascii="仿宋" w:hAnsi="仿宋" w:eastAsia="仿宋"/>
                <w:b/>
                <w:color w:val="000000"/>
                <w:sz w:val="24"/>
                <w:szCs w:val="24"/>
              </w:rPr>
            </w:pPr>
            <w:r>
              <w:rPr>
                <w:rFonts w:hint="eastAsia" w:ascii="仿宋" w:hAnsi="仿宋" w:eastAsia="仿宋"/>
                <w:b/>
                <w:color w:val="000000"/>
                <w:sz w:val="24"/>
                <w:szCs w:val="24"/>
              </w:rPr>
              <w:t>占公司总股本的比例</w:t>
            </w:r>
          </w:p>
        </w:tc>
        <w:tc>
          <w:tcPr>
            <w:tcW w:w="1746" w:type="pct"/>
          </w:tcPr>
          <w:p w14:paraId="48597007">
            <w:pPr>
              <w:jc w:val="center"/>
              <w:rPr>
                <w:rFonts w:ascii="仿宋" w:hAnsi="仿宋" w:eastAsia="仿宋"/>
                <w:b/>
                <w:color w:val="000000"/>
                <w:sz w:val="24"/>
                <w:szCs w:val="24"/>
              </w:rPr>
            </w:pPr>
            <w:r>
              <w:rPr>
                <w:rFonts w:hint="eastAsia" w:ascii="仿宋" w:hAnsi="仿宋" w:eastAsia="仿宋"/>
                <w:b/>
                <w:color w:val="000000"/>
                <w:sz w:val="24"/>
                <w:szCs w:val="24"/>
              </w:rPr>
              <w:t>占剔除公司最新披露回购专用账户股份的总股本比例</w:t>
            </w:r>
          </w:p>
        </w:tc>
        <w:tc>
          <w:tcPr>
            <w:tcW w:w="529" w:type="pct"/>
            <w:vAlign w:val="center"/>
          </w:tcPr>
          <w:p w14:paraId="18083A44">
            <w:pPr>
              <w:jc w:val="center"/>
              <w:rPr>
                <w:rFonts w:ascii="仿宋" w:hAnsi="仿宋" w:eastAsia="仿宋"/>
                <w:b/>
                <w:color w:val="000000"/>
                <w:sz w:val="24"/>
                <w:szCs w:val="24"/>
              </w:rPr>
            </w:pPr>
            <w:r>
              <w:rPr>
                <w:rFonts w:ascii="仿宋" w:hAnsi="仿宋" w:eastAsia="仿宋"/>
                <w:b/>
                <w:color w:val="000000"/>
                <w:sz w:val="24"/>
                <w:szCs w:val="24"/>
              </w:rPr>
              <w:t>备注</w:t>
            </w:r>
          </w:p>
        </w:tc>
      </w:tr>
      <w:tr w14:paraId="35A5B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381" w:type="pct"/>
            <w:vAlign w:val="center"/>
          </w:tcPr>
          <w:p w14:paraId="4E8F0ADB">
            <w:pPr>
              <w:jc w:val="center"/>
              <w:rPr>
                <w:rFonts w:ascii="仿宋" w:hAnsi="仿宋" w:eastAsia="仿宋"/>
                <w:color w:val="000000"/>
                <w:sz w:val="24"/>
                <w:szCs w:val="24"/>
              </w:rPr>
            </w:pPr>
            <w:r>
              <w:rPr>
                <w:rFonts w:hint="eastAsia" w:ascii="仿宋" w:hAnsi="仿宋" w:eastAsia="仿宋"/>
                <w:color w:val="000000"/>
                <w:sz w:val="24"/>
                <w:szCs w:val="24"/>
              </w:rPr>
              <w:t>1</w:t>
            </w:r>
          </w:p>
        </w:tc>
        <w:tc>
          <w:tcPr>
            <w:tcW w:w="596" w:type="pct"/>
            <w:vAlign w:val="center"/>
          </w:tcPr>
          <w:p w14:paraId="36E5C05F">
            <w:pPr>
              <w:jc w:val="center"/>
              <w:rPr>
                <w:rFonts w:hint="eastAsia" w:ascii="仿宋" w:hAnsi="仿宋" w:eastAsia="仿宋"/>
                <w:color w:val="000000"/>
                <w:sz w:val="24"/>
                <w:szCs w:val="24"/>
                <w:lang w:val="en-US" w:eastAsia="zh-CN"/>
              </w:rPr>
            </w:pPr>
            <w:r>
              <w:rPr>
                <w:rFonts w:hint="eastAsia" w:ascii="仿宋" w:hAnsi="仿宋" w:eastAsia="仿宋"/>
                <w:color w:val="000000"/>
                <w:sz w:val="24"/>
                <w:szCs w:val="24"/>
              </w:rPr>
              <w:t>南京</w:t>
            </w:r>
            <w:r>
              <w:rPr>
                <w:rFonts w:hint="eastAsia" w:ascii="仿宋" w:hAnsi="仿宋" w:eastAsia="仿宋"/>
                <w:color w:val="000000"/>
                <w:sz w:val="24"/>
                <w:szCs w:val="24"/>
                <w:lang w:eastAsia="zh-CN"/>
              </w:rPr>
              <w:t>乐遂</w:t>
            </w:r>
          </w:p>
        </w:tc>
        <w:tc>
          <w:tcPr>
            <w:tcW w:w="914" w:type="pct"/>
            <w:vAlign w:val="center"/>
          </w:tcPr>
          <w:p w14:paraId="1CA7815B">
            <w:pPr>
              <w:jc w:val="center"/>
              <w:rPr>
                <w:rFonts w:ascii="仿宋" w:hAnsi="仿宋" w:eastAsia="仿宋"/>
                <w:color w:val="000000"/>
                <w:sz w:val="24"/>
                <w:szCs w:val="24"/>
              </w:rPr>
            </w:pPr>
            <w:r>
              <w:rPr>
                <w:rFonts w:hint="eastAsia" w:ascii="仿宋" w:hAnsi="仿宋" w:eastAsia="仿宋"/>
                <w:color w:val="000000"/>
                <w:sz w:val="22"/>
              </w:rPr>
              <w:t>983,186</w:t>
            </w:r>
          </w:p>
        </w:tc>
        <w:tc>
          <w:tcPr>
            <w:tcW w:w="831" w:type="pct"/>
            <w:vAlign w:val="center"/>
          </w:tcPr>
          <w:p w14:paraId="22B5A43E">
            <w:pPr>
              <w:jc w:val="center"/>
              <w:rPr>
                <w:rFonts w:ascii="仿宋" w:hAnsi="仿宋" w:eastAsia="仿宋"/>
                <w:color w:val="000000"/>
                <w:sz w:val="24"/>
                <w:szCs w:val="24"/>
              </w:rPr>
            </w:pPr>
            <w:r>
              <w:rPr>
                <w:rFonts w:hint="eastAsia" w:ascii="仿宋" w:hAnsi="仿宋" w:eastAsia="仿宋"/>
                <w:color w:val="000000"/>
                <w:sz w:val="24"/>
                <w:szCs w:val="24"/>
                <w:lang w:val="en-US" w:eastAsia="zh-CN"/>
              </w:rPr>
              <w:t>1.47</w:t>
            </w:r>
            <w:r>
              <w:rPr>
                <w:rFonts w:ascii="仿宋" w:hAnsi="仿宋" w:eastAsia="仿宋"/>
                <w:color w:val="000000"/>
                <w:sz w:val="24"/>
                <w:szCs w:val="24"/>
              </w:rPr>
              <w:t>%</w:t>
            </w:r>
          </w:p>
        </w:tc>
        <w:tc>
          <w:tcPr>
            <w:tcW w:w="1746" w:type="pct"/>
            <w:vAlign w:val="center"/>
          </w:tcPr>
          <w:p w14:paraId="634EC8E2">
            <w:pPr>
              <w:jc w:val="center"/>
              <w:rPr>
                <w:rFonts w:ascii="仿宋" w:hAnsi="仿宋" w:eastAsia="仿宋"/>
                <w:color w:val="000000"/>
                <w:sz w:val="24"/>
                <w:szCs w:val="24"/>
              </w:rPr>
            </w:pPr>
            <w:r>
              <w:rPr>
                <w:rFonts w:hint="eastAsia" w:ascii="仿宋" w:hAnsi="仿宋" w:eastAsia="仿宋"/>
                <w:color w:val="000000"/>
                <w:sz w:val="24"/>
                <w:szCs w:val="24"/>
                <w:lang w:val="en-US" w:eastAsia="zh-CN"/>
              </w:rPr>
              <w:t>1.49</w:t>
            </w:r>
            <w:r>
              <w:rPr>
                <w:rFonts w:hint="eastAsia" w:ascii="仿宋" w:hAnsi="仿宋" w:eastAsia="仿宋"/>
                <w:color w:val="000000"/>
                <w:sz w:val="24"/>
                <w:szCs w:val="24"/>
              </w:rPr>
              <w:t>%</w:t>
            </w:r>
          </w:p>
        </w:tc>
        <w:tc>
          <w:tcPr>
            <w:tcW w:w="529" w:type="pct"/>
            <w:vAlign w:val="center"/>
          </w:tcPr>
          <w:p w14:paraId="6698698B">
            <w:pPr>
              <w:jc w:val="center"/>
              <w:rPr>
                <w:rFonts w:ascii="仿宋" w:hAnsi="仿宋" w:eastAsia="仿宋"/>
                <w:color w:val="000000"/>
                <w:sz w:val="24"/>
                <w:szCs w:val="24"/>
              </w:rPr>
            </w:pPr>
            <w:r>
              <w:rPr>
                <w:rFonts w:hint="eastAsia" w:ascii="仿宋" w:hAnsi="仿宋" w:eastAsia="仿宋"/>
                <w:color w:val="000000"/>
                <w:sz w:val="24"/>
                <w:szCs w:val="24"/>
              </w:rPr>
              <w:t>特定股东</w:t>
            </w:r>
          </w:p>
        </w:tc>
      </w:tr>
    </w:tbl>
    <w:p w14:paraId="082BC4F3">
      <w:pPr>
        <w:spacing w:line="360" w:lineRule="auto"/>
        <w:ind w:firstLine="562" w:firstLineChars="200"/>
        <w:outlineLvl w:val="0"/>
        <w:rPr>
          <w:rFonts w:ascii="仿宋" w:hAnsi="仿宋" w:eastAsia="仿宋"/>
          <w:b/>
          <w:color w:val="000000"/>
          <w:sz w:val="28"/>
        </w:rPr>
      </w:pPr>
      <w:r>
        <w:rPr>
          <w:rFonts w:hint="eastAsia" w:ascii="仿宋" w:hAnsi="仿宋" w:eastAsia="仿宋"/>
          <w:b/>
          <w:color w:val="000000"/>
          <w:sz w:val="28"/>
        </w:rPr>
        <w:t>二、减持计划的主要内容</w:t>
      </w:r>
    </w:p>
    <w:p w14:paraId="0668E9C3">
      <w:pPr>
        <w:spacing w:line="360" w:lineRule="auto"/>
        <w:ind w:firstLine="560" w:firstLineChars="200"/>
        <w:jc w:val="left"/>
        <w:rPr>
          <w:rFonts w:hint="eastAsia" w:ascii="仿宋" w:hAnsi="仿宋" w:eastAsia="仿宋"/>
          <w:color w:val="000000"/>
          <w:sz w:val="28"/>
          <w:lang w:val="en-US" w:eastAsia="zh-CN"/>
        </w:rPr>
      </w:pPr>
      <w:r>
        <w:rPr>
          <w:rFonts w:hint="eastAsia" w:ascii="仿宋" w:hAnsi="仿宋" w:eastAsia="仿宋"/>
          <w:color w:val="000000"/>
          <w:sz w:val="28"/>
        </w:rPr>
        <w:t>（一）减持原因：股东自身资金需求</w:t>
      </w:r>
      <w:r>
        <w:rPr>
          <w:rFonts w:hint="eastAsia" w:ascii="仿宋" w:hAnsi="仿宋" w:eastAsia="仿宋"/>
          <w:color w:val="000000"/>
          <w:sz w:val="28"/>
          <w:lang w:eastAsia="zh-CN"/>
        </w:rPr>
        <w:t>。</w:t>
      </w:r>
    </w:p>
    <w:p w14:paraId="4BCE3D53">
      <w:pPr>
        <w:spacing w:line="360" w:lineRule="auto"/>
        <w:ind w:firstLine="560" w:firstLineChars="200"/>
        <w:jc w:val="left"/>
        <w:rPr>
          <w:rFonts w:hint="eastAsia" w:ascii="仿宋" w:hAnsi="仿宋" w:eastAsia="仿宋"/>
          <w:color w:val="000000"/>
          <w:sz w:val="28"/>
          <w:lang w:eastAsia="zh-CN"/>
        </w:rPr>
      </w:pPr>
      <w:r>
        <w:rPr>
          <w:rFonts w:hint="eastAsia" w:ascii="仿宋" w:hAnsi="仿宋" w:eastAsia="仿宋"/>
          <w:color w:val="000000"/>
          <w:sz w:val="28"/>
        </w:rPr>
        <w:t>（二）减持股份来源：天亿马首次公开发行前取得的股份及公司资本公积金转增股份</w:t>
      </w:r>
      <w:r>
        <w:rPr>
          <w:rFonts w:hint="eastAsia" w:ascii="仿宋" w:hAnsi="仿宋" w:eastAsia="仿宋"/>
          <w:color w:val="000000"/>
          <w:sz w:val="28"/>
          <w:lang w:eastAsia="zh-CN"/>
        </w:rPr>
        <w:t>。</w:t>
      </w:r>
    </w:p>
    <w:p w14:paraId="703C8801">
      <w:pPr>
        <w:spacing w:line="360" w:lineRule="auto"/>
        <w:ind w:firstLine="560" w:firstLineChars="200"/>
        <w:jc w:val="left"/>
        <w:rPr>
          <w:rFonts w:ascii="仿宋" w:hAnsi="仿宋" w:eastAsia="仿宋"/>
          <w:color w:val="000000"/>
          <w:sz w:val="28"/>
        </w:rPr>
      </w:pPr>
      <w:r>
        <w:rPr>
          <w:rFonts w:hint="eastAsia" w:ascii="仿宋" w:hAnsi="仿宋" w:eastAsia="仿宋"/>
          <w:color w:val="000000"/>
          <w:sz w:val="28"/>
        </w:rPr>
        <w:t>（三）减持方式：集中竞价；大宗交易</w:t>
      </w:r>
    </w:p>
    <w:p w14:paraId="638E0603">
      <w:pPr>
        <w:ind w:firstLine="560" w:firstLineChars="200"/>
        <w:rPr>
          <w:rFonts w:ascii="仿宋" w:hAnsi="仿宋" w:eastAsia="仿宋"/>
          <w:color w:val="000000"/>
          <w:sz w:val="28"/>
        </w:rPr>
      </w:pPr>
      <w:r>
        <w:rPr>
          <w:rFonts w:hint="eastAsia" w:ascii="仿宋" w:hAnsi="仿宋" w:eastAsia="仿宋"/>
          <w:color w:val="000000"/>
          <w:sz w:val="28"/>
        </w:rPr>
        <w:t>（四）拟减持股份数量及比例：</w:t>
      </w:r>
      <w:r>
        <w:rPr>
          <w:rFonts w:hint="eastAsia" w:ascii="仿宋" w:hAnsi="仿宋" w:eastAsia="仿宋"/>
          <w:sz w:val="28"/>
          <w:szCs w:val="28"/>
        </w:rPr>
        <w:t>南京乐遂</w:t>
      </w:r>
      <w:r>
        <w:rPr>
          <w:rFonts w:hint="eastAsia" w:ascii="仿宋" w:hAnsi="仿宋" w:eastAsia="仿宋"/>
          <w:color w:val="000000"/>
          <w:sz w:val="28"/>
        </w:rPr>
        <w:t>拟通过集中竞价方式、大宗交易等方式减持公司股份合计不超过983,186股，即不超过公司总股本比例</w:t>
      </w:r>
      <w:r>
        <w:rPr>
          <w:rFonts w:hint="eastAsia" w:ascii="仿宋" w:hAnsi="仿宋" w:eastAsia="仿宋"/>
          <w:color w:val="000000"/>
          <w:sz w:val="28"/>
          <w:lang w:val="en-US" w:eastAsia="zh-CN"/>
        </w:rPr>
        <w:t>1.47</w:t>
      </w:r>
      <w:r>
        <w:rPr>
          <w:rFonts w:hint="eastAsia" w:ascii="仿宋" w:hAnsi="仿宋" w:eastAsia="仿宋"/>
          <w:color w:val="000000"/>
          <w:sz w:val="28"/>
        </w:rPr>
        <w:t>%（占剔除公司最新披露回购专用账户股份的总股本比例为</w:t>
      </w:r>
      <w:r>
        <w:rPr>
          <w:rFonts w:hint="eastAsia" w:ascii="仿宋" w:hAnsi="仿宋" w:eastAsia="仿宋"/>
          <w:color w:val="000000"/>
          <w:sz w:val="28"/>
          <w:lang w:val="en-US" w:eastAsia="zh-CN"/>
        </w:rPr>
        <w:t>1.49</w:t>
      </w:r>
      <w:r>
        <w:rPr>
          <w:rFonts w:hint="eastAsia" w:ascii="仿宋" w:hAnsi="仿宋" w:eastAsia="仿宋"/>
          <w:color w:val="000000"/>
          <w:sz w:val="28"/>
        </w:rPr>
        <w:t>%）</w:t>
      </w:r>
      <w:r>
        <w:rPr>
          <w:rFonts w:hint="eastAsia" w:ascii="仿宋" w:hAnsi="仿宋" w:eastAsia="仿宋"/>
          <w:sz w:val="28"/>
          <w:szCs w:val="28"/>
        </w:rPr>
        <w:t>。其中，通过集中竞价交易方式减持的</w:t>
      </w:r>
      <w:r>
        <w:rPr>
          <w:rFonts w:hint="eastAsia" w:ascii="仿宋" w:hAnsi="仿宋" w:eastAsia="仿宋"/>
          <w:color w:val="000000"/>
          <w:sz w:val="28"/>
        </w:rPr>
        <w:t>不超过</w:t>
      </w:r>
      <w:r>
        <w:rPr>
          <w:rFonts w:ascii="仿宋" w:hAnsi="仿宋" w:eastAsia="仿宋"/>
          <w:color w:val="000000"/>
          <w:sz w:val="28"/>
        </w:rPr>
        <w:t>658,846</w:t>
      </w:r>
      <w:r>
        <w:rPr>
          <w:rFonts w:hint="eastAsia" w:ascii="仿宋" w:hAnsi="仿宋" w:eastAsia="仿宋"/>
          <w:color w:val="000000"/>
          <w:sz w:val="28"/>
        </w:rPr>
        <w:t>股，即不超过公司总股本</w:t>
      </w:r>
      <w:r>
        <w:rPr>
          <w:rFonts w:hint="eastAsia" w:ascii="仿宋" w:hAnsi="仿宋" w:eastAsia="仿宋"/>
          <w:color w:val="000000"/>
          <w:sz w:val="28"/>
          <w:lang w:val="en-US" w:eastAsia="zh-CN"/>
        </w:rPr>
        <w:t>0.98</w:t>
      </w:r>
      <w:r>
        <w:rPr>
          <w:rFonts w:hint="eastAsia" w:ascii="仿宋" w:hAnsi="仿宋" w:eastAsia="仿宋"/>
          <w:color w:val="000000"/>
          <w:sz w:val="28"/>
        </w:rPr>
        <w:t>%（占剔除公司最新披露回购专用账户股份的总股本比例为</w:t>
      </w:r>
      <w:r>
        <w:rPr>
          <w:rFonts w:hint="eastAsia" w:ascii="仿宋" w:hAnsi="仿宋" w:eastAsia="仿宋"/>
          <w:color w:val="000000"/>
          <w:sz w:val="28"/>
          <w:lang w:val="en-US" w:eastAsia="zh-CN"/>
        </w:rPr>
        <w:t>1.00</w:t>
      </w:r>
      <w:r>
        <w:rPr>
          <w:rFonts w:hint="eastAsia" w:ascii="仿宋" w:hAnsi="仿宋" w:eastAsia="仿宋"/>
          <w:color w:val="000000"/>
          <w:sz w:val="28"/>
        </w:rPr>
        <w:t>%）；通过大宗交易方式减持的不超过</w:t>
      </w:r>
      <w:r>
        <w:rPr>
          <w:rFonts w:ascii="仿宋" w:hAnsi="仿宋" w:eastAsia="仿宋"/>
          <w:color w:val="000000"/>
          <w:sz w:val="28"/>
        </w:rPr>
        <w:t>324,340</w:t>
      </w:r>
      <w:r>
        <w:rPr>
          <w:rFonts w:hint="eastAsia" w:ascii="仿宋" w:hAnsi="仿宋" w:eastAsia="仿宋"/>
          <w:color w:val="000000"/>
          <w:sz w:val="28"/>
        </w:rPr>
        <w:t>股，即不超过公司总股本0.4</w:t>
      </w:r>
      <w:r>
        <w:rPr>
          <w:rFonts w:hint="eastAsia" w:ascii="仿宋" w:hAnsi="仿宋" w:eastAsia="仿宋"/>
          <w:color w:val="000000"/>
          <w:sz w:val="28"/>
          <w:lang w:val="en-US" w:eastAsia="zh-CN"/>
        </w:rPr>
        <w:t>8</w:t>
      </w:r>
      <w:r>
        <w:rPr>
          <w:rFonts w:hint="eastAsia" w:ascii="仿宋" w:hAnsi="仿宋" w:eastAsia="仿宋"/>
          <w:color w:val="000000"/>
          <w:sz w:val="28"/>
        </w:rPr>
        <w:t>%（占剔除公司最新披露回购专用账户股份的总股本比例为</w:t>
      </w:r>
      <w:r>
        <w:rPr>
          <w:rFonts w:hint="eastAsia" w:ascii="仿宋" w:hAnsi="仿宋" w:eastAsia="仿宋"/>
          <w:color w:val="000000"/>
          <w:sz w:val="28"/>
          <w:lang w:val="en-US" w:eastAsia="zh-CN"/>
        </w:rPr>
        <w:t>0.49</w:t>
      </w:r>
      <w:r>
        <w:rPr>
          <w:rFonts w:hint="eastAsia" w:ascii="仿宋" w:hAnsi="仿宋" w:eastAsia="仿宋"/>
          <w:color w:val="000000"/>
          <w:sz w:val="28"/>
        </w:rPr>
        <w:t>%）。</w:t>
      </w:r>
    </w:p>
    <w:p w14:paraId="355F9DF6">
      <w:pPr>
        <w:ind w:firstLine="560" w:firstLineChars="200"/>
        <w:rPr>
          <w:rFonts w:ascii="仿宋" w:hAnsi="仿宋" w:eastAsia="仿宋"/>
          <w:color w:val="000000"/>
          <w:sz w:val="28"/>
        </w:rPr>
      </w:pPr>
      <w:r>
        <w:rPr>
          <w:rFonts w:hint="eastAsia" w:ascii="仿宋" w:hAnsi="仿宋" w:eastAsia="仿宋"/>
          <w:color w:val="000000"/>
          <w:sz w:val="28"/>
        </w:rPr>
        <w:t>（五）减持期间：</w:t>
      </w:r>
      <w:r>
        <w:rPr>
          <w:rFonts w:hint="eastAsia" w:ascii="仿宋" w:hAnsi="仿宋" w:eastAsia="仿宋"/>
          <w:sz w:val="28"/>
          <w:szCs w:val="28"/>
        </w:rPr>
        <w:t>自本计划公告披露之日起3个交易日后的</w:t>
      </w:r>
      <w:r>
        <w:rPr>
          <w:rFonts w:ascii="仿宋" w:hAnsi="仿宋" w:eastAsia="仿宋"/>
          <w:sz w:val="28"/>
          <w:szCs w:val="28"/>
        </w:rPr>
        <w:t>3</w:t>
      </w:r>
      <w:r>
        <w:rPr>
          <w:rFonts w:hint="eastAsia" w:ascii="仿宋" w:hAnsi="仿宋" w:eastAsia="仿宋"/>
          <w:sz w:val="28"/>
          <w:szCs w:val="28"/>
        </w:rPr>
        <w:t>个月内进行，即202</w:t>
      </w:r>
      <w:r>
        <w:rPr>
          <w:rFonts w:hint="eastAsia" w:ascii="仿宋" w:hAnsi="仿宋" w:eastAsia="仿宋"/>
          <w:sz w:val="28"/>
          <w:szCs w:val="28"/>
          <w:lang w:val="en-US" w:eastAsia="zh-CN"/>
        </w:rPr>
        <w:t>5</w:t>
      </w:r>
      <w:r>
        <w:rPr>
          <w:rFonts w:hint="eastAsia" w:ascii="仿宋" w:hAnsi="仿宋" w:eastAsia="仿宋"/>
          <w:sz w:val="28"/>
          <w:szCs w:val="28"/>
        </w:rPr>
        <w:t>年</w:t>
      </w:r>
      <w:r>
        <w:rPr>
          <w:rFonts w:hint="eastAsia" w:ascii="仿宋" w:hAnsi="仿宋" w:eastAsia="仿宋"/>
          <w:sz w:val="28"/>
          <w:szCs w:val="28"/>
          <w:lang w:val="en-US" w:eastAsia="zh-CN"/>
        </w:rPr>
        <w:t>4</w:t>
      </w:r>
      <w:r>
        <w:rPr>
          <w:rFonts w:hint="eastAsia" w:ascii="仿宋" w:hAnsi="仿宋" w:eastAsia="仿宋"/>
          <w:sz w:val="28"/>
          <w:szCs w:val="28"/>
        </w:rPr>
        <w:t>月</w:t>
      </w:r>
      <w:r>
        <w:rPr>
          <w:rFonts w:hint="eastAsia" w:ascii="仿宋" w:hAnsi="仿宋" w:eastAsia="仿宋"/>
          <w:sz w:val="28"/>
          <w:szCs w:val="28"/>
          <w:lang w:val="en-US" w:eastAsia="zh-CN"/>
        </w:rPr>
        <w:t>30</w:t>
      </w:r>
      <w:r>
        <w:rPr>
          <w:rFonts w:hint="eastAsia" w:ascii="仿宋" w:hAnsi="仿宋" w:eastAsia="仿宋"/>
          <w:sz w:val="28"/>
          <w:szCs w:val="28"/>
        </w:rPr>
        <w:t>日至2025年</w:t>
      </w:r>
      <w:r>
        <w:rPr>
          <w:rFonts w:hint="eastAsia" w:ascii="仿宋" w:hAnsi="仿宋" w:eastAsia="仿宋"/>
          <w:sz w:val="28"/>
          <w:szCs w:val="28"/>
          <w:lang w:val="en-US" w:eastAsia="zh-CN"/>
        </w:rPr>
        <w:t>7</w:t>
      </w:r>
      <w:r>
        <w:rPr>
          <w:rFonts w:hint="eastAsia" w:ascii="仿宋" w:hAnsi="仿宋" w:eastAsia="仿宋"/>
          <w:sz w:val="28"/>
          <w:szCs w:val="28"/>
        </w:rPr>
        <w:t>月</w:t>
      </w:r>
      <w:r>
        <w:rPr>
          <w:rFonts w:hint="eastAsia" w:ascii="仿宋" w:hAnsi="仿宋" w:eastAsia="仿宋"/>
          <w:sz w:val="28"/>
          <w:szCs w:val="28"/>
          <w:lang w:val="en-US" w:eastAsia="zh-CN"/>
        </w:rPr>
        <w:t>29</w:t>
      </w:r>
      <w:r>
        <w:rPr>
          <w:rFonts w:hint="eastAsia" w:ascii="仿宋" w:hAnsi="仿宋" w:eastAsia="仿宋"/>
          <w:sz w:val="28"/>
          <w:szCs w:val="28"/>
        </w:rPr>
        <w:t>日。</w:t>
      </w:r>
    </w:p>
    <w:p w14:paraId="0828C67B">
      <w:pPr>
        <w:spacing w:line="360" w:lineRule="auto"/>
        <w:ind w:firstLine="560" w:firstLineChars="200"/>
        <w:jc w:val="left"/>
        <w:rPr>
          <w:rFonts w:ascii="仿宋" w:hAnsi="仿宋" w:eastAsia="仿宋"/>
          <w:color w:val="000000"/>
          <w:sz w:val="28"/>
        </w:rPr>
      </w:pPr>
      <w:r>
        <w:rPr>
          <w:rFonts w:hint="eastAsia" w:ascii="仿宋" w:hAnsi="仿宋" w:eastAsia="仿宋"/>
          <w:color w:val="000000"/>
          <w:sz w:val="28"/>
        </w:rPr>
        <w:t>（六）减持价格：按照交易当日市场交易价格。</w:t>
      </w:r>
    </w:p>
    <w:p w14:paraId="5ED31BCF">
      <w:pPr>
        <w:spacing w:line="360" w:lineRule="auto"/>
        <w:ind w:firstLine="560" w:firstLineChars="200"/>
        <w:jc w:val="left"/>
        <w:rPr>
          <w:rFonts w:ascii="仿宋" w:hAnsi="仿宋" w:eastAsia="仿宋"/>
          <w:color w:val="000000"/>
          <w:sz w:val="28"/>
        </w:rPr>
      </w:pPr>
      <w:r>
        <w:rPr>
          <w:rFonts w:hint="eastAsia" w:ascii="仿宋" w:hAnsi="仿宋" w:eastAsia="仿宋"/>
          <w:color w:val="000000"/>
          <w:sz w:val="28"/>
        </w:rPr>
        <w:t>（七）若在减持计划实施期间公司发生派发红利、送红股、转增股本、增发新股或配股等股本除权、除息事项的，上述减持计划中减持股份数及减持价格将相应进行调整。</w:t>
      </w:r>
    </w:p>
    <w:p w14:paraId="4315B920">
      <w:pPr>
        <w:spacing w:line="360" w:lineRule="auto"/>
        <w:ind w:firstLine="562" w:firstLineChars="200"/>
        <w:outlineLvl w:val="0"/>
        <w:rPr>
          <w:rFonts w:ascii="仿宋" w:hAnsi="仿宋" w:eastAsia="仿宋"/>
          <w:b/>
          <w:color w:val="000000"/>
          <w:sz w:val="28"/>
        </w:rPr>
      </w:pPr>
      <w:r>
        <w:rPr>
          <w:rFonts w:hint="eastAsia" w:ascii="仿宋" w:hAnsi="仿宋" w:eastAsia="仿宋"/>
          <w:b/>
          <w:color w:val="000000"/>
          <w:sz w:val="28"/>
        </w:rPr>
        <w:t>三、承诺与履行情况</w:t>
      </w:r>
    </w:p>
    <w:p w14:paraId="5B378356">
      <w:pPr>
        <w:spacing w:line="360" w:lineRule="auto"/>
        <w:ind w:firstLine="560" w:firstLineChars="200"/>
        <w:rPr>
          <w:rFonts w:ascii="仿宋" w:hAnsi="仿宋" w:eastAsia="仿宋"/>
          <w:color w:val="000000"/>
          <w:sz w:val="28"/>
        </w:rPr>
      </w:pPr>
      <w:r>
        <w:rPr>
          <w:rFonts w:hint="eastAsia" w:ascii="仿宋" w:hAnsi="仿宋" w:eastAsia="仿宋"/>
          <w:color w:val="000000"/>
          <w:sz w:val="28"/>
        </w:rPr>
        <w:t>（一）股东做出的承诺情况</w:t>
      </w:r>
    </w:p>
    <w:p w14:paraId="149E753F">
      <w:pPr>
        <w:spacing w:line="360" w:lineRule="auto"/>
        <w:ind w:firstLine="560" w:firstLineChars="200"/>
        <w:rPr>
          <w:rFonts w:ascii="仿宋" w:hAnsi="仿宋" w:eastAsia="仿宋"/>
          <w:color w:val="000000"/>
          <w:sz w:val="28"/>
        </w:rPr>
      </w:pPr>
      <w:r>
        <w:rPr>
          <w:rFonts w:hint="eastAsia" w:ascii="仿宋" w:hAnsi="仿宋" w:eastAsia="仿宋"/>
          <w:sz w:val="28"/>
          <w:szCs w:val="28"/>
        </w:rPr>
        <w:t>南京乐遂</w:t>
      </w:r>
      <w:r>
        <w:rPr>
          <w:rFonts w:hint="eastAsia" w:ascii="仿宋" w:hAnsi="仿宋" w:eastAsia="仿宋"/>
          <w:color w:val="000000"/>
          <w:sz w:val="28"/>
        </w:rPr>
        <w:t>在公司《首次公开发行股票招股说明书》及《首次公开发行股票上市公告书》中做出的承诺如下：</w:t>
      </w:r>
    </w:p>
    <w:p w14:paraId="1A9C6BDA">
      <w:pPr>
        <w:spacing w:line="360" w:lineRule="auto"/>
        <w:ind w:firstLine="560" w:firstLineChars="200"/>
        <w:rPr>
          <w:rFonts w:ascii="仿宋" w:hAnsi="仿宋" w:eastAsia="仿宋"/>
          <w:color w:val="000000"/>
          <w:sz w:val="28"/>
        </w:rPr>
      </w:pPr>
      <w:r>
        <w:rPr>
          <w:rFonts w:hint="eastAsia" w:ascii="仿宋" w:hAnsi="仿宋" w:eastAsia="仿宋"/>
          <w:color w:val="000000"/>
          <w:sz w:val="28"/>
        </w:rPr>
        <w:t>1.股份限售安排相关承诺</w:t>
      </w:r>
    </w:p>
    <w:p w14:paraId="707D7962">
      <w:pPr>
        <w:spacing w:line="360" w:lineRule="auto"/>
        <w:ind w:firstLine="560" w:firstLineChars="200"/>
        <w:rPr>
          <w:rFonts w:ascii="仿宋" w:hAnsi="仿宋" w:eastAsia="仿宋"/>
          <w:color w:val="000000"/>
          <w:sz w:val="28"/>
        </w:rPr>
      </w:pPr>
      <w:r>
        <w:rPr>
          <w:rFonts w:hint="eastAsia" w:ascii="仿宋" w:hAnsi="仿宋" w:eastAsia="仿宋"/>
          <w:color w:val="000000"/>
          <w:sz w:val="28"/>
        </w:rPr>
        <w:t>自天亿马的股票在证券交易所上市之日起12个月内，不转让或者委托他人管理本单位直接或间接持有的天亿马公开发行股票前已发行的股份，也不由天亿马回购本单位直接或间接持有的天亿马公开发行股票前已发行的股份。</w:t>
      </w:r>
    </w:p>
    <w:p w14:paraId="5D0B2FED">
      <w:pPr>
        <w:spacing w:line="360" w:lineRule="auto"/>
        <w:ind w:firstLine="560" w:firstLineChars="200"/>
        <w:rPr>
          <w:rFonts w:ascii="仿宋" w:hAnsi="仿宋" w:eastAsia="仿宋"/>
          <w:color w:val="000000"/>
          <w:sz w:val="28"/>
        </w:rPr>
      </w:pPr>
      <w:r>
        <w:rPr>
          <w:rFonts w:hint="eastAsia" w:ascii="仿宋" w:hAnsi="仿宋" w:eastAsia="仿宋"/>
          <w:color w:val="000000"/>
          <w:sz w:val="28"/>
        </w:rPr>
        <w:t>同时承诺：若本单位违反股份锁定承诺而获得股份转让收益的，转让收益无偿划归天亿马所有；在转让收益全部缴付天亿马前，如天亿马进行现金分红的，可直接从本单位应得现金分红中扣除尚未缴付的收益金额；转让收益全部缴付天亿马前，不得转让直接或间接持有的天亿马股份。</w:t>
      </w:r>
    </w:p>
    <w:p w14:paraId="53535734">
      <w:pPr>
        <w:spacing w:line="360" w:lineRule="auto"/>
        <w:ind w:firstLine="560" w:firstLineChars="200"/>
        <w:rPr>
          <w:rFonts w:ascii="仿宋" w:hAnsi="仿宋" w:eastAsia="仿宋"/>
          <w:color w:val="000000"/>
          <w:sz w:val="28"/>
        </w:rPr>
      </w:pPr>
      <w:r>
        <w:rPr>
          <w:rFonts w:hint="eastAsia" w:ascii="仿宋" w:hAnsi="仿宋" w:eastAsia="仿宋"/>
          <w:color w:val="000000"/>
          <w:sz w:val="28"/>
        </w:rPr>
        <w:t>2.股东持股及减持意向承诺</w:t>
      </w:r>
    </w:p>
    <w:p w14:paraId="379DE0B7">
      <w:pPr>
        <w:spacing w:line="360" w:lineRule="auto"/>
        <w:ind w:firstLine="560" w:firstLineChars="200"/>
        <w:rPr>
          <w:rFonts w:ascii="仿宋" w:hAnsi="仿宋" w:eastAsia="仿宋"/>
          <w:color w:val="000000"/>
          <w:sz w:val="28"/>
        </w:rPr>
      </w:pPr>
      <w:r>
        <w:rPr>
          <w:rFonts w:hint="eastAsia" w:ascii="仿宋" w:hAnsi="仿宋" w:eastAsia="仿宋"/>
          <w:color w:val="000000"/>
          <w:sz w:val="28"/>
        </w:rPr>
        <w:t>本单位严格按照公司首次公开发行股票招股说明书及本单位出具的承诺载明的各项锁定期限要求，并严格遵守相关法律、法规、规范性文件规定及监管要求，在锁定期内不减持持有的公司的股份。在锁定期限届满后，本单位将通过合法方式减持公司股份；并通过公司在减持前3个交易日予以公告。</w:t>
      </w:r>
    </w:p>
    <w:p w14:paraId="4D81BC64">
      <w:pPr>
        <w:spacing w:line="360" w:lineRule="auto"/>
        <w:ind w:firstLine="560" w:firstLineChars="200"/>
        <w:rPr>
          <w:rFonts w:ascii="仿宋" w:hAnsi="仿宋" w:eastAsia="仿宋"/>
          <w:color w:val="000000"/>
          <w:sz w:val="28"/>
        </w:rPr>
      </w:pPr>
      <w:r>
        <w:rPr>
          <w:rFonts w:hint="eastAsia" w:ascii="仿宋" w:hAnsi="仿宋" w:eastAsia="仿宋"/>
          <w:color w:val="000000"/>
          <w:sz w:val="28"/>
        </w:rPr>
        <w:t>同时承诺：如本单位违反承诺进行股份减持的，减持所得收益将无偿划归公司所有；在减持收益全部缴付公司前，如公司进行现金分红的，可直接从本单位应得现金分红中扣除尚未缴付的收益金额；减持收益全部缴付公司前，不得转让直接或间接持有的公司股份。</w:t>
      </w:r>
    </w:p>
    <w:p w14:paraId="7A3C73FD">
      <w:pPr>
        <w:spacing w:line="360" w:lineRule="auto"/>
        <w:ind w:firstLine="560" w:firstLineChars="200"/>
        <w:rPr>
          <w:rFonts w:ascii="仿宋" w:hAnsi="仿宋" w:eastAsia="仿宋"/>
          <w:color w:val="000000"/>
          <w:sz w:val="28"/>
        </w:rPr>
      </w:pPr>
      <w:r>
        <w:rPr>
          <w:rFonts w:hint="eastAsia" w:ascii="仿宋" w:hAnsi="仿宋" w:eastAsia="仿宋"/>
          <w:color w:val="000000"/>
          <w:sz w:val="28"/>
        </w:rPr>
        <w:t>3.关于未能履行承诺时的约束措施的承诺</w:t>
      </w:r>
    </w:p>
    <w:p w14:paraId="7C693148">
      <w:pPr>
        <w:spacing w:line="360" w:lineRule="auto"/>
        <w:ind w:firstLine="560" w:firstLineChars="200"/>
        <w:rPr>
          <w:rFonts w:ascii="仿宋" w:hAnsi="仿宋" w:eastAsia="仿宋"/>
          <w:color w:val="000000"/>
          <w:sz w:val="28"/>
        </w:rPr>
      </w:pPr>
      <w:r>
        <w:rPr>
          <w:rFonts w:hint="eastAsia" w:ascii="仿宋" w:hAnsi="仿宋" w:eastAsia="仿宋"/>
          <w:color w:val="000000"/>
          <w:sz w:val="28"/>
        </w:rPr>
        <w:t>若本单位违反承诺而获得相关收益的，相关收益无偿划归发行人所有；在相关收益全部缴付发行人前，如发行人进行现金分红的，可直接从本单位应得现金分红中扣除尚未缴付的收益金额；相关收益全部缴付发行人前，不得转让直接或间接持有的发行人股份；在履行相应承诺、采取补救措施并实施完毕之前，发行人进行现金分红的，有权暂扣归属于本单位的现金分红，直至本单位履行承诺并实施完毕；在履行相应承诺、采取补救措施并实施完毕之前，不得转让直接或间接持有的发行人股份。</w:t>
      </w:r>
    </w:p>
    <w:p w14:paraId="6F56F753">
      <w:pPr>
        <w:spacing w:line="360" w:lineRule="auto"/>
        <w:ind w:firstLine="560" w:firstLineChars="200"/>
        <w:rPr>
          <w:rFonts w:ascii="仿宋" w:hAnsi="仿宋" w:eastAsia="仿宋"/>
          <w:color w:val="000000"/>
          <w:sz w:val="28"/>
        </w:rPr>
      </w:pPr>
      <w:r>
        <w:rPr>
          <w:rFonts w:hint="eastAsia" w:ascii="仿宋" w:hAnsi="仿宋" w:eastAsia="仿宋"/>
          <w:color w:val="000000"/>
          <w:sz w:val="28"/>
        </w:rPr>
        <w:t>除上述承诺外，</w:t>
      </w:r>
      <w:r>
        <w:rPr>
          <w:rFonts w:hint="eastAsia" w:ascii="仿宋" w:hAnsi="仿宋" w:eastAsia="仿宋"/>
          <w:sz w:val="28"/>
          <w:szCs w:val="28"/>
        </w:rPr>
        <w:t>南京乐遂</w:t>
      </w:r>
      <w:r>
        <w:rPr>
          <w:rFonts w:hint="eastAsia" w:ascii="仿宋" w:hAnsi="仿宋" w:eastAsia="仿宋"/>
          <w:color w:val="000000"/>
          <w:sz w:val="28"/>
        </w:rPr>
        <w:t>没有作出其他承诺。</w:t>
      </w:r>
    </w:p>
    <w:p w14:paraId="5A853FD7">
      <w:pPr>
        <w:spacing w:line="360" w:lineRule="auto"/>
        <w:ind w:firstLine="560" w:firstLineChars="200"/>
        <w:rPr>
          <w:rFonts w:ascii="仿宋" w:hAnsi="仿宋" w:eastAsia="仿宋"/>
          <w:color w:val="000000"/>
          <w:sz w:val="28"/>
        </w:rPr>
      </w:pPr>
      <w:r>
        <w:rPr>
          <w:rFonts w:ascii="仿宋" w:hAnsi="仿宋" w:eastAsia="仿宋"/>
          <w:color w:val="000000"/>
          <w:sz w:val="28"/>
        </w:rPr>
        <w:t>（三）</w:t>
      </w:r>
      <w:r>
        <w:rPr>
          <w:rFonts w:hint="eastAsia" w:ascii="仿宋" w:hAnsi="仿宋" w:eastAsia="仿宋"/>
          <w:color w:val="000000"/>
          <w:sz w:val="28"/>
        </w:rPr>
        <w:t>股东承诺履行情况</w:t>
      </w:r>
    </w:p>
    <w:p w14:paraId="18BD6843">
      <w:pPr>
        <w:spacing w:line="360" w:lineRule="auto"/>
        <w:ind w:firstLine="560" w:firstLineChars="200"/>
        <w:rPr>
          <w:rFonts w:ascii="仿宋" w:hAnsi="仿宋" w:eastAsia="仿宋"/>
          <w:color w:val="000000"/>
          <w:sz w:val="28"/>
        </w:rPr>
      </w:pPr>
      <w:r>
        <w:rPr>
          <w:rFonts w:hint="eastAsia" w:ascii="仿宋" w:hAnsi="仿宋" w:eastAsia="仿宋"/>
          <w:color w:val="000000"/>
          <w:sz w:val="28"/>
        </w:rPr>
        <w:t>截至本公告披露日，</w:t>
      </w:r>
      <w:r>
        <w:rPr>
          <w:rFonts w:hint="eastAsia" w:ascii="仿宋" w:hAnsi="仿宋" w:eastAsia="仿宋"/>
          <w:sz w:val="28"/>
          <w:szCs w:val="28"/>
        </w:rPr>
        <w:t>南京乐遂</w:t>
      </w:r>
      <w:r>
        <w:rPr>
          <w:rFonts w:hint="eastAsia" w:ascii="仿宋" w:hAnsi="仿宋" w:eastAsia="仿宋"/>
          <w:color w:val="000000"/>
          <w:sz w:val="28"/>
        </w:rPr>
        <w:t>严格遵守了上述承诺，未出现违反承诺的情形；本次拟减持事项与此前已披露的持股意向、承诺一致。</w:t>
      </w:r>
    </w:p>
    <w:p w14:paraId="3A1FA430">
      <w:pPr>
        <w:spacing w:line="360" w:lineRule="auto"/>
        <w:ind w:firstLine="562" w:firstLineChars="200"/>
        <w:outlineLvl w:val="0"/>
        <w:rPr>
          <w:rFonts w:ascii="仿宋" w:hAnsi="仿宋" w:eastAsia="仿宋"/>
          <w:b/>
          <w:color w:val="000000"/>
          <w:sz w:val="28"/>
        </w:rPr>
      </w:pPr>
      <w:r>
        <w:rPr>
          <w:rFonts w:hint="eastAsia" w:ascii="仿宋" w:hAnsi="仿宋" w:eastAsia="仿宋"/>
          <w:b/>
          <w:color w:val="000000"/>
          <w:sz w:val="28"/>
        </w:rPr>
        <w:t>四、相关风险</w:t>
      </w:r>
    </w:p>
    <w:p w14:paraId="0A24EDAC">
      <w:pPr>
        <w:spacing w:line="360" w:lineRule="auto"/>
        <w:ind w:firstLine="560" w:firstLineChars="200"/>
        <w:rPr>
          <w:rFonts w:ascii="仿宋" w:hAnsi="仿宋" w:eastAsia="仿宋"/>
          <w:color w:val="000000"/>
          <w:sz w:val="28"/>
        </w:rPr>
      </w:pPr>
      <w:r>
        <w:rPr>
          <w:rFonts w:hint="eastAsia" w:ascii="仿宋" w:hAnsi="仿宋" w:eastAsia="仿宋"/>
          <w:color w:val="000000"/>
          <w:sz w:val="28"/>
        </w:rPr>
        <w:t>（一）上述股东减持计划的实施具有不确定性，减持股东</w:t>
      </w:r>
      <w:r>
        <w:rPr>
          <w:rFonts w:hint="eastAsia" w:ascii="仿宋" w:hAnsi="仿宋" w:eastAsia="仿宋"/>
          <w:sz w:val="28"/>
          <w:szCs w:val="28"/>
        </w:rPr>
        <w:t>南京乐遂</w:t>
      </w:r>
      <w:r>
        <w:rPr>
          <w:rFonts w:hint="eastAsia" w:ascii="仿宋" w:hAnsi="仿宋" w:eastAsia="仿宋"/>
          <w:color w:val="000000"/>
          <w:sz w:val="28"/>
        </w:rPr>
        <w:t>将根据市场情况、公司股价等情形决定是否实施股份减持计划，减持计划存在减持时间、数量、价格的不确定性，也存在是否按期实施完成的不确定性。</w:t>
      </w:r>
    </w:p>
    <w:p w14:paraId="5FCA1C2A">
      <w:pPr>
        <w:spacing w:line="360" w:lineRule="auto"/>
        <w:ind w:firstLine="560" w:firstLineChars="200"/>
        <w:rPr>
          <w:rFonts w:ascii="仿宋" w:hAnsi="仿宋" w:eastAsia="仿宋"/>
          <w:color w:val="000000"/>
          <w:sz w:val="28"/>
        </w:rPr>
      </w:pPr>
      <w:r>
        <w:rPr>
          <w:rFonts w:hint="eastAsia" w:ascii="仿宋" w:hAnsi="仿宋" w:eastAsia="仿宋"/>
          <w:color w:val="000000"/>
          <w:sz w:val="28"/>
        </w:rPr>
        <w:t>（二）减持计划实施期间，减持股东</w:t>
      </w:r>
      <w:r>
        <w:rPr>
          <w:rFonts w:hint="eastAsia" w:ascii="仿宋" w:hAnsi="仿宋" w:eastAsia="仿宋"/>
          <w:sz w:val="28"/>
          <w:szCs w:val="28"/>
        </w:rPr>
        <w:t>南京乐遂</w:t>
      </w:r>
      <w:r>
        <w:rPr>
          <w:rFonts w:hint="eastAsia" w:ascii="仿宋" w:hAnsi="仿宋" w:eastAsia="仿宋"/>
          <w:color w:val="000000"/>
          <w:sz w:val="28"/>
        </w:rPr>
        <w:t>将严格遵守《</w:t>
      </w:r>
      <w:r>
        <w:rPr>
          <w:rFonts w:hint="eastAsia" w:ascii="仿宋" w:hAnsi="仿宋" w:eastAsia="仿宋"/>
          <w:color w:val="000000"/>
          <w:sz w:val="28"/>
          <w:lang w:eastAsia="zh-CN"/>
        </w:rPr>
        <w:t>中华人民共和国证券法</w:t>
      </w:r>
      <w:r>
        <w:rPr>
          <w:rFonts w:hint="eastAsia" w:ascii="仿宋" w:hAnsi="仿宋" w:eastAsia="仿宋"/>
          <w:color w:val="000000"/>
          <w:sz w:val="28"/>
        </w:rPr>
        <w:t>》《深圳证券交易所创业板股票上市规则》《深圳证券交易所上市公司自律监管指引第2号——创业板上市公司规范运作》《上市公司股东、董监高减持股份的若干规定》等有关法律、行政法规及规范性文件的规定。</w:t>
      </w:r>
    </w:p>
    <w:p w14:paraId="5E41A107">
      <w:pPr>
        <w:spacing w:line="360" w:lineRule="auto"/>
        <w:ind w:firstLine="560" w:firstLineChars="200"/>
        <w:rPr>
          <w:rFonts w:ascii="仿宋" w:hAnsi="仿宋" w:eastAsia="仿宋"/>
          <w:color w:val="000000"/>
          <w:sz w:val="28"/>
        </w:rPr>
      </w:pPr>
      <w:r>
        <w:rPr>
          <w:rFonts w:hint="eastAsia" w:ascii="仿宋" w:hAnsi="仿宋" w:eastAsia="仿宋"/>
          <w:color w:val="000000"/>
          <w:sz w:val="28"/>
        </w:rPr>
        <w:t>（三）本次减持计划的实施不会对公司治理结构及持续经营产生影响，不会导致公司控制权发生变更。</w:t>
      </w:r>
    </w:p>
    <w:p w14:paraId="351C3077">
      <w:pPr>
        <w:spacing w:line="360" w:lineRule="auto"/>
        <w:ind w:firstLine="560" w:firstLineChars="200"/>
        <w:rPr>
          <w:rFonts w:ascii="仿宋" w:hAnsi="仿宋" w:eastAsia="仿宋"/>
          <w:color w:val="000000"/>
          <w:sz w:val="28"/>
        </w:rPr>
      </w:pPr>
      <w:r>
        <w:rPr>
          <w:rFonts w:hint="eastAsia" w:ascii="仿宋" w:hAnsi="仿宋" w:eastAsia="仿宋"/>
          <w:color w:val="000000"/>
          <w:sz w:val="28"/>
        </w:rPr>
        <w:t>（四）公司将持续关注</w:t>
      </w:r>
      <w:r>
        <w:rPr>
          <w:rFonts w:hint="eastAsia" w:ascii="仿宋" w:hAnsi="仿宋" w:eastAsia="仿宋"/>
          <w:sz w:val="28"/>
          <w:szCs w:val="28"/>
        </w:rPr>
        <w:t>南京乐遂</w:t>
      </w:r>
      <w:r>
        <w:rPr>
          <w:rFonts w:hint="eastAsia" w:ascii="仿宋" w:hAnsi="仿宋" w:eastAsia="仿宋"/>
          <w:color w:val="000000"/>
          <w:sz w:val="28"/>
        </w:rPr>
        <w:t>的进展情况，并依据相关规定及时履行信息披露义务。敬请广大投资者理性投资，注意投资风险。</w:t>
      </w:r>
    </w:p>
    <w:p w14:paraId="0E30A4FE">
      <w:pPr>
        <w:spacing w:line="360" w:lineRule="auto"/>
        <w:ind w:firstLine="562" w:firstLineChars="200"/>
        <w:outlineLvl w:val="0"/>
        <w:rPr>
          <w:rFonts w:ascii="仿宋" w:hAnsi="仿宋" w:eastAsia="仿宋"/>
          <w:b/>
          <w:color w:val="000000"/>
          <w:sz w:val="28"/>
        </w:rPr>
      </w:pPr>
      <w:r>
        <w:rPr>
          <w:rFonts w:hint="eastAsia" w:ascii="仿宋" w:hAnsi="仿宋" w:eastAsia="仿宋"/>
          <w:b/>
          <w:color w:val="000000"/>
          <w:sz w:val="28"/>
        </w:rPr>
        <w:t>五、备查文件</w:t>
      </w:r>
    </w:p>
    <w:p w14:paraId="1A5BD62B">
      <w:pPr>
        <w:spacing w:line="360" w:lineRule="auto"/>
        <w:ind w:firstLine="560" w:firstLineChars="200"/>
        <w:rPr>
          <w:rFonts w:ascii="仿宋" w:hAnsi="仿宋" w:eastAsia="仿宋"/>
          <w:color w:val="000000"/>
          <w:sz w:val="28"/>
        </w:rPr>
      </w:pPr>
      <w:r>
        <w:rPr>
          <w:rFonts w:hint="eastAsia" w:ascii="仿宋" w:hAnsi="仿宋" w:eastAsia="仿宋"/>
          <w:color w:val="000000"/>
          <w:sz w:val="28"/>
        </w:rPr>
        <w:t>（一）</w:t>
      </w:r>
      <w:r>
        <w:rPr>
          <w:rFonts w:hint="eastAsia" w:ascii="仿宋" w:hAnsi="仿宋" w:eastAsia="仿宋"/>
          <w:sz w:val="28"/>
          <w:szCs w:val="28"/>
        </w:rPr>
        <w:t>南京乐遂</w:t>
      </w:r>
      <w:r>
        <w:rPr>
          <w:rFonts w:hint="eastAsia" w:ascii="仿宋" w:hAnsi="仿宋" w:eastAsia="仿宋"/>
          <w:color w:val="000000"/>
          <w:sz w:val="28"/>
        </w:rPr>
        <w:t>出具的《减持计划告知函》。</w:t>
      </w:r>
    </w:p>
    <w:p w14:paraId="6302E8E8">
      <w:pPr>
        <w:spacing w:line="360" w:lineRule="auto"/>
        <w:ind w:firstLine="560" w:firstLineChars="200"/>
        <w:rPr>
          <w:rFonts w:ascii="仿宋" w:hAnsi="仿宋" w:eastAsia="仿宋"/>
          <w:color w:val="000000"/>
          <w:sz w:val="28"/>
        </w:rPr>
      </w:pPr>
      <w:r>
        <w:rPr>
          <w:rFonts w:hint="eastAsia" w:ascii="仿宋" w:hAnsi="仿宋" w:eastAsia="仿宋"/>
          <w:color w:val="000000"/>
          <w:sz w:val="28"/>
        </w:rPr>
        <w:t>特此公告。</w:t>
      </w:r>
    </w:p>
    <w:p w14:paraId="5E343E3D">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广东天亿马信息产业股份有限公司</w:t>
      </w:r>
    </w:p>
    <w:p w14:paraId="47F5529A">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董事会</w:t>
      </w:r>
    </w:p>
    <w:p w14:paraId="5F95786C">
      <w:pPr>
        <w:wordWrap w:val="0"/>
        <w:spacing w:before="156" w:beforeLines="50" w:line="360" w:lineRule="auto"/>
        <w:ind w:firstLine="560" w:firstLineChars="200"/>
        <w:jc w:val="right"/>
        <w:rPr>
          <w:rFonts w:ascii="仿宋" w:hAnsi="仿宋" w:eastAsia="仿宋"/>
          <w:color w:val="000000"/>
          <w:sz w:val="28"/>
        </w:rPr>
      </w:pPr>
      <w:r>
        <w:rPr>
          <w:rFonts w:hint="eastAsia" w:ascii="仿宋" w:hAnsi="仿宋" w:eastAsia="仿宋"/>
          <w:sz w:val="28"/>
          <w:szCs w:val="28"/>
        </w:rPr>
        <w:t>202</w:t>
      </w:r>
      <w:r>
        <w:rPr>
          <w:rFonts w:hint="eastAsia" w:ascii="仿宋" w:hAnsi="仿宋" w:eastAsia="仿宋"/>
          <w:sz w:val="28"/>
          <w:szCs w:val="28"/>
          <w:lang w:val="en-US" w:eastAsia="zh-CN"/>
        </w:rPr>
        <w:t>5</w:t>
      </w:r>
      <w:r>
        <w:rPr>
          <w:rFonts w:hint="eastAsia" w:ascii="仿宋" w:hAnsi="仿宋" w:eastAsia="仿宋"/>
          <w:sz w:val="28"/>
          <w:szCs w:val="28"/>
        </w:rPr>
        <w:t>年</w:t>
      </w:r>
      <w:r>
        <w:rPr>
          <w:rFonts w:hint="eastAsia" w:ascii="仿宋" w:hAnsi="仿宋" w:eastAsia="仿宋"/>
          <w:sz w:val="28"/>
          <w:szCs w:val="28"/>
          <w:lang w:val="en-US" w:eastAsia="zh-CN"/>
        </w:rPr>
        <w:t>4</w:t>
      </w:r>
      <w:r>
        <w:rPr>
          <w:rFonts w:hint="eastAsia" w:ascii="仿宋" w:hAnsi="仿宋" w:eastAsia="仿宋"/>
          <w:sz w:val="28"/>
          <w:szCs w:val="28"/>
        </w:rPr>
        <w:t>月</w:t>
      </w:r>
      <w:r>
        <w:rPr>
          <w:rFonts w:hint="eastAsia" w:ascii="仿宋" w:hAnsi="仿宋" w:eastAsia="仿宋"/>
          <w:sz w:val="28"/>
          <w:szCs w:val="28"/>
          <w:lang w:val="en-US" w:eastAsia="zh-CN"/>
        </w:rPr>
        <w:t>24</w:t>
      </w:r>
      <w:bookmarkStart w:id="0" w:name="_GoBack"/>
      <w:bookmarkEnd w:id="0"/>
      <w:r>
        <w:rPr>
          <w:rFonts w:hint="eastAsia" w:ascii="仿宋" w:hAnsi="仿宋" w:eastAsia="仿宋"/>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1DD5"/>
    <w:rsid w:val="00001F91"/>
    <w:rsid w:val="00001FF3"/>
    <w:rsid w:val="00005D60"/>
    <w:rsid w:val="00006924"/>
    <w:rsid w:val="000076B6"/>
    <w:rsid w:val="000078D4"/>
    <w:rsid w:val="000101C9"/>
    <w:rsid w:val="00011A18"/>
    <w:rsid w:val="000126BF"/>
    <w:rsid w:val="00013211"/>
    <w:rsid w:val="00013672"/>
    <w:rsid w:val="00016C94"/>
    <w:rsid w:val="00016DAB"/>
    <w:rsid w:val="000241C3"/>
    <w:rsid w:val="000249B7"/>
    <w:rsid w:val="000355CF"/>
    <w:rsid w:val="00046C24"/>
    <w:rsid w:val="00046E23"/>
    <w:rsid w:val="00047123"/>
    <w:rsid w:val="00061411"/>
    <w:rsid w:val="000637A2"/>
    <w:rsid w:val="000648AD"/>
    <w:rsid w:val="00064CE2"/>
    <w:rsid w:val="00065027"/>
    <w:rsid w:val="000653B6"/>
    <w:rsid w:val="00076DD8"/>
    <w:rsid w:val="00081C3D"/>
    <w:rsid w:val="00084890"/>
    <w:rsid w:val="000A1F9E"/>
    <w:rsid w:val="000A330F"/>
    <w:rsid w:val="000A45A9"/>
    <w:rsid w:val="000A7303"/>
    <w:rsid w:val="000B12BA"/>
    <w:rsid w:val="000B2A6B"/>
    <w:rsid w:val="000B5727"/>
    <w:rsid w:val="000B70BA"/>
    <w:rsid w:val="000C118A"/>
    <w:rsid w:val="000C4313"/>
    <w:rsid w:val="000C7083"/>
    <w:rsid w:val="000D13E8"/>
    <w:rsid w:val="000D64B1"/>
    <w:rsid w:val="000E0840"/>
    <w:rsid w:val="000E186F"/>
    <w:rsid w:val="000E52AB"/>
    <w:rsid w:val="000F305F"/>
    <w:rsid w:val="000F4DAD"/>
    <w:rsid w:val="000F6B9C"/>
    <w:rsid w:val="0010273A"/>
    <w:rsid w:val="00106D6D"/>
    <w:rsid w:val="001112CE"/>
    <w:rsid w:val="0011282A"/>
    <w:rsid w:val="00114F78"/>
    <w:rsid w:val="001170A5"/>
    <w:rsid w:val="001306CA"/>
    <w:rsid w:val="00132FCD"/>
    <w:rsid w:val="00141BF6"/>
    <w:rsid w:val="0014501B"/>
    <w:rsid w:val="001456E4"/>
    <w:rsid w:val="00147439"/>
    <w:rsid w:val="0015451E"/>
    <w:rsid w:val="00155039"/>
    <w:rsid w:val="001567BD"/>
    <w:rsid w:val="00173BE5"/>
    <w:rsid w:val="0017726B"/>
    <w:rsid w:val="00192371"/>
    <w:rsid w:val="001A3C8F"/>
    <w:rsid w:val="001A48A7"/>
    <w:rsid w:val="001A5B56"/>
    <w:rsid w:val="001C28C7"/>
    <w:rsid w:val="001C5C4A"/>
    <w:rsid w:val="001C6591"/>
    <w:rsid w:val="001D244D"/>
    <w:rsid w:val="001D2962"/>
    <w:rsid w:val="001D6DE2"/>
    <w:rsid w:val="001E02B1"/>
    <w:rsid w:val="001E06DB"/>
    <w:rsid w:val="001E1735"/>
    <w:rsid w:val="001E4036"/>
    <w:rsid w:val="001E6CDE"/>
    <w:rsid w:val="001F1F9F"/>
    <w:rsid w:val="001F4A9B"/>
    <w:rsid w:val="001F5FAD"/>
    <w:rsid w:val="00202B6B"/>
    <w:rsid w:val="00203AFE"/>
    <w:rsid w:val="0020476C"/>
    <w:rsid w:val="00205333"/>
    <w:rsid w:val="00213C21"/>
    <w:rsid w:val="002143DF"/>
    <w:rsid w:val="00220CB2"/>
    <w:rsid w:val="00224BD6"/>
    <w:rsid w:val="002252CB"/>
    <w:rsid w:val="00232E86"/>
    <w:rsid w:val="00235346"/>
    <w:rsid w:val="00255C86"/>
    <w:rsid w:val="002573EF"/>
    <w:rsid w:val="0026111C"/>
    <w:rsid w:val="00262A64"/>
    <w:rsid w:val="00267179"/>
    <w:rsid w:val="00272EFE"/>
    <w:rsid w:val="00275892"/>
    <w:rsid w:val="00275E40"/>
    <w:rsid w:val="00276F06"/>
    <w:rsid w:val="002839F1"/>
    <w:rsid w:val="002865A5"/>
    <w:rsid w:val="002866D3"/>
    <w:rsid w:val="00286AAC"/>
    <w:rsid w:val="00286D5B"/>
    <w:rsid w:val="002918DD"/>
    <w:rsid w:val="002A1A75"/>
    <w:rsid w:val="002B12B7"/>
    <w:rsid w:val="002C694C"/>
    <w:rsid w:val="002E4E4D"/>
    <w:rsid w:val="002E5A91"/>
    <w:rsid w:val="002E7634"/>
    <w:rsid w:val="002F41F1"/>
    <w:rsid w:val="002F5D3D"/>
    <w:rsid w:val="002F6391"/>
    <w:rsid w:val="00301DF8"/>
    <w:rsid w:val="0031618C"/>
    <w:rsid w:val="0032439A"/>
    <w:rsid w:val="0032529C"/>
    <w:rsid w:val="00326C42"/>
    <w:rsid w:val="00330F82"/>
    <w:rsid w:val="00332576"/>
    <w:rsid w:val="003328EF"/>
    <w:rsid w:val="0034342B"/>
    <w:rsid w:val="0034648D"/>
    <w:rsid w:val="00347396"/>
    <w:rsid w:val="003568D5"/>
    <w:rsid w:val="0036248D"/>
    <w:rsid w:val="003724B7"/>
    <w:rsid w:val="00374A59"/>
    <w:rsid w:val="00375593"/>
    <w:rsid w:val="00375DDE"/>
    <w:rsid w:val="00381091"/>
    <w:rsid w:val="00381988"/>
    <w:rsid w:val="00382B3C"/>
    <w:rsid w:val="00397DFF"/>
    <w:rsid w:val="003A1309"/>
    <w:rsid w:val="003A300C"/>
    <w:rsid w:val="003A49C3"/>
    <w:rsid w:val="003B001B"/>
    <w:rsid w:val="003B4403"/>
    <w:rsid w:val="003B49E1"/>
    <w:rsid w:val="003B54E0"/>
    <w:rsid w:val="003C0C80"/>
    <w:rsid w:val="003C31C7"/>
    <w:rsid w:val="003C6F10"/>
    <w:rsid w:val="003D1C9C"/>
    <w:rsid w:val="003D33B3"/>
    <w:rsid w:val="003D450D"/>
    <w:rsid w:val="003E2314"/>
    <w:rsid w:val="003E5913"/>
    <w:rsid w:val="004024F6"/>
    <w:rsid w:val="00410061"/>
    <w:rsid w:val="004106F7"/>
    <w:rsid w:val="004112AB"/>
    <w:rsid w:val="00414EBC"/>
    <w:rsid w:val="004150BC"/>
    <w:rsid w:val="00415F62"/>
    <w:rsid w:val="00417E68"/>
    <w:rsid w:val="00434202"/>
    <w:rsid w:val="00435D3B"/>
    <w:rsid w:val="004440AD"/>
    <w:rsid w:val="00446D95"/>
    <w:rsid w:val="004471F2"/>
    <w:rsid w:val="00454D8B"/>
    <w:rsid w:val="00460D28"/>
    <w:rsid w:val="0046127A"/>
    <w:rsid w:val="00464800"/>
    <w:rsid w:val="00465C4F"/>
    <w:rsid w:val="00466303"/>
    <w:rsid w:val="00483B6F"/>
    <w:rsid w:val="0049397F"/>
    <w:rsid w:val="004A01DD"/>
    <w:rsid w:val="004A0FDC"/>
    <w:rsid w:val="004A3458"/>
    <w:rsid w:val="004A5050"/>
    <w:rsid w:val="004B0266"/>
    <w:rsid w:val="004B0A33"/>
    <w:rsid w:val="004B7E62"/>
    <w:rsid w:val="004C1CB6"/>
    <w:rsid w:val="004C233E"/>
    <w:rsid w:val="004C632D"/>
    <w:rsid w:val="004E1C7A"/>
    <w:rsid w:val="004E64E4"/>
    <w:rsid w:val="004E6668"/>
    <w:rsid w:val="004E6854"/>
    <w:rsid w:val="004F101A"/>
    <w:rsid w:val="004F35D5"/>
    <w:rsid w:val="004F5B94"/>
    <w:rsid w:val="004F766D"/>
    <w:rsid w:val="0050279E"/>
    <w:rsid w:val="00504467"/>
    <w:rsid w:val="00507F1B"/>
    <w:rsid w:val="00510EDF"/>
    <w:rsid w:val="00510FD3"/>
    <w:rsid w:val="00511DDA"/>
    <w:rsid w:val="00514293"/>
    <w:rsid w:val="00522F6B"/>
    <w:rsid w:val="0052789D"/>
    <w:rsid w:val="00527D0E"/>
    <w:rsid w:val="005317FA"/>
    <w:rsid w:val="00531AC2"/>
    <w:rsid w:val="005325F9"/>
    <w:rsid w:val="00532FCB"/>
    <w:rsid w:val="00546F87"/>
    <w:rsid w:val="00547609"/>
    <w:rsid w:val="0055105C"/>
    <w:rsid w:val="0055266A"/>
    <w:rsid w:val="00553076"/>
    <w:rsid w:val="00561060"/>
    <w:rsid w:val="00562C18"/>
    <w:rsid w:val="005704DC"/>
    <w:rsid w:val="00575050"/>
    <w:rsid w:val="0057513A"/>
    <w:rsid w:val="0058127C"/>
    <w:rsid w:val="00581863"/>
    <w:rsid w:val="005860CC"/>
    <w:rsid w:val="00586522"/>
    <w:rsid w:val="0059060A"/>
    <w:rsid w:val="00593136"/>
    <w:rsid w:val="005970F7"/>
    <w:rsid w:val="005977F2"/>
    <w:rsid w:val="005A04A2"/>
    <w:rsid w:val="005A11EA"/>
    <w:rsid w:val="005A49FF"/>
    <w:rsid w:val="005B1EBB"/>
    <w:rsid w:val="005C2B78"/>
    <w:rsid w:val="005D4719"/>
    <w:rsid w:val="005D7329"/>
    <w:rsid w:val="005E0C93"/>
    <w:rsid w:val="005E227C"/>
    <w:rsid w:val="005E2742"/>
    <w:rsid w:val="005E32CA"/>
    <w:rsid w:val="005F2D0F"/>
    <w:rsid w:val="005F65C9"/>
    <w:rsid w:val="005F66B8"/>
    <w:rsid w:val="006024D1"/>
    <w:rsid w:val="00610AB1"/>
    <w:rsid w:val="00611644"/>
    <w:rsid w:val="00613CE2"/>
    <w:rsid w:val="006170FE"/>
    <w:rsid w:val="00620DC9"/>
    <w:rsid w:val="00623B1D"/>
    <w:rsid w:val="0063213D"/>
    <w:rsid w:val="006353B0"/>
    <w:rsid w:val="00637AC9"/>
    <w:rsid w:val="006411A6"/>
    <w:rsid w:val="00646765"/>
    <w:rsid w:val="00647CDE"/>
    <w:rsid w:val="00651926"/>
    <w:rsid w:val="00653A97"/>
    <w:rsid w:val="006610B0"/>
    <w:rsid w:val="00662911"/>
    <w:rsid w:val="006665AC"/>
    <w:rsid w:val="00673C48"/>
    <w:rsid w:val="00680127"/>
    <w:rsid w:val="00683180"/>
    <w:rsid w:val="00683216"/>
    <w:rsid w:val="00683ABC"/>
    <w:rsid w:val="00684DD6"/>
    <w:rsid w:val="00685C17"/>
    <w:rsid w:val="006864CF"/>
    <w:rsid w:val="00696FA4"/>
    <w:rsid w:val="006970E5"/>
    <w:rsid w:val="006A32B3"/>
    <w:rsid w:val="006A4141"/>
    <w:rsid w:val="006A7CEC"/>
    <w:rsid w:val="006B1567"/>
    <w:rsid w:val="006B1A64"/>
    <w:rsid w:val="006B3551"/>
    <w:rsid w:val="006B5229"/>
    <w:rsid w:val="006C413C"/>
    <w:rsid w:val="006C492C"/>
    <w:rsid w:val="006D6E9C"/>
    <w:rsid w:val="006E30D7"/>
    <w:rsid w:val="006F252E"/>
    <w:rsid w:val="006F28C6"/>
    <w:rsid w:val="00714491"/>
    <w:rsid w:val="00715147"/>
    <w:rsid w:val="00715B5B"/>
    <w:rsid w:val="007203AE"/>
    <w:rsid w:val="0072060A"/>
    <w:rsid w:val="00724C6A"/>
    <w:rsid w:val="00726F29"/>
    <w:rsid w:val="0073437E"/>
    <w:rsid w:val="00743D63"/>
    <w:rsid w:val="007443B7"/>
    <w:rsid w:val="007446F8"/>
    <w:rsid w:val="007462B3"/>
    <w:rsid w:val="007571B1"/>
    <w:rsid w:val="007647E0"/>
    <w:rsid w:val="00765B99"/>
    <w:rsid w:val="00771FEB"/>
    <w:rsid w:val="00774F5E"/>
    <w:rsid w:val="007755DF"/>
    <w:rsid w:val="00780F19"/>
    <w:rsid w:val="00784FF3"/>
    <w:rsid w:val="007870B4"/>
    <w:rsid w:val="007A1E4C"/>
    <w:rsid w:val="007A5F6E"/>
    <w:rsid w:val="007A5FBC"/>
    <w:rsid w:val="007B3B0D"/>
    <w:rsid w:val="007B51F2"/>
    <w:rsid w:val="007C302B"/>
    <w:rsid w:val="007C6399"/>
    <w:rsid w:val="007C769C"/>
    <w:rsid w:val="007D5C14"/>
    <w:rsid w:val="007D5D64"/>
    <w:rsid w:val="007D642B"/>
    <w:rsid w:val="007E3498"/>
    <w:rsid w:val="007F3497"/>
    <w:rsid w:val="007F5EB7"/>
    <w:rsid w:val="0080096E"/>
    <w:rsid w:val="00804C31"/>
    <w:rsid w:val="0080763F"/>
    <w:rsid w:val="00811AA9"/>
    <w:rsid w:val="0081775E"/>
    <w:rsid w:val="00822741"/>
    <w:rsid w:val="00824610"/>
    <w:rsid w:val="00824AED"/>
    <w:rsid w:val="008250C3"/>
    <w:rsid w:val="008305C5"/>
    <w:rsid w:val="00834866"/>
    <w:rsid w:val="00834C6C"/>
    <w:rsid w:val="008362B9"/>
    <w:rsid w:val="00847F3B"/>
    <w:rsid w:val="008510C6"/>
    <w:rsid w:val="008540A4"/>
    <w:rsid w:val="0086302B"/>
    <w:rsid w:val="00866459"/>
    <w:rsid w:val="008674BE"/>
    <w:rsid w:val="00870002"/>
    <w:rsid w:val="0087045E"/>
    <w:rsid w:val="00871245"/>
    <w:rsid w:val="00873602"/>
    <w:rsid w:val="00874122"/>
    <w:rsid w:val="00885B11"/>
    <w:rsid w:val="008931F3"/>
    <w:rsid w:val="008A18ED"/>
    <w:rsid w:val="008A4D79"/>
    <w:rsid w:val="008B122B"/>
    <w:rsid w:val="008B3852"/>
    <w:rsid w:val="008B6FE9"/>
    <w:rsid w:val="008C5EF8"/>
    <w:rsid w:val="008D2D66"/>
    <w:rsid w:val="008D4143"/>
    <w:rsid w:val="008D63D7"/>
    <w:rsid w:val="008E0E09"/>
    <w:rsid w:val="008E4021"/>
    <w:rsid w:val="008E44DC"/>
    <w:rsid w:val="008E51CC"/>
    <w:rsid w:val="008F160E"/>
    <w:rsid w:val="008F26CC"/>
    <w:rsid w:val="00905A36"/>
    <w:rsid w:val="00912C4C"/>
    <w:rsid w:val="009165F6"/>
    <w:rsid w:val="0091693E"/>
    <w:rsid w:val="00923887"/>
    <w:rsid w:val="00931A5D"/>
    <w:rsid w:val="009327B3"/>
    <w:rsid w:val="00934EB4"/>
    <w:rsid w:val="00963B43"/>
    <w:rsid w:val="00965F5A"/>
    <w:rsid w:val="00965FC3"/>
    <w:rsid w:val="0096685C"/>
    <w:rsid w:val="009723E3"/>
    <w:rsid w:val="00973B9E"/>
    <w:rsid w:val="00976EB1"/>
    <w:rsid w:val="0097737B"/>
    <w:rsid w:val="00984D4C"/>
    <w:rsid w:val="00990EF7"/>
    <w:rsid w:val="00992607"/>
    <w:rsid w:val="00995EA2"/>
    <w:rsid w:val="009A3D54"/>
    <w:rsid w:val="009A6C3E"/>
    <w:rsid w:val="009B1090"/>
    <w:rsid w:val="009B3C20"/>
    <w:rsid w:val="009C21F1"/>
    <w:rsid w:val="009C2A8B"/>
    <w:rsid w:val="009E09FC"/>
    <w:rsid w:val="009E3EF8"/>
    <w:rsid w:val="009E52F4"/>
    <w:rsid w:val="009E5F3D"/>
    <w:rsid w:val="009E7431"/>
    <w:rsid w:val="009F0561"/>
    <w:rsid w:val="009F0E07"/>
    <w:rsid w:val="009F3CD1"/>
    <w:rsid w:val="009F446F"/>
    <w:rsid w:val="009F72E7"/>
    <w:rsid w:val="00A01DE0"/>
    <w:rsid w:val="00A172F2"/>
    <w:rsid w:val="00A23045"/>
    <w:rsid w:val="00A23FDA"/>
    <w:rsid w:val="00A24B52"/>
    <w:rsid w:val="00A24D85"/>
    <w:rsid w:val="00A2599A"/>
    <w:rsid w:val="00A36E41"/>
    <w:rsid w:val="00A46F7C"/>
    <w:rsid w:val="00A471C2"/>
    <w:rsid w:val="00A54047"/>
    <w:rsid w:val="00A568A3"/>
    <w:rsid w:val="00A630A6"/>
    <w:rsid w:val="00A63D1F"/>
    <w:rsid w:val="00A96C57"/>
    <w:rsid w:val="00AA6027"/>
    <w:rsid w:val="00AB03ED"/>
    <w:rsid w:val="00AC248D"/>
    <w:rsid w:val="00AC4459"/>
    <w:rsid w:val="00AC4B70"/>
    <w:rsid w:val="00AC4CF0"/>
    <w:rsid w:val="00AD2081"/>
    <w:rsid w:val="00AD2CB1"/>
    <w:rsid w:val="00AE5FA4"/>
    <w:rsid w:val="00AF448C"/>
    <w:rsid w:val="00AF5185"/>
    <w:rsid w:val="00AF7BEC"/>
    <w:rsid w:val="00B01ACD"/>
    <w:rsid w:val="00B02014"/>
    <w:rsid w:val="00B10E38"/>
    <w:rsid w:val="00B13699"/>
    <w:rsid w:val="00B157DB"/>
    <w:rsid w:val="00B17C58"/>
    <w:rsid w:val="00B23AA1"/>
    <w:rsid w:val="00B24CE1"/>
    <w:rsid w:val="00B2781F"/>
    <w:rsid w:val="00B403FD"/>
    <w:rsid w:val="00B4330F"/>
    <w:rsid w:val="00B46A42"/>
    <w:rsid w:val="00B51863"/>
    <w:rsid w:val="00B51F1A"/>
    <w:rsid w:val="00B55F7C"/>
    <w:rsid w:val="00B608B5"/>
    <w:rsid w:val="00B61014"/>
    <w:rsid w:val="00B62FFE"/>
    <w:rsid w:val="00B648A2"/>
    <w:rsid w:val="00B7595B"/>
    <w:rsid w:val="00B82479"/>
    <w:rsid w:val="00B90299"/>
    <w:rsid w:val="00B956BA"/>
    <w:rsid w:val="00BA011F"/>
    <w:rsid w:val="00BB16AA"/>
    <w:rsid w:val="00BB20FE"/>
    <w:rsid w:val="00BB4E58"/>
    <w:rsid w:val="00BB668C"/>
    <w:rsid w:val="00BC0398"/>
    <w:rsid w:val="00BC3398"/>
    <w:rsid w:val="00BC3ADA"/>
    <w:rsid w:val="00BC64EA"/>
    <w:rsid w:val="00BC78BF"/>
    <w:rsid w:val="00BE4589"/>
    <w:rsid w:val="00BE744C"/>
    <w:rsid w:val="00BF25F8"/>
    <w:rsid w:val="00BF2F88"/>
    <w:rsid w:val="00BF7A24"/>
    <w:rsid w:val="00C0583D"/>
    <w:rsid w:val="00C10405"/>
    <w:rsid w:val="00C12218"/>
    <w:rsid w:val="00C12C2E"/>
    <w:rsid w:val="00C14A90"/>
    <w:rsid w:val="00C14ECB"/>
    <w:rsid w:val="00C22055"/>
    <w:rsid w:val="00C234CF"/>
    <w:rsid w:val="00C23C09"/>
    <w:rsid w:val="00C430E9"/>
    <w:rsid w:val="00C45F23"/>
    <w:rsid w:val="00C5013D"/>
    <w:rsid w:val="00C5268D"/>
    <w:rsid w:val="00C528AE"/>
    <w:rsid w:val="00C54544"/>
    <w:rsid w:val="00C54A23"/>
    <w:rsid w:val="00C57E75"/>
    <w:rsid w:val="00C616D5"/>
    <w:rsid w:val="00C71B4E"/>
    <w:rsid w:val="00C77AA1"/>
    <w:rsid w:val="00C80121"/>
    <w:rsid w:val="00C90518"/>
    <w:rsid w:val="00C905D6"/>
    <w:rsid w:val="00C9349D"/>
    <w:rsid w:val="00C93E35"/>
    <w:rsid w:val="00C9435A"/>
    <w:rsid w:val="00CA2D42"/>
    <w:rsid w:val="00CA4D7D"/>
    <w:rsid w:val="00CA5B51"/>
    <w:rsid w:val="00CB742D"/>
    <w:rsid w:val="00CB747A"/>
    <w:rsid w:val="00CC379E"/>
    <w:rsid w:val="00CC3F03"/>
    <w:rsid w:val="00CC724F"/>
    <w:rsid w:val="00CD36BC"/>
    <w:rsid w:val="00CD4BFB"/>
    <w:rsid w:val="00CE0946"/>
    <w:rsid w:val="00CE1B19"/>
    <w:rsid w:val="00CE7A16"/>
    <w:rsid w:val="00CF0498"/>
    <w:rsid w:val="00CF6023"/>
    <w:rsid w:val="00D02124"/>
    <w:rsid w:val="00D02D40"/>
    <w:rsid w:val="00D03778"/>
    <w:rsid w:val="00D10A91"/>
    <w:rsid w:val="00D11103"/>
    <w:rsid w:val="00D14AF8"/>
    <w:rsid w:val="00D1655C"/>
    <w:rsid w:val="00D21071"/>
    <w:rsid w:val="00D23349"/>
    <w:rsid w:val="00D25216"/>
    <w:rsid w:val="00D26834"/>
    <w:rsid w:val="00D30E68"/>
    <w:rsid w:val="00D35BA5"/>
    <w:rsid w:val="00D403F5"/>
    <w:rsid w:val="00D40BB2"/>
    <w:rsid w:val="00D417AF"/>
    <w:rsid w:val="00D532E6"/>
    <w:rsid w:val="00D539A8"/>
    <w:rsid w:val="00D54B82"/>
    <w:rsid w:val="00D55A8C"/>
    <w:rsid w:val="00D5628C"/>
    <w:rsid w:val="00D642D3"/>
    <w:rsid w:val="00D6553F"/>
    <w:rsid w:val="00D779CB"/>
    <w:rsid w:val="00D80017"/>
    <w:rsid w:val="00D80B1D"/>
    <w:rsid w:val="00D82D0F"/>
    <w:rsid w:val="00D833BE"/>
    <w:rsid w:val="00D837D4"/>
    <w:rsid w:val="00D87337"/>
    <w:rsid w:val="00D92361"/>
    <w:rsid w:val="00D93CE0"/>
    <w:rsid w:val="00D94E68"/>
    <w:rsid w:val="00DA266C"/>
    <w:rsid w:val="00DA4DFD"/>
    <w:rsid w:val="00DA5472"/>
    <w:rsid w:val="00DA54BE"/>
    <w:rsid w:val="00DB00C8"/>
    <w:rsid w:val="00DB34E4"/>
    <w:rsid w:val="00DC0A6A"/>
    <w:rsid w:val="00DE5481"/>
    <w:rsid w:val="00DE6042"/>
    <w:rsid w:val="00DF1AEC"/>
    <w:rsid w:val="00DF2372"/>
    <w:rsid w:val="00DF4295"/>
    <w:rsid w:val="00E05992"/>
    <w:rsid w:val="00E07635"/>
    <w:rsid w:val="00E165FB"/>
    <w:rsid w:val="00E2099D"/>
    <w:rsid w:val="00E262A3"/>
    <w:rsid w:val="00E312D8"/>
    <w:rsid w:val="00E3190E"/>
    <w:rsid w:val="00E31A70"/>
    <w:rsid w:val="00E32242"/>
    <w:rsid w:val="00E323E9"/>
    <w:rsid w:val="00E34AD9"/>
    <w:rsid w:val="00E35558"/>
    <w:rsid w:val="00E40A95"/>
    <w:rsid w:val="00E413EF"/>
    <w:rsid w:val="00E430B3"/>
    <w:rsid w:val="00E4600E"/>
    <w:rsid w:val="00E52527"/>
    <w:rsid w:val="00E53123"/>
    <w:rsid w:val="00E56437"/>
    <w:rsid w:val="00E638EC"/>
    <w:rsid w:val="00E66489"/>
    <w:rsid w:val="00E66D3A"/>
    <w:rsid w:val="00E70D1A"/>
    <w:rsid w:val="00E73F6A"/>
    <w:rsid w:val="00E80F89"/>
    <w:rsid w:val="00E851A1"/>
    <w:rsid w:val="00E91743"/>
    <w:rsid w:val="00E92AAE"/>
    <w:rsid w:val="00E92BD4"/>
    <w:rsid w:val="00EB4E36"/>
    <w:rsid w:val="00EB74F7"/>
    <w:rsid w:val="00ED059C"/>
    <w:rsid w:val="00ED4781"/>
    <w:rsid w:val="00ED51B0"/>
    <w:rsid w:val="00ED5A39"/>
    <w:rsid w:val="00EE1C97"/>
    <w:rsid w:val="00EE5227"/>
    <w:rsid w:val="00EE6663"/>
    <w:rsid w:val="00EF0CA3"/>
    <w:rsid w:val="00EF0FD9"/>
    <w:rsid w:val="00F00052"/>
    <w:rsid w:val="00F04C13"/>
    <w:rsid w:val="00F10635"/>
    <w:rsid w:val="00F14C49"/>
    <w:rsid w:val="00F25EC5"/>
    <w:rsid w:val="00F30C01"/>
    <w:rsid w:val="00F3271C"/>
    <w:rsid w:val="00F32800"/>
    <w:rsid w:val="00F33BFF"/>
    <w:rsid w:val="00F34F95"/>
    <w:rsid w:val="00F42B61"/>
    <w:rsid w:val="00F52498"/>
    <w:rsid w:val="00F53230"/>
    <w:rsid w:val="00F5500B"/>
    <w:rsid w:val="00F56220"/>
    <w:rsid w:val="00F62B65"/>
    <w:rsid w:val="00F65BC7"/>
    <w:rsid w:val="00F7427F"/>
    <w:rsid w:val="00F77428"/>
    <w:rsid w:val="00F9130A"/>
    <w:rsid w:val="00F930FE"/>
    <w:rsid w:val="00FB1CC4"/>
    <w:rsid w:val="00FB56A1"/>
    <w:rsid w:val="00FC16E1"/>
    <w:rsid w:val="00FC27EE"/>
    <w:rsid w:val="00FC578C"/>
    <w:rsid w:val="00FD1256"/>
    <w:rsid w:val="00FD29CB"/>
    <w:rsid w:val="00FD434D"/>
    <w:rsid w:val="00FD4E57"/>
    <w:rsid w:val="00FD5C57"/>
    <w:rsid w:val="00FE0EDC"/>
    <w:rsid w:val="00FE4073"/>
    <w:rsid w:val="00FE6297"/>
    <w:rsid w:val="00FF0AF1"/>
    <w:rsid w:val="00FF57B3"/>
    <w:rsid w:val="00FF6FE6"/>
    <w:rsid w:val="00FF7ADD"/>
    <w:rsid w:val="08F8136C"/>
    <w:rsid w:val="0BA2713F"/>
    <w:rsid w:val="22B75206"/>
    <w:rsid w:val="237C4FE1"/>
    <w:rsid w:val="24ED5A27"/>
    <w:rsid w:val="3AFA1E55"/>
    <w:rsid w:val="40431D84"/>
    <w:rsid w:val="44FA374C"/>
    <w:rsid w:val="4F6C40A7"/>
    <w:rsid w:val="501415E9"/>
    <w:rsid w:val="533C6583"/>
    <w:rsid w:val="56355545"/>
    <w:rsid w:val="5FCF396E"/>
    <w:rsid w:val="6C9B1197"/>
    <w:rsid w:val="79C33D0A"/>
    <w:rsid w:val="7BBC9477"/>
    <w:rsid w:val="FE578D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7"/>
    <w:link w:val="4"/>
    <w:qFormat/>
    <w:uiPriority w:val="99"/>
    <w:rPr>
      <w:rFonts w:ascii="Times New Roman" w:hAnsi="Times New Roman" w:eastAsia="宋体" w:cs="Times New Roman"/>
      <w:sz w:val="18"/>
      <w:szCs w:val="18"/>
    </w:rPr>
  </w:style>
  <w:style w:type="character" w:customStyle="1" w:styleId="10">
    <w:name w:val="页脚 Char"/>
    <w:basedOn w:val="7"/>
    <w:link w:val="3"/>
    <w:qFormat/>
    <w:uiPriority w:val="99"/>
    <w:rPr>
      <w:rFonts w:ascii="Times New Roman" w:hAnsi="Times New Roman" w:eastAsia="宋体" w:cs="Times New Roman"/>
      <w:sz w:val="18"/>
      <w:szCs w:val="18"/>
    </w:rPr>
  </w:style>
  <w:style w:type="character" w:customStyle="1" w:styleId="11">
    <w:name w:val="批注框文本 Char"/>
    <w:basedOn w:val="7"/>
    <w:link w:val="2"/>
    <w:semiHidden/>
    <w:qFormat/>
    <w:uiPriority w:val="99"/>
    <w:rPr>
      <w:rFonts w:ascii="Times New Roman" w:hAnsi="Times New Roman" w:eastAsia="宋体" w:cs="Times New Roman"/>
      <w:sz w:val="18"/>
      <w:szCs w:val="18"/>
    </w:rPr>
  </w:style>
  <w:style w:type="paragraph" w:customStyle="1" w:styleId="12">
    <w:name w:val="Table Paragraph"/>
    <w:basedOn w:val="1"/>
    <w:qFormat/>
    <w:uiPriority w:val="1"/>
    <w:pPr>
      <w:jc w:val="left"/>
    </w:pPr>
    <w:rPr>
      <w:rFonts w:asciiTheme="minorHAnsi" w:hAnsiTheme="minorHAnsi" w:eastAsiaTheme="minorEastAsia" w:cstheme="minorBidi"/>
      <w:kern w:val="0"/>
      <w:sz w:val="22"/>
      <w:szCs w:val="22"/>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2296</Words>
  <Characters>2444</Characters>
  <Lines>16</Lines>
  <Paragraphs>4</Paragraphs>
  <TotalTime>3</TotalTime>
  <ScaleCrop>false</ScaleCrop>
  <LinksUpToDate>false</LinksUpToDate>
  <CharactersWithSpaces>2451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2022-03-03T21:16:00Z</dcterms:created>
  <dc:creator>hsq</dc:creator>
  <cp:lastModifiedBy>黄舒倩</cp:lastModifiedBy>
  <dcterms:modified xsi:type="dcterms:W3CDTF">2025-04-23T08:10:35Z</dcterms:modified>
  <cp:revision>558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2052-12.1.0.20784</vt:lpwstr>
  </property>
  <property fmtid="{D5CDD505-2E9C-101B-9397-08002B2CF9AE}" pid="4" name="ICV">
    <vt:lpwstr>8994196F1005141105890868770583D2_43</vt:lpwstr>
  </property>
</Properties>
</file>