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0A6C2">
      <w:pPr>
        <w:adjustRightInd w:val="0"/>
        <w:snapToGrid w:val="0"/>
        <w:spacing w:after="360" w:afterLines="150" w:line="240" w:lineRule="auto"/>
        <w:jc w:val="center"/>
        <w:rPr>
          <w:rFonts w:ascii="Times New Roman" w:hAnsi="Times New Roman" w:cs="Times New Roman" w:eastAsiaTheme="majorEastAsia"/>
          <w:b/>
          <w:sz w:val="36"/>
          <w:szCs w:val="36"/>
          <w:lang w:eastAsia="zh-CN"/>
        </w:rPr>
      </w:pPr>
      <w:bookmarkStart w:id="15" w:name="_GoBack"/>
      <w:bookmarkEnd w:id="15"/>
    </w:p>
    <w:p w14:paraId="356E1938">
      <w:pPr>
        <w:adjustRightInd w:val="0"/>
        <w:snapToGrid w:val="0"/>
        <w:spacing w:after="360" w:afterLines="150" w:line="240" w:lineRule="auto"/>
        <w:jc w:val="center"/>
        <w:rPr>
          <w:rFonts w:ascii="Times New Roman" w:hAnsi="Times New Roman" w:cs="Times New Roman" w:eastAsiaTheme="majorEastAsia"/>
          <w:b/>
          <w:sz w:val="36"/>
          <w:szCs w:val="36"/>
          <w:lang w:eastAsia="zh-CN"/>
        </w:rPr>
      </w:pPr>
    </w:p>
    <w:p w14:paraId="73609459">
      <w:pPr>
        <w:adjustRightInd w:val="0"/>
        <w:snapToGrid w:val="0"/>
        <w:spacing w:after="360" w:afterLines="150" w:line="240" w:lineRule="auto"/>
        <w:jc w:val="center"/>
        <w:rPr>
          <w:rFonts w:ascii="Times New Roman" w:hAnsi="Times New Roman" w:cs="Times New Roman" w:eastAsiaTheme="majorEastAsia"/>
          <w:b/>
          <w:sz w:val="36"/>
          <w:szCs w:val="36"/>
          <w:lang w:eastAsia="zh-CN"/>
        </w:rPr>
      </w:pPr>
    </w:p>
    <w:p w14:paraId="1A14041A">
      <w:pPr>
        <w:adjustRightInd w:val="0"/>
        <w:snapToGrid w:val="0"/>
        <w:spacing w:after="360" w:afterLines="150" w:line="240" w:lineRule="auto"/>
        <w:jc w:val="center"/>
        <w:rPr>
          <w:rFonts w:ascii="Times New Roman" w:hAnsi="Times New Roman" w:cs="Times New Roman" w:eastAsiaTheme="majorEastAsia"/>
          <w:b/>
          <w:sz w:val="36"/>
          <w:szCs w:val="36"/>
          <w:lang w:eastAsia="zh-CN"/>
        </w:rPr>
      </w:pPr>
    </w:p>
    <w:p w14:paraId="72822CDC">
      <w:pPr>
        <w:adjustRightInd w:val="0"/>
        <w:snapToGrid w:val="0"/>
        <w:spacing w:after="360" w:afterLines="150" w:line="240" w:lineRule="auto"/>
        <w:jc w:val="center"/>
        <w:rPr>
          <w:rFonts w:ascii="Times New Roman" w:hAnsi="Times New Roman" w:cs="Times New Roman" w:eastAsiaTheme="majorEastAsia"/>
          <w:b/>
          <w:sz w:val="36"/>
          <w:szCs w:val="36"/>
          <w:lang w:eastAsia="zh-CN"/>
        </w:rPr>
      </w:pPr>
      <w:r>
        <w:rPr>
          <w:rFonts w:ascii="Times New Roman" w:hAnsi="Times New Roman" w:cs="Times New Roman" w:eastAsiaTheme="majorEastAsia"/>
          <w:b/>
          <w:sz w:val="36"/>
          <w:szCs w:val="36"/>
          <w:lang w:eastAsia="zh-CN"/>
        </w:rPr>
        <w:t>上海君澜律师事务所</w:t>
      </w:r>
    </w:p>
    <w:p w14:paraId="2DB13158">
      <w:pPr>
        <w:adjustRightInd w:val="0"/>
        <w:snapToGrid w:val="0"/>
        <w:spacing w:before="360" w:beforeLines="150" w:after="360" w:afterLines="150" w:line="240" w:lineRule="auto"/>
        <w:jc w:val="center"/>
        <w:rPr>
          <w:rFonts w:ascii="Times New Roman" w:hAnsi="Times New Roman" w:cs="Times New Roman" w:eastAsiaTheme="majorEastAsia"/>
          <w:b/>
          <w:sz w:val="36"/>
          <w:szCs w:val="36"/>
          <w:lang w:eastAsia="zh-CN"/>
        </w:rPr>
      </w:pPr>
      <w:r>
        <w:rPr>
          <w:rFonts w:ascii="Times New Roman" w:hAnsi="Times New Roman" w:cs="Times New Roman" w:eastAsiaTheme="majorEastAsia"/>
          <w:b/>
          <w:sz w:val="36"/>
          <w:szCs w:val="36"/>
          <w:lang w:eastAsia="zh-CN"/>
        </w:rPr>
        <w:t>关于</w:t>
      </w:r>
    </w:p>
    <w:p w14:paraId="43F24BF1">
      <w:pPr>
        <w:adjustRightInd w:val="0"/>
        <w:snapToGrid w:val="0"/>
        <w:spacing w:before="360" w:beforeLines="150" w:after="360" w:afterLines="150" w:line="240" w:lineRule="auto"/>
        <w:jc w:val="center"/>
        <w:rPr>
          <w:rFonts w:ascii="Times New Roman" w:hAnsi="Times New Roman" w:cs="Times New Roman" w:eastAsiaTheme="majorEastAsia"/>
          <w:b/>
          <w:sz w:val="36"/>
          <w:szCs w:val="36"/>
          <w:lang w:eastAsia="zh-CN"/>
        </w:rPr>
      </w:pPr>
      <w:r>
        <w:rPr>
          <w:rFonts w:hint="eastAsia" w:ascii="Times New Roman" w:hAnsi="Times New Roman" w:cs="Times New Roman" w:eastAsiaTheme="majorEastAsia"/>
          <w:b/>
          <w:sz w:val="36"/>
          <w:szCs w:val="36"/>
          <w:lang w:eastAsia="zh-CN"/>
        </w:rPr>
        <w:t>广东天亿马信息产业股份有限公司</w:t>
      </w:r>
    </w:p>
    <w:p w14:paraId="322BE911">
      <w:pPr>
        <w:adjustRightInd w:val="0"/>
        <w:snapToGrid w:val="0"/>
        <w:spacing w:before="360" w:beforeLines="150" w:after="360" w:afterLines="150" w:line="240" w:lineRule="auto"/>
        <w:jc w:val="center"/>
        <w:rPr>
          <w:rFonts w:ascii="Times New Roman" w:hAnsi="Times New Roman" w:cs="Times New Roman" w:eastAsiaTheme="majorEastAsia"/>
          <w:b/>
          <w:sz w:val="36"/>
          <w:szCs w:val="36"/>
          <w:lang w:eastAsia="zh-CN"/>
        </w:rPr>
      </w:pPr>
      <w:r>
        <w:rPr>
          <w:rFonts w:hint="eastAsia" w:ascii="Times New Roman" w:hAnsi="Times New Roman" w:cs="Times New Roman" w:eastAsiaTheme="majorEastAsia"/>
          <w:b/>
          <w:sz w:val="36"/>
          <w:szCs w:val="36"/>
          <w:lang w:eastAsia="zh-CN"/>
        </w:rPr>
        <w:t>2</w:t>
      </w:r>
      <w:r>
        <w:rPr>
          <w:rFonts w:ascii="Times New Roman" w:hAnsi="Times New Roman" w:cs="Times New Roman" w:eastAsiaTheme="majorEastAsia"/>
          <w:b/>
          <w:sz w:val="36"/>
          <w:szCs w:val="36"/>
          <w:lang w:eastAsia="zh-CN"/>
        </w:rPr>
        <w:t>02</w:t>
      </w:r>
      <w:r>
        <w:rPr>
          <w:rFonts w:hint="eastAsia" w:ascii="Times New Roman" w:hAnsi="Times New Roman" w:cs="Times New Roman" w:eastAsiaTheme="majorEastAsia"/>
          <w:b/>
          <w:sz w:val="36"/>
          <w:szCs w:val="36"/>
          <w:lang w:eastAsia="zh-CN"/>
        </w:rPr>
        <w:t>3</w:t>
      </w:r>
      <w:r>
        <w:rPr>
          <w:rFonts w:ascii="Times New Roman" w:hAnsi="Times New Roman" w:cs="Times New Roman" w:eastAsiaTheme="majorEastAsia"/>
          <w:b/>
          <w:sz w:val="36"/>
          <w:szCs w:val="36"/>
          <w:lang w:eastAsia="zh-CN"/>
        </w:rPr>
        <w:t>年限制性股票激励计划</w:t>
      </w:r>
    </w:p>
    <w:p w14:paraId="3B9B6609">
      <w:pPr>
        <w:adjustRightInd w:val="0"/>
        <w:snapToGrid w:val="0"/>
        <w:spacing w:before="360" w:beforeLines="150" w:after="360" w:afterLines="150" w:line="240" w:lineRule="auto"/>
        <w:jc w:val="center"/>
        <w:rPr>
          <w:rFonts w:ascii="Times New Roman" w:hAnsi="Times New Roman" w:cs="Times New Roman" w:eastAsiaTheme="majorEastAsia"/>
          <w:b/>
          <w:sz w:val="36"/>
          <w:szCs w:val="36"/>
          <w:lang w:eastAsia="zh-CN"/>
        </w:rPr>
      </w:pPr>
      <w:r>
        <w:rPr>
          <w:rFonts w:hint="eastAsia" w:ascii="Times New Roman" w:hAnsi="Times New Roman" w:cs="Times New Roman" w:eastAsiaTheme="majorEastAsia"/>
          <w:b/>
          <w:sz w:val="36"/>
          <w:szCs w:val="36"/>
          <w:lang w:eastAsia="zh-CN"/>
        </w:rPr>
        <w:t>作废及回购注销部分限制性股票相关事项</w:t>
      </w:r>
    </w:p>
    <w:p w14:paraId="512BE5FE">
      <w:pPr>
        <w:adjustRightInd w:val="0"/>
        <w:snapToGrid w:val="0"/>
        <w:spacing w:before="360" w:beforeLines="150" w:after="360" w:afterLines="150" w:line="240" w:lineRule="auto"/>
        <w:jc w:val="center"/>
        <w:rPr>
          <w:rFonts w:ascii="Times New Roman" w:hAnsi="Times New Roman" w:cs="Times New Roman" w:eastAsiaTheme="majorEastAsia"/>
          <w:b/>
          <w:sz w:val="36"/>
          <w:szCs w:val="36"/>
          <w:lang w:eastAsia="zh-CN"/>
        </w:rPr>
      </w:pPr>
      <w:r>
        <w:rPr>
          <w:rFonts w:ascii="Times New Roman" w:hAnsi="Times New Roman" w:cs="Times New Roman" w:eastAsiaTheme="majorEastAsia"/>
          <w:b/>
          <w:sz w:val="36"/>
          <w:szCs w:val="36"/>
          <w:lang w:eastAsia="zh-CN"/>
        </w:rPr>
        <w:t>之</w:t>
      </w:r>
    </w:p>
    <w:p w14:paraId="47F69D10">
      <w:pPr>
        <w:adjustRightInd w:val="0"/>
        <w:snapToGrid w:val="0"/>
        <w:spacing w:before="360" w:beforeLines="150" w:after="360" w:afterLines="150" w:line="240" w:lineRule="auto"/>
        <w:jc w:val="center"/>
        <w:rPr>
          <w:rFonts w:ascii="Times New Roman" w:hAnsi="Times New Roman" w:cs="Times New Roman" w:eastAsiaTheme="majorEastAsia"/>
          <w:b/>
          <w:sz w:val="36"/>
          <w:szCs w:val="36"/>
          <w:lang w:eastAsia="zh-CN"/>
        </w:rPr>
      </w:pPr>
    </w:p>
    <w:p w14:paraId="15F46DEF">
      <w:pPr>
        <w:adjustRightInd w:val="0"/>
        <w:snapToGrid w:val="0"/>
        <w:spacing w:after="0" w:line="240" w:lineRule="auto"/>
        <w:jc w:val="center"/>
        <w:rPr>
          <w:rFonts w:ascii="Times New Roman" w:hAnsi="Times New Roman" w:cs="Times New Roman" w:eastAsiaTheme="majorEastAsia"/>
          <w:b/>
          <w:sz w:val="36"/>
          <w:szCs w:val="36"/>
          <w:lang w:eastAsia="zh-CN"/>
        </w:rPr>
      </w:pPr>
      <w:r>
        <w:rPr>
          <w:rFonts w:ascii="Times New Roman" w:hAnsi="Times New Roman" w:cs="Times New Roman" w:eastAsiaTheme="majorEastAsia"/>
          <w:b/>
          <w:sz w:val="36"/>
          <w:szCs w:val="36"/>
          <w:lang w:eastAsia="zh-CN"/>
        </w:rPr>
        <w:t>法律意见书</w:t>
      </w:r>
    </w:p>
    <w:p w14:paraId="0F1F5029">
      <w:pPr>
        <w:spacing w:after="0" w:line="360" w:lineRule="auto"/>
        <w:jc w:val="center"/>
        <w:rPr>
          <w:rFonts w:ascii="Times New Roman" w:hAnsi="Times New Roman" w:cs="Times New Roman"/>
          <w:b/>
          <w:sz w:val="36"/>
          <w:lang w:eastAsia="zh-CN"/>
        </w:rPr>
      </w:pPr>
      <w:r>
        <w:rPr>
          <w:rFonts w:ascii="Times New Roman" w:hAnsi="Times New Roman" w:cs="Times New Roman"/>
          <w:b/>
          <w:sz w:val="36"/>
          <w:lang w:eastAsia="zh-CN"/>
        </w:rPr>
        <w:tab/>
      </w:r>
    </w:p>
    <w:p w14:paraId="0B68193F">
      <w:pPr>
        <w:spacing w:after="0" w:line="360" w:lineRule="auto"/>
        <w:jc w:val="center"/>
        <w:rPr>
          <w:rFonts w:ascii="Times New Roman" w:hAnsi="Times New Roman" w:cs="Times New Roman"/>
          <w:b/>
          <w:sz w:val="36"/>
          <w:lang w:eastAsia="zh-CN"/>
        </w:rPr>
      </w:pPr>
    </w:p>
    <w:p w14:paraId="4AFD52F5">
      <w:pPr>
        <w:spacing w:after="0" w:line="360" w:lineRule="auto"/>
        <w:jc w:val="center"/>
        <w:rPr>
          <w:rFonts w:ascii="Times New Roman" w:hAnsi="Times New Roman" w:cs="Times New Roman"/>
          <w:b/>
          <w:sz w:val="36"/>
          <w:lang w:eastAsia="zh-CN"/>
        </w:rPr>
      </w:pPr>
    </w:p>
    <w:p w14:paraId="3BBEA400">
      <w:pPr>
        <w:tabs>
          <w:tab w:val="left" w:pos="1060"/>
          <w:tab w:val="left" w:pos="1310"/>
          <w:tab w:val="center" w:pos="4150"/>
          <w:tab w:val="right" w:pos="8306"/>
        </w:tabs>
        <w:snapToGrid w:val="0"/>
        <w:spacing w:before="360" w:beforeLines="150" w:after="360" w:afterLines="150" w:line="240" w:lineRule="auto"/>
        <w:jc w:val="center"/>
        <w:rPr>
          <w:rFonts w:ascii="Times New Roman" w:hAnsi="Times New Roman" w:eastAsia="等线" w:cs="Times New Roman"/>
          <w:sz w:val="18"/>
          <w:szCs w:val="18"/>
        </w:rPr>
      </w:pPr>
      <w:r>
        <w:rPr>
          <w:rFonts w:ascii="Times New Roman" w:hAnsi="Times New Roman" w:eastAsia="等线" w:cs="Times New Roman"/>
          <w:sz w:val="18"/>
          <w:szCs w:val="18"/>
          <w:lang w:eastAsia="zh-CN"/>
        </w:rPr>
        <w:drawing>
          <wp:inline distT="0" distB="0" distL="0" distR="0">
            <wp:extent cx="2481580" cy="609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481580" cy="609600"/>
                    </a:xfrm>
                    <a:prstGeom prst="rect">
                      <a:avLst/>
                    </a:prstGeom>
                    <a:noFill/>
                  </pic:spPr>
                </pic:pic>
              </a:graphicData>
            </a:graphic>
          </wp:inline>
        </w:drawing>
      </w:r>
    </w:p>
    <w:p w14:paraId="1FBE05D8">
      <w:pPr>
        <w:pStyle w:val="2"/>
        <w:ind w:right="220" w:firstLine="0" w:firstLineChars="0"/>
        <w:jc w:val="center"/>
        <w:rPr>
          <w:rFonts w:ascii="Times New Roman" w:hAnsi="Times New Roman" w:cs="Times New Roman" w:eastAsiaTheme="majorEastAsia"/>
          <w:b w:val="0"/>
          <w:color w:val="auto"/>
          <w:sz w:val="21"/>
          <w:szCs w:val="21"/>
        </w:rPr>
      </w:pPr>
      <w:r>
        <w:rPr>
          <w:rFonts w:hint="eastAsia" w:ascii="Times New Roman" w:hAnsi="Times New Roman" w:cs="Times New Roman" w:eastAsiaTheme="majorEastAsia"/>
          <w:b w:val="0"/>
          <w:color w:val="auto"/>
          <w:sz w:val="21"/>
          <w:szCs w:val="21"/>
        </w:rPr>
        <w:t xml:space="preserve"> </w:t>
      </w:r>
      <w:r>
        <w:rPr>
          <w:rFonts w:ascii="Times New Roman" w:hAnsi="Times New Roman" w:cs="Times New Roman" w:eastAsiaTheme="majorEastAsia"/>
          <w:b w:val="0"/>
          <w:color w:val="auto"/>
          <w:sz w:val="21"/>
          <w:szCs w:val="21"/>
        </w:rPr>
        <w:t xml:space="preserve">    二〇</w:t>
      </w:r>
      <w:r>
        <w:rPr>
          <w:rFonts w:hint="eastAsia" w:ascii="Times New Roman" w:hAnsi="Times New Roman" w:cs="Times New Roman" w:eastAsiaTheme="majorEastAsia"/>
          <w:b w:val="0"/>
          <w:color w:val="auto"/>
          <w:sz w:val="21"/>
          <w:szCs w:val="21"/>
        </w:rPr>
        <w:t>二五</w:t>
      </w:r>
      <w:r>
        <w:rPr>
          <w:rFonts w:ascii="Times New Roman" w:hAnsi="Times New Roman" w:cs="Times New Roman" w:eastAsiaTheme="majorEastAsia"/>
          <w:b w:val="0"/>
          <w:color w:val="auto"/>
          <w:sz w:val="21"/>
          <w:szCs w:val="21"/>
        </w:rPr>
        <w:t>年</w:t>
      </w:r>
      <w:r>
        <w:rPr>
          <w:rFonts w:hint="eastAsia" w:ascii="Times New Roman" w:hAnsi="Times New Roman" w:cs="Times New Roman" w:eastAsiaTheme="majorEastAsia"/>
          <w:b w:val="0"/>
          <w:color w:val="auto"/>
          <w:sz w:val="21"/>
          <w:szCs w:val="21"/>
        </w:rPr>
        <w:t>四</w:t>
      </w:r>
      <w:r>
        <w:rPr>
          <w:rFonts w:ascii="Times New Roman" w:hAnsi="Times New Roman" w:cs="Times New Roman" w:eastAsiaTheme="majorEastAsia"/>
          <w:b w:val="0"/>
          <w:color w:val="auto"/>
          <w:sz w:val="21"/>
          <w:szCs w:val="21"/>
        </w:rPr>
        <w:t>月</w:t>
      </w:r>
    </w:p>
    <w:p w14:paraId="3F2C0E60">
      <w:pPr>
        <w:spacing w:before="11" w:after="0" w:line="240" w:lineRule="exact"/>
        <w:rPr>
          <w:sz w:val="24"/>
          <w:szCs w:val="24"/>
          <w:lang w:eastAsia="zh-CN"/>
        </w:rPr>
        <w:sectPr>
          <w:headerReference r:id="rId5" w:type="default"/>
          <w:footerReference r:id="rId6" w:type="default"/>
          <w:pgSz w:w="11920" w:h="16860"/>
          <w:pgMar w:top="1440" w:right="1800" w:bottom="1440" w:left="1800" w:header="880" w:footer="0" w:gutter="0"/>
          <w:cols w:space="720" w:num="1"/>
          <w:titlePg/>
          <w:docGrid w:linePitch="299" w:charSpace="0"/>
        </w:sectPr>
      </w:pPr>
    </w:p>
    <w:p w14:paraId="4D6294EA">
      <w:pPr>
        <w:adjustRightInd w:val="0"/>
        <w:snapToGrid w:val="0"/>
        <w:spacing w:after="0" w:line="360" w:lineRule="auto"/>
        <w:jc w:val="center"/>
        <w:rPr>
          <w:rFonts w:ascii="宋体" w:hAnsi="宋体" w:eastAsia="宋体" w:cs="Times New Roman"/>
          <w:b/>
          <w:sz w:val="30"/>
          <w:szCs w:val="30"/>
          <w:lang w:eastAsia="zh-CN"/>
        </w:rPr>
      </w:pPr>
      <w:bookmarkStart w:id="0" w:name="_Hlk28598252"/>
      <w:r>
        <w:rPr>
          <w:rFonts w:ascii="宋体" w:hAnsi="宋体" w:eastAsia="宋体" w:cs="Times New Roman"/>
          <w:b/>
          <w:sz w:val="30"/>
          <w:szCs w:val="30"/>
          <w:lang w:eastAsia="zh-CN"/>
        </w:rPr>
        <w:t>上海君澜律师事务所</w:t>
      </w:r>
    </w:p>
    <w:p w14:paraId="24A57410">
      <w:pPr>
        <w:adjustRightInd w:val="0"/>
        <w:snapToGrid w:val="0"/>
        <w:spacing w:after="0" w:line="360" w:lineRule="auto"/>
        <w:jc w:val="center"/>
        <w:rPr>
          <w:rFonts w:ascii="宋体" w:hAnsi="宋体" w:eastAsia="宋体" w:cs="Times New Roman"/>
          <w:b/>
          <w:sz w:val="30"/>
          <w:szCs w:val="30"/>
          <w:lang w:eastAsia="zh-CN"/>
        </w:rPr>
      </w:pPr>
      <w:r>
        <w:rPr>
          <w:rFonts w:ascii="宋体" w:hAnsi="宋体" w:eastAsia="宋体" w:cs="Times New Roman"/>
          <w:b/>
          <w:sz w:val="30"/>
          <w:szCs w:val="30"/>
          <w:lang w:eastAsia="zh-CN"/>
        </w:rPr>
        <w:t>关于</w:t>
      </w:r>
      <w:r>
        <w:rPr>
          <w:rFonts w:hint="eastAsia" w:ascii="宋体" w:hAnsi="宋体" w:eastAsia="宋体" w:cs="Times New Roman"/>
          <w:b/>
          <w:sz w:val="30"/>
          <w:szCs w:val="30"/>
          <w:lang w:eastAsia="zh-CN"/>
        </w:rPr>
        <w:t>广东天亿马信息产业股份有限公司</w:t>
      </w:r>
    </w:p>
    <w:p w14:paraId="1591708F">
      <w:pPr>
        <w:adjustRightInd w:val="0"/>
        <w:snapToGrid w:val="0"/>
        <w:spacing w:after="0" w:line="360" w:lineRule="auto"/>
        <w:jc w:val="center"/>
        <w:rPr>
          <w:rFonts w:ascii="宋体" w:hAnsi="宋体" w:eastAsia="宋体" w:cs="Times New Roman"/>
          <w:b/>
          <w:sz w:val="30"/>
          <w:szCs w:val="30"/>
          <w:lang w:eastAsia="zh-CN"/>
        </w:rPr>
      </w:pPr>
      <w:r>
        <w:rPr>
          <w:rFonts w:ascii="Times New Roman" w:hAnsi="Times New Roman" w:eastAsia="宋体" w:cs="Times New Roman"/>
          <w:b/>
          <w:sz w:val="30"/>
          <w:szCs w:val="30"/>
          <w:lang w:eastAsia="zh-CN"/>
        </w:rPr>
        <w:t>202</w:t>
      </w:r>
      <w:r>
        <w:rPr>
          <w:rFonts w:hint="eastAsia" w:ascii="Times New Roman" w:hAnsi="Times New Roman" w:eastAsia="宋体" w:cs="Times New Roman"/>
          <w:b/>
          <w:sz w:val="30"/>
          <w:szCs w:val="30"/>
          <w:lang w:eastAsia="zh-CN"/>
        </w:rPr>
        <w:t>3</w:t>
      </w:r>
      <w:r>
        <w:rPr>
          <w:rFonts w:ascii="宋体" w:hAnsi="宋体" w:eastAsia="宋体" w:cs="Times New Roman"/>
          <w:b/>
          <w:sz w:val="30"/>
          <w:szCs w:val="30"/>
          <w:lang w:eastAsia="zh-CN"/>
        </w:rPr>
        <w:t>年限制性股票激励计划</w:t>
      </w:r>
    </w:p>
    <w:p w14:paraId="6D2FF3C8">
      <w:pPr>
        <w:adjustRightInd w:val="0"/>
        <w:snapToGrid w:val="0"/>
        <w:spacing w:after="0" w:line="360" w:lineRule="auto"/>
        <w:jc w:val="center"/>
        <w:rPr>
          <w:rFonts w:ascii="宋体" w:hAnsi="宋体" w:eastAsia="宋体" w:cs="Times New Roman"/>
          <w:b/>
          <w:sz w:val="30"/>
          <w:szCs w:val="30"/>
          <w:lang w:eastAsia="zh-CN"/>
        </w:rPr>
      </w:pPr>
      <w:r>
        <w:rPr>
          <w:rFonts w:hint="eastAsia" w:ascii="宋体" w:hAnsi="宋体" w:eastAsia="宋体" w:cs="Times New Roman"/>
          <w:b/>
          <w:sz w:val="30"/>
          <w:szCs w:val="30"/>
          <w:lang w:eastAsia="zh-CN"/>
        </w:rPr>
        <w:t>作废及回购注销部分限制性股票相关事项</w:t>
      </w:r>
      <w:r>
        <w:rPr>
          <w:rFonts w:ascii="宋体" w:hAnsi="宋体" w:eastAsia="宋体" w:cs="Times New Roman"/>
          <w:b/>
          <w:sz w:val="30"/>
          <w:szCs w:val="30"/>
          <w:lang w:eastAsia="zh-CN"/>
        </w:rPr>
        <w:t>之</w:t>
      </w:r>
    </w:p>
    <w:p w14:paraId="141D5EBC">
      <w:pPr>
        <w:adjustRightInd w:val="0"/>
        <w:snapToGrid w:val="0"/>
        <w:spacing w:after="240" w:afterLines="100" w:line="360" w:lineRule="auto"/>
        <w:jc w:val="center"/>
        <w:rPr>
          <w:rFonts w:ascii="宋体" w:hAnsi="宋体" w:eastAsia="宋体" w:cs="Times New Roman"/>
          <w:b/>
          <w:sz w:val="30"/>
          <w:szCs w:val="30"/>
          <w:lang w:eastAsia="zh-CN"/>
        </w:rPr>
      </w:pPr>
      <w:r>
        <w:rPr>
          <w:rFonts w:ascii="宋体" w:hAnsi="宋体" w:eastAsia="宋体" w:cs="Times New Roman"/>
          <w:b/>
          <w:sz w:val="30"/>
          <w:szCs w:val="30"/>
          <w:lang w:eastAsia="zh-CN"/>
        </w:rPr>
        <w:t>法律意见书</w:t>
      </w:r>
    </w:p>
    <w:bookmarkEnd w:id="0"/>
    <w:p w14:paraId="41290BAF">
      <w:pPr>
        <w:adjustRightInd w:val="0"/>
        <w:snapToGrid w:val="0"/>
        <w:spacing w:after="240" w:afterLines="100" w:line="360" w:lineRule="auto"/>
        <w:jc w:val="both"/>
        <w:rPr>
          <w:rFonts w:ascii="Times New Roman" w:hAnsi="Times New Roman" w:eastAsia="宋体" w:cs="Times New Roman"/>
          <w:b/>
          <w:sz w:val="24"/>
          <w:szCs w:val="24"/>
          <w:lang w:eastAsia="zh-CN"/>
        </w:rPr>
      </w:pPr>
      <w:r>
        <w:rPr>
          <w:rFonts w:ascii="Times New Roman" w:hAnsi="Times New Roman" w:eastAsia="宋体" w:cs="Times New Roman"/>
          <w:b/>
          <w:sz w:val="24"/>
          <w:szCs w:val="24"/>
          <w:lang w:eastAsia="zh-CN"/>
        </w:rPr>
        <w:t>致：</w:t>
      </w:r>
      <w:r>
        <w:rPr>
          <w:rFonts w:hint="eastAsia" w:ascii="Times New Roman" w:hAnsi="Times New Roman" w:eastAsia="宋体" w:cs="Times New Roman"/>
          <w:b/>
          <w:sz w:val="24"/>
          <w:szCs w:val="24"/>
          <w:lang w:eastAsia="zh-CN"/>
        </w:rPr>
        <w:t>广东天亿马信息产业股份有限公司</w:t>
      </w:r>
    </w:p>
    <w:p w14:paraId="0C1E16B7">
      <w:pPr>
        <w:adjustRightInd w:val="0"/>
        <w:snapToGrid w:val="0"/>
        <w:spacing w:after="240" w:afterLines="100" w:line="360" w:lineRule="auto"/>
        <w:ind w:firstLine="480" w:firstLineChars="200"/>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上海君澜律师事务所（以下简称</w:t>
      </w:r>
      <w:r>
        <w:rPr>
          <w:rFonts w:ascii="宋体" w:hAnsi="宋体" w:eastAsia="宋体" w:cs="Times New Roman"/>
          <w:sz w:val="24"/>
          <w:szCs w:val="24"/>
          <w:lang w:eastAsia="zh-CN"/>
        </w:rPr>
        <w:t>“本所”</w:t>
      </w:r>
      <w:r>
        <w:rPr>
          <w:rFonts w:ascii="Times New Roman" w:hAnsi="Times New Roman" w:eastAsia="宋体" w:cs="Times New Roman"/>
          <w:sz w:val="24"/>
          <w:szCs w:val="24"/>
          <w:lang w:eastAsia="zh-CN"/>
        </w:rPr>
        <w:t>）接受</w:t>
      </w:r>
      <w:r>
        <w:rPr>
          <w:rFonts w:hint="eastAsia" w:ascii="Times New Roman" w:hAnsi="Times New Roman" w:eastAsia="宋体" w:cs="Times New Roman"/>
          <w:sz w:val="24"/>
          <w:szCs w:val="24"/>
          <w:lang w:eastAsia="zh-CN"/>
        </w:rPr>
        <w:t>广东天亿马信息产业股份有限公司（以下简称“公司”或“天亿马”）</w:t>
      </w:r>
      <w:r>
        <w:rPr>
          <w:rFonts w:ascii="Times New Roman" w:hAnsi="Times New Roman" w:eastAsia="宋体" w:cs="Times New Roman"/>
          <w:sz w:val="24"/>
          <w:szCs w:val="24"/>
          <w:lang w:eastAsia="zh-CN"/>
        </w:rPr>
        <w:t>的委托，根据《</w:t>
      </w:r>
      <w:r>
        <w:rPr>
          <w:rFonts w:hint="eastAsia" w:ascii="Times New Roman" w:hAnsi="Times New Roman" w:eastAsia="宋体" w:cs="Times New Roman"/>
          <w:sz w:val="24"/>
          <w:szCs w:val="24"/>
          <w:lang w:eastAsia="zh-CN"/>
        </w:rPr>
        <w:t>上市公司股权激励</w:t>
      </w:r>
      <w:r>
        <w:rPr>
          <w:rFonts w:ascii="Times New Roman" w:hAnsi="Times New Roman" w:eastAsia="宋体" w:cs="Times New Roman"/>
          <w:sz w:val="24"/>
          <w:szCs w:val="24"/>
          <w:lang w:eastAsia="zh-CN"/>
        </w:rPr>
        <w:t>管理办法》</w:t>
      </w:r>
      <w:r>
        <w:rPr>
          <w:rFonts w:hint="eastAsia" w:ascii="Times New Roman" w:hAnsi="Times New Roman" w:eastAsia="宋体" w:cs="Times New Roman"/>
          <w:sz w:val="24"/>
          <w:szCs w:val="24"/>
          <w:lang w:eastAsia="zh-CN"/>
        </w:rPr>
        <w:t>（以下简称“《管理办法》”）</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eastAsia="zh-CN"/>
        </w:rPr>
        <w:t>深圳证券交易所创业板股票</w:t>
      </w:r>
      <w:r>
        <w:rPr>
          <w:rFonts w:ascii="Times New Roman" w:hAnsi="Times New Roman" w:eastAsia="宋体" w:cs="Times New Roman"/>
          <w:sz w:val="24"/>
          <w:szCs w:val="24"/>
          <w:lang w:eastAsia="zh-CN"/>
        </w:rPr>
        <w:t>上市规则》</w:t>
      </w:r>
      <w:r>
        <w:rPr>
          <w:rFonts w:hint="eastAsia" w:ascii="Times New Roman" w:hAnsi="Times New Roman" w:eastAsia="宋体" w:cs="Times New Roman"/>
          <w:sz w:val="24"/>
          <w:szCs w:val="24"/>
          <w:lang w:eastAsia="zh-CN"/>
        </w:rPr>
        <w:t>（以下简称“《上市规则》”）《深圳证券交易所创业板上市公司自律监管指南第1号—业务办理》（以下简称“《监管指南》”）《广东天亿马信息产业股份有限公司2023年限制性股票激励计划》（以下简称“《激励计划》”或“本次激励计划”）</w:t>
      </w:r>
      <w:r>
        <w:rPr>
          <w:rFonts w:ascii="Times New Roman" w:hAnsi="Times New Roman" w:eastAsia="宋体" w:cs="Times New Roman"/>
          <w:sz w:val="24"/>
          <w:szCs w:val="24"/>
          <w:lang w:eastAsia="zh-CN"/>
        </w:rPr>
        <w:t>的规定，就</w:t>
      </w:r>
      <w:r>
        <w:rPr>
          <w:rFonts w:hint="eastAsia" w:ascii="Times New Roman" w:hAnsi="Times New Roman" w:eastAsia="宋体" w:cs="Times New Roman"/>
          <w:sz w:val="24"/>
          <w:szCs w:val="24"/>
          <w:lang w:eastAsia="zh-CN"/>
        </w:rPr>
        <w:t>天亿马</w:t>
      </w:r>
      <w:r>
        <w:rPr>
          <w:rFonts w:ascii="Times New Roman" w:hAnsi="Times New Roman" w:eastAsia="宋体" w:cs="Times New Roman"/>
          <w:sz w:val="24"/>
          <w:szCs w:val="24"/>
          <w:lang w:eastAsia="zh-CN"/>
        </w:rPr>
        <w:t>本次激励计划</w:t>
      </w:r>
      <w:r>
        <w:rPr>
          <w:rFonts w:hint="eastAsia" w:ascii="Times New Roman" w:hAnsi="Times New Roman" w:eastAsia="宋体" w:cs="Times New Roman"/>
          <w:sz w:val="24"/>
          <w:szCs w:val="24"/>
          <w:lang w:eastAsia="zh-CN"/>
        </w:rPr>
        <w:t>作废部分已授予但尚未归属的限制性股票及回购注销部分已授予但尚未解除限售的限制性股票</w:t>
      </w:r>
      <w:r>
        <w:rPr>
          <w:rFonts w:ascii="Times New Roman" w:hAnsi="Times New Roman" w:eastAsia="宋体" w:cs="Times New Roman"/>
          <w:sz w:val="24"/>
          <w:szCs w:val="24"/>
          <w:lang w:eastAsia="zh-CN"/>
        </w:rPr>
        <w:t>相关事项</w:t>
      </w:r>
      <w:r>
        <w:rPr>
          <w:rFonts w:hint="eastAsia" w:ascii="Times New Roman" w:hAnsi="Times New Roman" w:eastAsia="宋体" w:cs="Times New Roman"/>
          <w:sz w:val="24"/>
          <w:szCs w:val="24"/>
          <w:lang w:eastAsia="zh-CN"/>
        </w:rPr>
        <w:t>（以下简称“本次作废及回购注销”）</w:t>
      </w:r>
      <w:r>
        <w:rPr>
          <w:rFonts w:ascii="Times New Roman" w:hAnsi="Times New Roman" w:eastAsia="宋体" w:cs="Times New Roman"/>
          <w:sz w:val="24"/>
          <w:szCs w:val="24"/>
          <w:lang w:eastAsia="zh-CN"/>
        </w:rPr>
        <w:t>出具本法律意见书。</w:t>
      </w:r>
    </w:p>
    <w:p w14:paraId="309EEBC3">
      <w:pPr>
        <w:adjustRightInd w:val="0"/>
        <w:snapToGrid w:val="0"/>
        <w:spacing w:after="240" w:afterLines="100" w:line="360" w:lineRule="auto"/>
        <w:ind w:firstLine="480" w:firstLineChars="200"/>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对本法律意见书，本所律师声明如下：</w:t>
      </w:r>
    </w:p>
    <w:p w14:paraId="1EF0ACD6">
      <w:pPr>
        <w:adjustRightInd w:val="0"/>
        <w:snapToGrid w:val="0"/>
        <w:spacing w:after="240" w:afterLines="100" w:line="360" w:lineRule="auto"/>
        <w:ind w:firstLine="480" w:firstLineChars="200"/>
        <w:jc w:val="both"/>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（一）本</w:t>
      </w:r>
      <w:r>
        <w:rPr>
          <w:rFonts w:ascii="Times New Roman" w:hAnsi="Times New Roman" w:eastAsia="宋体" w:cs="Times New Roman"/>
          <w:sz w:val="24"/>
          <w:szCs w:val="24"/>
          <w:lang w:eastAsia="zh-CN"/>
        </w:rPr>
        <w:t>所律师依据《</w:t>
      </w:r>
      <w:r>
        <w:rPr>
          <w:rFonts w:hint="eastAsia" w:ascii="Times New Roman" w:hAnsi="Times New Roman" w:eastAsia="宋体" w:cs="Times New Roman"/>
          <w:sz w:val="24"/>
          <w:szCs w:val="24"/>
          <w:lang w:eastAsia="zh-CN"/>
        </w:rPr>
        <w:t>中华人民共和国</w:t>
      </w:r>
      <w:r>
        <w:rPr>
          <w:rFonts w:ascii="Times New Roman" w:hAnsi="Times New Roman" w:eastAsia="宋体" w:cs="Times New Roman"/>
          <w:sz w:val="24"/>
          <w:szCs w:val="24"/>
          <w:lang w:eastAsia="zh-CN"/>
        </w:rPr>
        <w:t>证券法》《律师事务所从事证券法律业务管理办法》和《律师事务所证券法律业务执业规则（试行）》等规定及本法律意见书出具日以前已经发生或者存在的事实，严格履行了法定职责，遵循了勤勉尽责和诚实信用原则，进行了充分的核查验证，保证本法律意见所认定的事实真实、准确、完整，所发表的结论性意见合法、准确，不存在虚假记载、误导性陈述或者重大遗漏，并承担相应法律责任。</w:t>
      </w:r>
    </w:p>
    <w:p w14:paraId="5A25AEB7">
      <w:pPr>
        <w:adjustRightInd w:val="0"/>
        <w:snapToGrid w:val="0"/>
        <w:spacing w:after="240" w:afterLines="100" w:line="360" w:lineRule="auto"/>
        <w:ind w:firstLine="480" w:firstLineChars="200"/>
        <w:jc w:val="both"/>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（二）本</w:t>
      </w:r>
      <w:r>
        <w:rPr>
          <w:rFonts w:ascii="Times New Roman" w:hAnsi="Times New Roman" w:eastAsia="宋体" w:cs="Times New Roman"/>
          <w:sz w:val="24"/>
          <w:szCs w:val="24"/>
          <w:lang w:eastAsia="zh-CN"/>
        </w:rPr>
        <w:t>所已得到</w:t>
      </w:r>
      <w:r>
        <w:rPr>
          <w:rFonts w:hint="eastAsia" w:ascii="Times New Roman" w:hAnsi="Times New Roman" w:eastAsia="宋体" w:cs="Times New Roman"/>
          <w:sz w:val="24"/>
          <w:szCs w:val="24"/>
          <w:lang w:eastAsia="zh-CN"/>
        </w:rPr>
        <w:t>天亿马</w:t>
      </w:r>
      <w:r>
        <w:rPr>
          <w:rFonts w:ascii="Times New Roman" w:hAnsi="Times New Roman" w:eastAsia="宋体" w:cs="Times New Roman"/>
          <w:sz w:val="24"/>
          <w:szCs w:val="24"/>
          <w:lang w:eastAsia="zh-CN"/>
        </w:rPr>
        <w:t>如下保证：</w:t>
      </w:r>
      <w:r>
        <w:rPr>
          <w:rFonts w:hint="eastAsia" w:ascii="Times New Roman" w:hAnsi="Times New Roman" w:eastAsia="宋体" w:cs="Times New Roman"/>
          <w:sz w:val="24"/>
          <w:szCs w:val="24"/>
          <w:lang w:eastAsia="zh-CN"/>
        </w:rPr>
        <w:t>天亿马</w:t>
      </w:r>
      <w:r>
        <w:rPr>
          <w:rFonts w:ascii="Times New Roman" w:hAnsi="Times New Roman" w:eastAsia="宋体" w:cs="Times New Roman"/>
          <w:sz w:val="24"/>
          <w:szCs w:val="24"/>
          <w:lang w:eastAsia="zh-CN"/>
        </w:rPr>
        <w:t>向本所律师提供了为出具本法律意见书所必需的全部文件，所有文件真实、完整、合法、有效，所有文件的副本或复印件均与正本或原件相符，所有文件上的签名、印章均为真实；且一切足以影响本所律师做出法律判断的事实和文件均已披露，并无任何隐瞒、误导、疏漏之处。</w:t>
      </w:r>
    </w:p>
    <w:p w14:paraId="054DD1FF">
      <w:pPr>
        <w:adjustRightInd w:val="0"/>
        <w:snapToGrid w:val="0"/>
        <w:spacing w:after="240" w:afterLines="100" w:line="360" w:lineRule="auto"/>
        <w:ind w:firstLine="480" w:firstLineChars="200"/>
        <w:jc w:val="both"/>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（三）</w:t>
      </w:r>
      <w:r>
        <w:rPr>
          <w:rFonts w:ascii="Times New Roman" w:hAnsi="Times New Roman" w:eastAsia="宋体" w:cs="Times New Roman"/>
          <w:sz w:val="24"/>
          <w:szCs w:val="24"/>
          <w:lang w:eastAsia="zh-CN"/>
        </w:rPr>
        <w:t>本所仅就公司</w:t>
      </w:r>
      <w:r>
        <w:rPr>
          <w:rFonts w:hint="eastAsia" w:ascii="Times New Roman" w:hAnsi="Times New Roman" w:eastAsia="宋体" w:cs="Times New Roman"/>
          <w:sz w:val="24"/>
          <w:szCs w:val="24"/>
          <w:lang w:eastAsia="zh-CN"/>
        </w:rPr>
        <w:t>本次作废及回购注销</w:t>
      </w:r>
      <w:r>
        <w:rPr>
          <w:rFonts w:ascii="Times New Roman" w:hAnsi="Times New Roman" w:eastAsia="宋体" w:cs="Times New Roman"/>
          <w:sz w:val="24"/>
          <w:szCs w:val="24"/>
          <w:lang w:eastAsia="zh-CN"/>
        </w:rPr>
        <w:t>的相关法律事项发表意见，而不对公司</w:t>
      </w:r>
      <w:r>
        <w:rPr>
          <w:rFonts w:hint="eastAsia" w:ascii="Times New Roman" w:hAnsi="Times New Roman" w:eastAsia="宋体" w:cs="Times New Roman"/>
          <w:sz w:val="24"/>
          <w:szCs w:val="24"/>
          <w:lang w:eastAsia="zh-CN"/>
        </w:rPr>
        <w:t>本次作废及回购注销</w:t>
      </w:r>
      <w:r>
        <w:rPr>
          <w:rFonts w:ascii="Times New Roman" w:hAnsi="Times New Roman" w:eastAsia="宋体" w:cs="Times New Roman"/>
          <w:sz w:val="24"/>
          <w:szCs w:val="24"/>
          <w:lang w:eastAsia="zh-CN"/>
        </w:rPr>
        <w:t>所涉及的标的股权价值、考核标准等方面的合理性以及会计、审计等专业事项发表意见，本所及经办律师不具备对该等专业事项进行核查和</w:t>
      </w:r>
      <w:r>
        <w:rPr>
          <w:rFonts w:hint="eastAsia" w:ascii="Times New Roman" w:hAnsi="Times New Roman" w:eastAsia="宋体" w:cs="Times New Roman"/>
          <w:sz w:val="24"/>
          <w:szCs w:val="24"/>
          <w:lang w:eastAsia="zh-CN"/>
        </w:rPr>
        <w:t>作出判断</w:t>
      </w:r>
      <w:r>
        <w:rPr>
          <w:rFonts w:ascii="Times New Roman" w:hAnsi="Times New Roman" w:eastAsia="宋体" w:cs="Times New Roman"/>
          <w:sz w:val="24"/>
          <w:szCs w:val="24"/>
          <w:lang w:eastAsia="zh-CN"/>
        </w:rPr>
        <w:t>的合法资格。本所及经办律师在本法律意见书中对与该等专业事项有关的报表、数据或对会计报告、审计报告等专业报告内容的引用，不意味着本所及经办律师对这些引用内容的真实性、有效性做出任何明示或默示的保证。</w:t>
      </w:r>
    </w:p>
    <w:p w14:paraId="5C5507F3">
      <w:pPr>
        <w:adjustRightInd w:val="0"/>
        <w:snapToGrid w:val="0"/>
        <w:spacing w:after="240" w:afterLines="100" w:line="360" w:lineRule="auto"/>
        <w:ind w:firstLine="480" w:firstLineChars="200"/>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本法律意见书仅供</w:t>
      </w:r>
      <w:r>
        <w:rPr>
          <w:rFonts w:hint="eastAsia" w:ascii="Times New Roman" w:hAnsi="Times New Roman" w:eastAsia="宋体" w:cs="Times New Roman"/>
          <w:sz w:val="24"/>
          <w:szCs w:val="24"/>
          <w:lang w:eastAsia="zh-CN"/>
        </w:rPr>
        <w:t>本次作废及回购注销</w:t>
      </w:r>
      <w:r>
        <w:rPr>
          <w:rFonts w:ascii="Times New Roman" w:hAnsi="Times New Roman" w:eastAsia="宋体" w:cs="Times New Roman"/>
          <w:sz w:val="24"/>
          <w:szCs w:val="24"/>
          <w:lang w:eastAsia="zh-CN"/>
        </w:rPr>
        <w:t>之目的使用，不得用作任何其他目的。</w:t>
      </w:r>
    </w:p>
    <w:p w14:paraId="02787A4C">
      <w:pPr>
        <w:adjustRightInd w:val="0"/>
        <w:snapToGrid w:val="0"/>
        <w:spacing w:after="240" w:afterLines="100" w:line="360" w:lineRule="auto"/>
        <w:ind w:firstLine="480" w:firstLineChars="200"/>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本所律师同意将本法律意见书作为</w:t>
      </w:r>
      <w:r>
        <w:rPr>
          <w:rFonts w:hint="eastAsia" w:ascii="Times New Roman" w:hAnsi="Times New Roman" w:eastAsia="宋体" w:cs="Times New Roman"/>
          <w:sz w:val="24"/>
          <w:szCs w:val="24"/>
          <w:lang w:eastAsia="zh-CN"/>
        </w:rPr>
        <w:t>天亿马本次作废及回购注销</w:t>
      </w:r>
      <w:r>
        <w:rPr>
          <w:rFonts w:ascii="Times New Roman" w:hAnsi="Times New Roman" w:eastAsia="宋体" w:cs="Times New Roman"/>
          <w:sz w:val="24"/>
          <w:szCs w:val="24"/>
          <w:lang w:eastAsia="zh-CN"/>
        </w:rPr>
        <w:t>所必备的法律文件，随其他材料一同向公众披露，并依法对所出具的法律意见承担责任。</w:t>
      </w:r>
    </w:p>
    <w:p w14:paraId="25CCE5AD">
      <w:pPr>
        <w:adjustRightInd w:val="0"/>
        <w:snapToGrid w:val="0"/>
        <w:spacing w:after="240" w:afterLines="100" w:line="360" w:lineRule="auto"/>
        <w:ind w:firstLine="480" w:firstLineChars="200"/>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本所律师按照律师行业公认的业务标准、道德规范和勤勉尽责精神，在对公司提供的有关文件和事实进行了充分核查验证的基础上，出具法律意见如下：</w:t>
      </w:r>
    </w:p>
    <w:p w14:paraId="16516F68">
      <w:pPr>
        <w:keepNext/>
        <w:keepLines/>
        <w:widowControl/>
        <w:spacing w:after="240" w:afterLines="100" w:line="360" w:lineRule="auto"/>
        <w:ind w:firstLine="482" w:firstLineChars="200"/>
        <w:outlineLvl w:val="0"/>
        <w:rPr>
          <w:rFonts w:ascii="宋体" w:hAnsi="宋体" w:eastAsia="宋体" w:cs="Times New Roman"/>
          <w:b/>
          <w:color w:val="000000"/>
          <w:kern w:val="2"/>
          <w:sz w:val="24"/>
          <w:szCs w:val="24"/>
          <w:lang w:eastAsia="zh-CN"/>
        </w:rPr>
      </w:pPr>
      <w:r>
        <w:rPr>
          <w:rFonts w:hint="eastAsia" w:ascii="宋体" w:hAnsi="宋体" w:eastAsia="宋体" w:cs="Times New Roman"/>
          <w:b/>
          <w:color w:val="000000"/>
          <w:kern w:val="2"/>
          <w:sz w:val="24"/>
          <w:szCs w:val="24"/>
          <w:lang w:eastAsia="zh-CN"/>
        </w:rPr>
        <w:t>一、本次作废及回购注销</w:t>
      </w:r>
      <w:r>
        <w:rPr>
          <w:rFonts w:ascii="宋体" w:hAnsi="宋体" w:eastAsia="宋体" w:cs="Times New Roman"/>
          <w:b/>
          <w:color w:val="000000"/>
          <w:kern w:val="2"/>
          <w:sz w:val="24"/>
          <w:szCs w:val="24"/>
          <w:lang w:eastAsia="zh-CN"/>
        </w:rPr>
        <w:t>的批准与授权</w:t>
      </w:r>
      <w:bookmarkStart w:id="1" w:name="_Hlk136961678"/>
    </w:p>
    <w:bookmarkEnd w:id="1"/>
    <w:p w14:paraId="29975735">
      <w:pPr>
        <w:adjustRightInd w:val="0"/>
        <w:snapToGrid w:val="0"/>
        <w:spacing w:after="240" w:afterLines="10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1．2023年8月2日，公司第三届董事会薪酬与考核委员会第三次会议审议通过了《关于&lt;广东天亿马信息产业股份有限公司2023年限制性股票激励计划（草案）&gt;及其摘要的议案》及《关于&lt;广东天亿马信息产业股份有限公司2023年限制性股票激励计划实施考核管理办法&gt;的议案》。</w:t>
      </w:r>
    </w:p>
    <w:p w14:paraId="67DFCC2F">
      <w:pPr>
        <w:adjustRightInd w:val="0"/>
        <w:snapToGrid w:val="0"/>
        <w:spacing w:after="240" w:afterLines="10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2．2023年8月2日，公司第三届董事会第十四次会议审议通过了《关于&lt;广东天亿马信息产业股份有限公司2023年限制性股票激励计划（草案）&gt;及其摘要的议案》《关于&lt;广东天亿马信息产业股份有限公司2023年限制性股票激励计划实施考核管理办法&gt;的议案》《关于提请股东大会授权董事会办理公司股权激励计划相关事宜的议案》及《关于提请召开2023年第三次临时股东大会的议案》等议案。同日，公司独立董事发表了同意实施本次激励计划的独立意见。</w:t>
      </w:r>
    </w:p>
    <w:p w14:paraId="7D21AA04">
      <w:pPr>
        <w:adjustRightInd w:val="0"/>
        <w:snapToGrid w:val="0"/>
        <w:spacing w:after="240" w:afterLines="10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3．2023年8月2日，公司第三届监事会第十二次会议审议通过了《关于&lt;广东天亿马信息产业股份有限公司2023年限制性股票激励计划（草案）&gt;及其摘要的议案》《关于&lt;广东天亿马信息产业股份有限公司2023年限制性股票激励计划实施考核管理办法&gt;的议案》及《关于核实&lt;广东天亿马信息产业股份有限公司2023年限制性股票激励计划首次授予激励对象名单&gt;的议案》等议案。</w:t>
      </w:r>
    </w:p>
    <w:p w14:paraId="16662BD0">
      <w:pPr>
        <w:adjustRightInd w:val="0"/>
        <w:snapToGrid w:val="0"/>
        <w:spacing w:after="240" w:afterLines="10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4. 2023年8月18日，公司第三届董事会薪酬与考核委员会第四次会议审议通过了《关于&lt;广东天亿马信息产业股份有限公司2023年限制性股票激励计划（草案修订稿）&gt;及其摘要的议案》及《关于&lt;广东天亿马信息产业股份有限公司2023年限制性股票激励计划实施考核管理办法（修订稿）&gt;的议案》。</w:t>
      </w:r>
    </w:p>
    <w:p w14:paraId="683FDF2B">
      <w:pPr>
        <w:adjustRightInd w:val="0"/>
        <w:snapToGrid w:val="0"/>
        <w:spacing w:after="240" w:afterLines="10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5. 2023年8月18日，公司第三届董事会第十五次会议审议通过了《关于&lt;广东天亿马信息产业股份有限公司2023年限制性股票激励计划（草案修订稿）&gt;及其摘要的议案》及《关于&lt;广东天亿马信息产业股份有限公司2023年限制性股票激励计划实施考核管理办法（修订稿）&gt;的议案》等议案。同日，公司独立董事发表了同意的独立意见。</w:t>
      </w:r>
    </w:p>
    <w:p w14:paraId="39FAFC9D">
      <w:pPr>
        <w:adjustRightInd w:val="0"/>
        <w:snapToGrid w:val="0"/>
        <w:spacing w:after="240" w:afterLines="10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6. 2023年8月18日，公司第三届监事会第十三次会议审议通过了《关于&lt;广东天亿马信息产业股份有限公司2023年限制性股票激励计划（草案修订稿）&gt;及其摘要的议案》及《关于&lt;广东天亿马信息产业股份有限公司2023年限制性股票激励计划实施考核管理办法（修订稿）&gt;的议案》等议案。</w:t>
      </w:r>
    </w:p>
    <w:p w14:paraId="2D6BDB6F">
      <w:pPr>
        <w:adjustRightInd w:val="0"/>
        <w:snapToGrid w:val="0"/>
        <w:spacing w:after="240" w:afterLines="10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7. 2023年9月11日，公司2023年第四次临时股东大会审议通过了《关于&lt;广东天亿马信息产业股份有限公司2023年限制性股票激励计划（草案修订稿）&gt;及其摘要的议案》《关于&lt;广东天亿马信息产业股份有限公司2023年限制性股票激励计划实施考核管理办法（修订稿）&gt;的议案》及《关于提请股东大会授权董事会办理公司股权激励计划相关事宜的议案》等议案。</w:t>
      </w:r>
    </w:p>
    <w:p w14:paraId="3A4C9D8C">
      <w:pPr>
        <w:adjustRightInd w:val="0"/>
        <w:snapToGrid w:val="0"/>
        <w:spacing w:after="240" w:afterLines="10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8. 2025年4月18日，公司第三届董事会第三十次会议和第三届监事会第二十六次会议审议通过了《关于作废部分已授予但尚未归属的限制性股票的议案》及《关于回购注销部分已授予但尚未解除限售的限制性股票的议案》。</w:t>
      </w:r>
    </w:p>
    <w:p w14:paraId="06C8A7E9">
      <w:pPr>
        <w:adjustRightInd w:val="0"/>
        <w:snapToGrid w:val="0"/>
        <w:spacing w:after="240" w:afterLines="100" w:line="360" w:lineRule="auto"/>
        <w:ind w:firstLine="480" w:firstLineChars="200"/>
        <w:jc w:val="both"/>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经核查，本所律师认为，</w:t>
      </w:r>
      <w:bookmarkStart w:id="2" w:name="_Hlk141950261"/>
      <w:r>
        <w:rPr>
          <w:rFonts w:hint="eastAsia" w:ascii="Times New Roman" w:hAnsi="Times New Roman" w:eastAsia="宋体" w:cs="Times New Roman"/>
          <w:sz w:val="24"/>
          <w:szCs w:val="24"/>
          <w:lang w:eastAsia="zh-CN"/>
        </w:rPr>
        <w:t>根据</w:t>
      </w:r>
      <w:r>
        <w:rPr>
          <w:rFonts w:ascii="Times New Roman" w:hAnsi="Times New Roman" w:eastAsia="宋体" w:cs="Times New Roman"/>
          <w:sz w:val="24"/>
          <w:szCs w:val="24"/>
          <w:lang w:eastAsia="zh-CN"/>
        </w:rPr>
        <w:t>股东会对董事会的授权</w:t>
      </w:r>
      <w:r>
        <w:rPr>
          <w:rFonts w:hint="eastAsia" w:ascii="Times New Roman" w:hAnsi="Times New Roman" w:eastAsia="宋体" w:cs="Times New Roman"/>
          <w:sz w:val="24"/>
          <w:szCs w:val="24"/>
          <w:lang w:eastAsia="zh-CN"/>
        </w:rPr>
        <w:t>，截至本法律意见书出具日，本次作废及回购注销已取得现阶段必要的批准和授权，符合《管理办法》《上市规则》《</w:t>
      </w:r>
      <w:r>
        <w:rPr>
          <w:rFonts w:ascii="Times New Roman" w:hAnsi="Times New Roman" w:eastAsia="宋体" w:cs="Times New Roman"/>
          <w:sz w:val="24"/>
          <w:szCs w:val="24"/>
          <w:lang w:eastAsia="zh-CN"/>
        </w:rPr>
        <w:t>监管指南</w:t>
      </w:r>
      <w:r>
        <w:rPr>
          <w:rFonts w:hint="eastAsia" w:ascii="Times New Roman" w:hAnsi="Times New Roman" w:eastAsia="宋体" w:cs="Times New Roman"/>
          <w:sz w:val="24"/>
          <w:szCs w:val="24"/>
          <w:lang w:eastAsia="zh-CN"/>
        </w:rPr>
        <w:t>》及《激励计划》的相关规定</w:t>
      </w:r>
      <w:bookmarkEnd w:id="2"/>
      <w:r>
        <w:rPr>
          <w:rFonts w:hint="eastAsia" w:ascii="Times New Roman" w:hAnsi="Times New Roman" w:eastAsia="宋体" w:cs="Times New Roman"/>
          <w:sz w:val="24"/>
          <w:szCs w:val="24"/>
          <w:lang w:eastAsia="zh-CN"/>
        </w:rPr>
        <w:t>。</w:t>
      </w:r>
    </w:p>
    <w:p w14:paraId="257B4037">
      <w:pPr>
        <w:keepNext/>
        <w:keepLines/>
        <w:widowControl/>
        <w:spacing w:after="240" w:afterLines="100" w:line="360" w:lineRule="auto"/>
        <w:ind w:firstLine="482" w:firstLineChars="200"/>
        <w:outlineLvl w:val="0"/>
        <w:rPr>
          <w:rFonts w:ascii="Times New Roman" w:hAnsi="Times New Roman" w:eastAsia="宋体" w:cs="Times New Roman"/>
          <w:b/>
          <w:color w:val="000000"/>
          <w:kern w:val="2"/>
          <w:sz w:val="24"/>
          <w:szCs w:val="24"/>
          <w:lang w:eastAsia="zh-CN"/>
        </w:rPr>
      </w:pPr>
      <w:r>
        <w:rPr>
          <w:rFonts w:ascii="Times New Roman" w:hAnsi="Times New Roman" w:eastAsia="宋体" w:cs="Times New Roman"/>
          <w:b/>
          <w:color w:val="000000"/>
          <w:kern w:val="2"/>
          <w:sz w:val="24"/>
          <w:szCs w:val="24"/>
          <w:lang w:eastAsia="zh-CN"/>
        </w:rPr>
        <w:t>二、</w:t>
      </w:r>
      <w:r>
        <w:rPr>
          <w:rFonts w:hint="eastAsia" w:ascii="Times New Roman" w:hAnsi="Times New Roman" w:eastAsia="宋体" w:cs="Times New Roman"/>
          <w:b/>
          <w:color w:val="000000"/>
          <w:kern w:val="2"/>
          <w:sz w:val="24"/>
          <w:szCs w:val="24"/>
          <w:lang w:eastAsia="zh-CN"/>
        </w:rPr>
        <w:t>本次作废及回购注销的</w:t>
      </w:r>
      <w:r>
        <w:rPr>
          <w:rFonts w:ascii="Times New Roman" w:hAnsi="Times New Roman" w:eastAsia="宋体" w:cs="Times New Roman"/>
          <w:b/>
          <w:color w:val="000000"/>
          <w:kern w:val="2"/>
          <w:sz w:val="24"/>
          <w:szCs w:val="24"/>
          <w:lang w:eastAsia="zh-CN"/>
        </w:rPr>
        <w:t>情况</w:t>
      </w:r>
    </w:p>
    <w:p w14:paraId="253A99E4">
      <w:pPr>
        <w:widowControl/>
        <w:spacing w:before="240" w:beforeLines="100"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（一）本次作废的情况</w:t>
      </w:r>
    </w:p>
    <w:p w14:paraId="7B03A64A">
      <w:pPr>
        <w:widowControl/>
        <w:spacing w:after="240" w:afterLines="100" w:line="360" w:lineRule="auto"/>
        <w:ind w:firstLine="480" w:firstLineChars="200"/>
        <w:jc w:val="both"/>
        <w:rPr>
          <w:rFonts w:ascii="Times New Roman" w:hAnsi="Times New Roman" w:eastAsia="宋体" w:cs="Times New Roman"/>
          <w:color w:val="000000"/>
          <w:kern w:val="2"/>
          <w:sz w:val="24"/>
          <w:lang w:eastAsia="zh-CN"/>
        </w:rPr>
      </w:pPr>
      <w:r>
        <w:rPr>
          <w:rFonts w:hint="eastAsia" w:ascii="Times New Roman" w:hAnsi="Times New Roman" w:eastAsia="宋体" w:cs="Times New Roman"/>
          <w:color w:val="000000"/>
          <w:kern w:val="2"/>
          <w:sz w:val="24"/>
          <w:lang w:eastAsia="zh-CN"/>
        </w:rPr>
        <w:t>1</w:t>
      </w:r>
      <w:r>
        <w:rPr>
          <w:rFonts w:ascii="Times New Roman" w:hAnsi="Times New Roman" w:eastAsia="宋体" w:cs="Times New Roman"/>
          <w:color w:val="000000"/>
          <w:kern w:val="2"/>
          <w:sz w:val="24"/>
          <w:lang w:eastAsia="zh-CN"/>
        </w:rPr>
        <w:t xml:space="preserve">. </w:t>
      </w:r>
      <w:r>
        <w:rPr>
          <w:rFonts w:hint="eastAsia" w:ascii="Times New Roman" w:hAnsi="Times New Roman" w:eastAsia="宋体" w:cs="Times New Roman"/>
          <w:color w:val="000000"/>
          <w:kern w:val="2"/>
          <w:sz w:val="24"/>
          <w:lang w:eastAsia="zh-CN"/>
        </w:rPr>
        <w:t>本次作废的原因及数量</w:t>
      </w:r>
    </w:p>
    <w:p w14:paraId="3B01746F">
      <w:pPr>
        <w:widowControl/>
        <w:spacing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根据公司《激励计划》及《2023年限制性股票激励计划实施考核管理办法（修订稿）》的相关规定，对于2024年业绩考核，若上市公司层面未满足对应业绩考核目标的（即以2023年净利润为基数，2024年净利润增长率不低于10%；且以2023年营业收入为基数，2024年营业收入增长率不低于7%），所有激励对象对应考核当年拟归属限制性股票均不得归属，作废失效。</w:t>
      </w:r>
    </w:p>
    <w:p w14:paraId="6EAC94CC">
      <w:pPr>
        <w:widowControl/>
        <w:spacing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根据公司经审计的2024年度财务报告，公司层面2024年业绩考核未达标，对应的归属比例不得归属，其首次授予激励对象的第二个归属期第二类限制性股票由公司作废，合计68.6805万股。</w:t>
      </w:r>
    </w:p>
    <w:p w14:paraId="4F38878C">
      <w:pPr>
        <w:widowControl/>
        <w:spacing w:after="240" w:afterLines="100" w:line="360" w:lineRule="auto"/>
        <w:ind w:firstLine="480" w:firstLineChars="200"/>
        <w:jc w:val="both"/>
        <w:rPr>
          <w:rFonts w:ascii="Times New Roman" w:hAnsi="Times New Roman" w:eastAsia="宋体" w:cs="Times New Roman"/>
          <w:color w:val="000000"/>
          <w:sz w:val="24"/>
          <w:szCs w:val="24"/>
          <w:lang w:eastAsia="zh-CN"/>
        </w:rPr>
      </w:pPr>
      <w:r>
        <w:rPr>
          <w:rFonts w:hint="eastAsia" w:ascii="Times New Roman" w:hAnsi="Times New Roman" w:eastAsia="宋体" w:cs="Times New Roman"/>
          <w:color w:val="000000"/>
          <w:sz w:val="24"/>
          <w:szCs w:val="24"/>
          <w:lang w:eastAsia="zh-CN"/>
        </w:rPr>
        <w:t>2</w:t>
      </w:r>
      <w:r>
        <w:rPr>
          <w:rFonts w:ascii="Times New Roman" w:hAnsi="Times New Roman" w:eastAsia="宋体" w:cs="Times New Roman"/>
          <w:color w:val="000000"/>
          <w:sz w:val="24"/>
          <w:szCs w:val="24"/>
          <w:lang w:eastAsia="zh-CN"/>
        </w:rPr>
        <w:t xml:space="preserve">. </w:t>
      </w:r>
      <w:r>
        <w:rPr>
          <w:rFonts w:hint="eastAsia" w:ascii="Times New Roman" w:hAnsi="Times New Roman" w:eastAsia="宋体" w:cs="Times New Roman"/>
          <w:color w:val="000000"/>
          <w:sz w:val="24"/>
          <w:szCs w:val="24"/>
          <w:lang w:eastAsia="zh-CN"/>
        </w:rPr>
        <w:t>本次作废的影响</w:t>
      </w:r>
    </w:p>
    <w:p w14:paraId="390054B5">
      <w:pPr>
        <w:widowControl/>
        <w:spacing w:after="240" w:afterLines="100" w:line="360" w:lineRule="auto"/>
        <w:ind w:firstLine="480" w:firstLineChars="200"/>
        <w:jc w:val="both"/>
        <w:rPr>
          <w:rFonts w:ascii="Times New Roman" w:hAnsi="Times New Roman" w:eastAsia="宋体" w:cs="Times New Roman"/>
          <w:color w:val="000000"/>
          <w:kern w:val="2"/>
          <w:sz w:val="24"/>
          <w:lang w:eastAsia="zh-CN"/>
        </w:rPr>
      </w:pPr>
      <w:bookmarkStart w:id="3" w:name="_Hlk138687183"/>
      <w:bookmarkStart w:id="4" w:name="_Hlk136967665"/>
      <w:r>
        <w:rPr>
          <w:rFonts w:hint="eastAsia" w:ascii="Times New Roman" w:hAnsi="Times New Roman" w:eastAsia="宋体" w:cs="Times New Roman"/>
          <w:bCs/>
          <w:color w:val="000000"/>
          <w:sz w:val="24"/>
          <w:szCs w:val="24"/>
          <w:lang w:eastAsia="zh-CN"/>
        </w:rPr>
        <w:t>根据公司相关文件说明，</w:t>
      </w:r>
      <w:bookmarkEnd w:id="3"/>
      <w:r>
        <w:rPr>
          <w:rFonts w:hint="eastAsia" w:ascii="Times New Roman" w:hAnsi="Times New Roman" w:eastAsia="宋体" w:cs="Times New Roman"/>
          <w:color w:val="000000"/>
          <w:kern w:val="2"/>
          <w:sz w:val="24"/>
          <w:lang w:eastAsia="zh-CN"/>
        </w:rPr>
        <w:t>公司</w:t>
      </w:r>
      <w:bookmarkStart w:id="5" w:name="_Hlk141950037"/>
      <w:r>
        <w:rPr>
          <w:rFonts w:hint="eastAsia" w:ascii="Times New Roman" w:hAnsi="Times New Roman" w:eastAsia="宋体" w:cs="Times New Roman"/>
          <w:color w:val="000000"/>
          <w:kern w:val="2"/>
          <w:sz w:val="24"/>
          <w:lang w:eastAsia="zh-CN"/>
        </w:rPr>
        <w:t>本次作废</w:t>
      </w:r>
      <w:bookmarkEnd w:id="5"/>
      <w:r>
        <w:rPr>
          <w:rFonts w:hint="eastAsia" w:ascii="Times New Roman" w:hAnsi="Times New Roman" w:eastAsia="宋体" w:cs="Times New Roman"/>
          <w:color w:val="000000"/>
          <w:kern w:val="2"/>
          <w:sz w:val="24"/>
          <w:lang w:eastAsia="zh-CN"/>
        </w:rPr>
        <w:t>不会对公司的财务状况和经营成果产生实质性影响，不会影响公司管理团队的稳定性，也不会影响本次激励计划继续实施。</w:t>
      </w:r>
    </w:p>
    <w:p w14:paraId="3C0EBBAF">
      <w:pPr>
        <w:widowControl/>
        <w:numPr>
          <w:ilvl w:val="0"/>
          <w:numId w:val="1"/>
        </w:numPr>
        <w:spacing w:after="240" w:afterLines="100" w:line="360" w:lineRule="auto"/>
        <w:ind w:firstLine="480" w:firstLineChars="200"/>
        <w:jc w:val="both"/>
        <w:rPr>
          <w:rFonts w:ascii="Times New Roman" w:hAnsi="Times New Roman" w:eastAsia="宋体" w:cs="Times New Roman"/>
          <w:color w:val="000000"/>
          <w:kern w:val="2"/>
          <w:sz w:val="24"/>
          <w:lang w:eastAsia="zh-CN"/>
        </w:rPr>
      </w:pPr>
      <w:r>
        <w:rPr>
          <w:rFonts w:hint="eastAsia" w:ascii="Times New Roman" w:hAnsi="Times New Roman" w:eastAsia="宋体" w:cs="Times New Roman"/>
          <w:color w:val="000000"/>
          <w:kern w:val="2"/>
          <w:sz w:val="24"/>
          <w:lang w:eastAsia="zh-CN"/>
        </w:rPr>
        <w:t>本次回购注销的情况</w:t>
      </w:r>
    </w:p>
    <w:p w14:paraId="46774E52">
      <w:pPr>
        <w:widowControl/>
        <w:numPr>
          <w:ilvl w:val="0"/>
          <w:numId w:val="2"/>
        </w:numPr>
        <w:spacing w:after="240" w:afterLines="100" w:line="360" w:lineRule="auto"/>
        <w:ind w:firstLine="480" w:firstLineChars="200"/>
        <w:jc w:val="both"/>
        <w:rPr>
          <w:rFonts w:ascii="Times New Roman" w:hAnsi="Times New Roman" w:eastAsia="宋体" w:cs="Times New Roman"/>
          <w:color w:val="000000"/>
          <w:kern w:val="2"/>
          <w:sz w:val="24"/>
          <w:lang w:eastAsia="zh-CN"/>
        </w:rPr>
      </w:pPr>
      <w:r>
        <w:rPr>
          <w:rFonts w:hint="eastAsia" w:ascii="Times New Roman" w:hAnsi="Times New Roman" w:eastAsia="宋体" w:cs="Times New Roman"/>
          <w:color w:val="000000"/>
          <w:kern w:val="2"/>
          <w:sz w:val="24"/>
          <w:lang w:eastAsia="zh-CN"/>
        </w:rPr>
        <w:t>本次回购注销的原因及数量</w:t>
      </w:r>
    </w:p>
    <w:bookmarkEnd w:id="4"/>
    <w:p w14:paraId="660BC4B2">
      <w:pPr>
        <w:widowControl/>
        <w:spacing w:before="240" w:beforeLines="100"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根据公司《激励计划》及《2023年限制性股票激励计划实施考核管理办法（修订稿）》的相关规定，对于2024年业绩考核，若公司层面未满足对应业绩考核目标的（即以2023年净利润为基数，2024年净利润增长率不低于10%；且以2023年营业收入为基数，2024年营业收入增长率不低于7%），所有激励对象对应考核当年拟解除限售的限制性股票均不得解除限售，由公司回购注销，回购价格为授予价格加上中国人民银行同期存款利息。</w:t>
      </w:r>
    </w:p>
    <w:p w14:paraId="0AFDDFFC">
      <w:pPr>
        <w:widowControl/>
        <w:spacing w:before="240" w:beforeLines="100"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根据公司经审计的2024年度财务报告，公司层面2024年业绩考核未达标，需回购注销首次授予2名激励对象对应当年已获授但尚未解除限售的第一类限制性股票合计256,000股。</w:t>
      </w:r>
    </w:p>
    <w:p w14:paraId="4101AA83">
      <w:pPr>
        <w:widowControl/>
        <w:numPr>
          <w:ilvl w:val="0"/>
          <w:numId w:val="2"/>
        </w:numPr>
        <w:spacing w:before="240" w:beforeLines="100"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本次回购注销的价格及资金来源</w:t>
      </w:r>
    </w:p>
    <w:p w14:paraId="195A6EFA">
      <w:pPr>
        <w:widowControl/>
        <w:spacing w:before="240" w:beforeLines="100"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本次拟回购注销已获授但尚未解除限售的第一类限制性股票数量合计256,000股，回购价格为授予价格15.81元/股加上中国人民银行同期存款利息之和，系根据公司《激励计划》约定的回购价格确定。根据公司相关文件的说明，回购资金来源为公司自有资金。</w:t>
      </w:r>
    </w:p>
    <w:p w14:paraId="06C9453A">
      <w:pPr>
        <w:widowControl/>
        <w:numPr>
          <w:ilvl w:val="0"/>
          <w:numId w:val="2"/>
        </w:numPr>
        <w:spacing w:before="240" w:beforeLines="100"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本次回购注销的影响</w:t>
      </w:r>
    </w:p>
    <w:p w14:paraId="4F2CE3E8">
      <w:pPr>
        <w:widowControl/>
        <w:spacing w:before="240" w:beforeLines="100"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根据公司相关文件的说明，本次回购注销不会对公司的财务状况和经营成果产生实质性影响，也不会影响公司管理团队的勤勉尽职。</w:t>
      </w:r>
    </w:p>
    <w:p w14:paraId="29B82C73">
      <w:pPr>
        <w:widowControl/>
        <w:spacing w:before="240" w:beforeLines="100" w:after="240" w:afterLines="100" w:line="360" w:lineRule="auto"/>
        <w:ind w:firstLine="480" w:firstLineChars="200"/>
        <w:jc w:val="both"/>
        <w:rPr>
          <w:rFonts w:ascii="Times New Roman" w:hAnsi="Times New Roman" w:eastAsia="宋体" w:cs="Times New Roman"/>
          <w:bCs/>
          <w:color w:val="000000"/>
          <w:sz w:val="24"/>
          <w:szCs w:val="24"/>
          <w:lang w:eastAsia="zh-CN"/>
        </w:rPr>
      </w:pPr>
      <w:r>
        <w:rPr>
          <w:rFonts w:hint="eastAsia" w:ascii="Times New Roman" w:hAnsi="Times New Roman" w:eastAsia="宋体" w:cs="Times New Roman"/>
          <w:bCs/>
          <w:color w:val="000000"/>
          <w:sz w:val="24"/>
          <w:szCs w:val="24"/>
          <w:lang w:eastAsia="zh-CN"/>
        </w:rPr>
        <w:t>经核查，本所律师认为，</w:t>
      </w:r>
      <w:bookmarkStart w:id="6" w:name="_Hlk136526359"/>
      <w:bookmarkStart w:id="7" w:name="_Hlk141950277"/>
      <w:bookmarkStart w:id="8" w:name="_Hlk138687582"/>
      <w:r>
        <w:rPr>
          <w:rFonts w:hint="eastAsia" w:ascii="Times New Roman" w:hAnsi="Times New Roman" w:eastAsia="宋体" w:cs="Times New Roman"/>
          <w:bCs/>
          <w:color w:val="000000"/>
          <w:sz w:val="24"/>
          <w:szCs w:val="24"/>
          <w:lang w:eastAsia="zh-CN"/>
        </w:rPr>
        <w:t>截至本法律意见书出具之日，</w:t>
      </w:r>
      <w:bookmarkStart w:id="9" w:name="_Hlk137217483"/>
      <w:r>
        <w:rPr>
          <w:rFonts w:hint="eastAsia" w:ascii="Times New Roman" w:hAnsi="Times New Roman" w:eastAsia="宋体" w:cs="Times New Roman"/>
          <w:bCs/>
          <w:color w:val="000000"/>
          <w:sz w:val="24"/>
          <w:szCs w:val="24"/>
          <w:lang w:eastAsia="zh-CN"/>
        </w:rPr>
        <w:t>本次作废的原因、人数及数量</w:t>
      </w:r>
      <w:bookmarkStart w:id="10" w:name="_Hlk136967882"/>
      <w:r>
        <w:rPr>
          <w:rFonts w:hint="eastAsia" w:ascii="Times New Roman" w:hAnsi="Times New Roman" w:eastAsia="宋体" w:cs="Times New Roman"/>
          <w:bCs/>
          <w:color w:val="000000"/>
          <w:sz w:val="24"/>
          <w:szCs w:val="24"/>
          <w:lang w:eastAsia="zh-CN"/>
        </w:rPr>
        <w:t>均符合《管理办法》《上市规则》《监管指南》及《激励计划》的相关规定</w:t>
      </w:r>
      <w:bookmarkEnd w:id="10"/>
      <w:r>
        <w:rPr>
          <w:rFonts w:hint="eastAsia" w:ascii="Times New Roman" w:hAnsi="Times New Roman" w:eastAsia="宋体" w:cs="Times New Roman"/>
          <w:bCs/>
          <w:color w:val="000000"/>
          <w:sz w:val="24"/>
          <w:szCs w:val="24"/>
          <w:lang w:eastAsia="zh-CN"/>
        </w:rPr>
        <w:t>；公司</w:t>
      </w:r>
      <w:bookmarkEnd w:id="6"/>
      <w:bookmarkEnd w:id="9"/>
      <w:r>
        <w:rPr>
          <w:rFonts w:hint="eastAsia" w:ascii="Times New Roman" w:hAnsi="Times New Roman" w:eastAsia="宋体" w:cs="Times New Roman"/>
          <w:bCs/>
          <w:color w:val="000000"/>
          <w:sz w:val="24"/>
          <w:szCs w:val="24"/>
          <w:lang w:eastAsia="zh-CN"/>
        </w:rPr>
        <w:t>本次作废</w:t>
      </w:r>
      <w:bookmarkEnd w:id="7"/>
      <w:r>
        <w:rPr>
          <w:rFonts w:hint="eastAsia" w:ascii="Times New Roman" w:hAnsi="Times New Roman" w:eastAsia="宋体" w:cs="Times New Roman"/>
          <w:bCs/>
          <w:color w:val="000000"/>
          <w:sz w:val="24"/>
          <w:szCs w:val="24"/>
          <w:lang w:eastAsia="zh-CN"/>
        </w:rPr>
        <w:t>不会对公司的财务状况和经营成果产生实质性影响，不会影响公司管理团队的稳定性，也不会影响本次激励计划继续实施。</w:t>
      </w:r>
      <w:bookmarkEnd w:id="8"/>
      <w:r>
        <w:rPr>
          <w:rFonts w:hint="eastAsia" w:ascii="Times New Roman" w:hAnsi="Times New Roman" w:eastAsia="宋体" w:cs="Times New Roman"/>
          <w:bCs/>
          <w:color w:val="000000"/>
          <w:sz w:val="24"/>
          <w:szCs w:val="24"/>
          <w:lang w:eastAsia="zh-CN"/>
        </w:rPr>
        <w:t>本次回购注销的原因、数量、价格及资金来源均符合《管理办法》《上市规则》《监管指南》及《激励计划》的相关规定，本次回购注销不会对公司的财务状况和经营成果产生实质性影响，也不会影响公司管理团队的勤勉尽职。</w:t>
      </w:r>
    </w:p>
    <w:p w14:paraId="4E90A758">
      <w:pPr>
        <w:keepNext/>
        <w:keepLines/>
        <w:widowControl/>
        <w:adjustRightInd w:val="0"/>
        <w:snapToGrid w:val="0"/>
        <w:spacing w:after="240" w:afterLines="100" w:line="360" w:lineRule="auto"/>
        <w:ind w:firstLine="482" w:firstLineChars="200"/>
        <w:jc w:val="both"/>
        <w:outlineLvl w:val="0"/>
        <w:rPr>
          <w:rFonts w:ascii="Times New Roman" w:hAnsi="Times New Roman" w:eastAsia="宋体" w:cs="Times New Roman"/>
          <w:b/>
          <w:color w:val="000000"/>
          <w:kern w:val="2"/>
          <w:sz w:val="24"/>
          <w:szCs w:val="24"/>
          <w:lang w:eastAsia="zh-CN"/>
        </w:rPr>
      </w:pPr>
      <w:bookmarkStart w:id="11" w:name="_Toc496891832"/>
      <w:r>
        <w:rPr>
          <w:rFonts w:hint="eastAsia" w:ascii="Times New Roman" w:hAnsi="Times New Roman" w:eastAsia="宋体" w:cs="Times New Roman"/>
          <w:b/>
          <w:color w:val="000000"/>
          <w:kern w:val="2"/>
          <w:sz w:val="24"/>
          <w:szCs w:val="24"/>
          <w:lang w:eastAsia="zh-CN"/>
        </w:rPr>
        <w:t>三</w:t>
      </w:r>
      <w:r>
        <w:rPr>
          <w:rFonts w:ascii="Times New Roman" w:hAnsi="Times New Roman" w:eastAsia="宋体" w:cs="Times New Roman"/>
          <w:b/>
          <w:color w:val="000000"/>
          <w:kern w:val="2"/>
          <w:sz w:val="24"/>
          <w:szCs w:val="24"/>
          <w:lang w:eastAsia="zh-CN"/>
        </w:rPr>
        <w:t>、</w:t>
      </w:r>
      <w:r>
        <w:rPr>
          <w:rFonts w:hint="eastAsia" w:ascii="Times New Roman" w:hAnsi="Times New Roman" w:eastAsia="宋体" w:cs="Times New Roman"/>
          <w:b/>
          <w:color w:val="000000"/>
          <w:kern w:val="2"/>
          <w:sz w:val="24"/>
          <w:szCs w:val="24"/>
          <w:lang w:eastAsia="zh-CN"/>
        </w:rPr>
        <w:t>本次作废及回购注销的</w:t>
      </w:r>
      <w:r>
        <w:rPr>
          <w:rFonts w:ascii="Times New Roman" w:hAnsi="Times New Roman" w:eastAsia="宋体" w:cs="Times New Roman"/>
          <w:b/>
          <w:color w:val="000000"/>
          <w:kern w:val="2"/>
          <w:sz w:val="24"/>
          <w:szCs w:val="24"/>
          <w:lang w:eastAsia="zh-CN"/>
        </w:rPr>
        <w:t>信息披露</w:t>
      </w:r>
      <w:bookmarkEnd w:id="11"/>
    </w:p>
    <w:p w14:paraId="0B4B0D79">
      <w:pPr>
        <w:widowControl/>
        <w:spacing w:after="240" w:afterLines="100" w:line="360" w:lineRule="auto"/>
        <w:ind w:firstLine="480" w:firstLineChars="200"/>
        <w:jc w:val="both"/>
        <w:rPr>
          <w:rFonts w:ascii="Times New Roman" w:hAnsi="Times New Roman" w:eastAsia="宋体" w:cs="Times New Roman"/>
          <w:b/>
          <w:bCs/>
          <w:color w:val="000000"/>
          <w:kern w:val="2"/>
          <w:sz w:val="24"/>
          <w:lang w:eastAsia="zh-CN"/>
        </w:rPr>
      </w:pPr>
      <w:r>
        <w:rPr>
          <w:rFonts w:hint="eastAsia" w:ascii="宋体" w:hAnsi="宋体" w:eastAsia="宋体" w:cs="宋体"/>
          <w:color w:val="000000"/>
          <w:kern w:val="2"/>
          <w:sz w:val="24"/>
          <w:lang w:eastAsia="zh-CN"/>
        </w:rPr>
        <w:t>根据</w:t>
      </w:r>
      <w:r>
        <w:rPr>
          <w:rFonts w:ascii="Times New Roman" w:hAnsi="Times New Roman" w:eastAsia="宋体" w:cs="Times New Roman"/>
          <w:color w:val="000000"/>
          <w:kern w:val="2"/>
          <w:sz w:val="24"/>
          <w:lang w:eastAsia="zh-CN"/>
        </w:rPr>
        <w:t>《管理办法》</w:t>
      </w:r>
      <w:r>
        <w:rPr>
          <w:rFonts w:hint="eastAsia" w:ascii="Times New Roman" w:hAnsi="Times New Roman" w:eastAsia="宋体" w:cs="Times New Roman"/>
          <w:color w:val="000000"/>
          <w:kern w:val="2"/>
          <w:sz w:val="24"/>
          <w:lang w:eastAsia="zh-CN"/>
        </w:rPr>
        <w:t>《上市规则》《</w:t>
      </w:r>
      <w:r>
        <w:rPr>
          <w:rFonts w:ascii="Times New Roman" w:hAnsi="Times New Roman" w:eastAsia="宋体" w:cs="Times New Roman"/>
          <w:color w:val="000000"/>
          <w:kern w:val="2"/>
          <w:sz w:val="24"/>
          <w:lang w:eastAsia="zh-CN"/>
        </w:rPr>
        <w:t>监管指南</w:t>
      </w:r>
      <w:r>
        <w:rPr>
          <w:rFonts w:hint="eastAsia" w:ascii="Times New Roman" w:hAnsi="Times New Roman" w:eastAsia="宋体" w:cs="Times New Roman"/>
          <w:color w:val="000000"/>
          <w:kern w:val="2"/>
          <w:sz w:val="24"/>
          <w:lang w:eastAsia="zh-CN"/>
        </w:rPr>
        <w:t>》及</w:t>
      </w:r>
      <w:r>
        <w:rPr>
          <w:rFonts w:ascii="Times New Roman" w:hAnsi="Times New Roman" w:eastAsia="宋体" w:cs="Times New Roman"/>
          <w:color w:val="000000"/>
          <w:kern w:val="2"/>
          <w:sz w:val="24"/>
          <w:lang w:eastAsia="zh-CN"/>
        </w:rPr>
        <w:t>《激励计划》的规定</w:t>
      </w:r>
      <w:r>
        <w:rPr>
          <w:rFonts w:hint="eastAsia" w:ascii="Times New Roman" w:hAnsi="Times New Roman" w:eastAsia="宋体" w:cs="Times New Roman"/>
          <w:color w:val="000000"/>
          <w:kern w:val="2"/>
          <w:sz w:val="24"/>
          <w:lang w:eastAsia="zh-CN"/>
        </w:rPr>
        <w:t>，</w:t>
      </w:r>
      <w:r>
        <w:rPr>
          <w:rFonts w:ascii="Times New Roman" w:hAnsi="Times New Roman" w:eastAsia="宋体" w:cs="Times New Roman"/>
          <w:color w:val="000000"/>
          <w:kern w:val="2"/>
          <w:sz w:val="24"/>
          <w:lang w:eastAsia="zh-CN"/>
        </w:rPr>
        <w:t>公司将及时公告</w:t>
      </w:r>
      <w:r>
        <w:rPr>
          <w:rFonts w:hint="eastAsia" w:ascii="Times New Roman" w:hAnsi="Times New Roman" w:eastAsia="宋体" w:cs="Times New Roman"/>
          <w:color w:val="000000"/>
          <w:kern w:val="2"/>
          <w:sz w:val="24"/>
          <w:lang w:eastAsia="zh-CN"/>
        </w:rPr>
        <w:t>《第三届董事会第三十次会议决议公告》《第三届监事会第二十六次会议决议公告》《关于作废部分已授予但尚未归属的限制性股票的公告》及《关于回购注销部分已授予但尚未解除限售的限制性股票的公告》等文件。随着本次激励计划的推进，公司还应按照法律、法规、规章及规范性文件的相关规定，及时履行相关的信息披露义务。</w:t>
      </w:r>
    </w:p>
    <w:p w14:paraId="415CE723">
      <w:pPr>
        <w:widowControl/>
        <w:spacing w:after="240" w:afterLines="100" w:line="360" w:lineRule="auto"/>
        <w:ind w:firstLine="480" w:firstLineChars="200"/>
        <w:jc w:val="both"/>
        <w:rPr>
          <w:rFonts w:ascii="Times New Roman" w:hAnsi="Times New Roman" w:eastAsia="宋体" w:cs="Times New Roman"/>
          <w:color w:val="000000"/>
          <w:kern w:val="2"/>
          <w:sz w:val="24"/>
          <w:lang w:eastAsia="zh-CN"/>
        </w:rPr>
      </w:pPr>
      <w:r>
        <w:rPr>
          <w:rFonts w:hint="eastAsia" w:ascii="Times New Roman" w:hAnsi="Times New Roman" w:eastAsia="宋体" w:cs="Times New Roman"/>
          <w:color w:val="000000"/>
          <w:kern w:val="2"/>
          <w:sz w:val="24"/>
          <w:lang w:eastAsia="zh-CN"/>
        </w:rPr>
        <w:t>经核查，本所律师认为，</w:t>
      </w:r>
      <w:bookmarkStart w:id="12" w:name="_Hlk136526369"/>
      <w:r>
        <w:rPr>
          <w:rFonts w:hint="eastAsia" w:ascii="Times New Roman" w:hAnsi="Times New Roman" w:eastAsia="宋体" w:cs="Times New Roman"/>
          <w:color w:val="000000"/>
          <w:kern w:val="2"/>
          <w:sz w:val="24"/>
          <w:lang w:eastAsia="zh-CN"/>
        </w:rPr>
        <w:t>公司已按照《管理办法》《上市规则》《</w:t>
      </w:r>
      <w:r>
        <w:rPr>
          <w:rFonts w:ascii="Times New Roman" w:hAnsi="Times New Roman" w:eastAsia="宋体" w:cs="Times New Roman"/>
          <w:color w:val="000000"/>
          <w:kern w:val="2"/>
          <w:sz w:val="24"/>
          <w:lang w:eastAsia="zh-CN"/>
        </w:rPr>
        <w:t>监管指南</w:t>
      </w:r>
      <w:r>
        <w:rPr>
          <w:rFonts w:hint="eastAsia" w:ascii="Times New Roman" w:hAnsi="Times New Roman" w:eastAsia="宋体" w:cs="Times New Roman"/>
          <w:color w:val="000000"/>
          <w:kern w:val="2"/>
          <w:sz w:val="24"/>
          <w:lang w:eastAsia="zh-CN"/>
        </w:rPr>
        <w:t>》及《激励计划》的规定履行了现阶段的信息披露义务，公司尚需按照上述规定履行后续的信息披露义务</w:t>
      </w:r>
      <w:bookmarkEnd w:id="12"/>
      <w:r>
        <w:rPr>
          <w:rFonts w:hint="eastAsia" w:ascii="Times New Roman" w:hAnsi="Times New Roman" w:eastAsia="宋体" w:cs="Times New Roman"/>
          <w:color w:val="000000"/>
          <w:kern w:val="2"/>
          <w:sz w:val="24"/>
          <w:lang w:eastAsia="zh-CN"/>
        </w:rPr>
        <w:t>。</w:t>
      </w:r>
    </w:p>
    <w:p w14:paraId="58063D45">
      <w:pPr>
        <w:keepNext/>
        <w:keepLines/>
        <w:widowControl/>
        <w:adjustRightInd w:val="0"/>
        <w:snapToGrid w:val="0"/>
        <w:spacing w:after="240" w:afterLines="100" w:line="360" w:lineRule="auto"/>
        <w:ind w:firstLine="482" w:firstLineChars="200"/>
        <w:jc w:val="both"/>
        <w:outlineLvl w:val="0"/>
        <w:rPr>
          <w:rFonts w:ascii="Times New Roman" w:hAnsi="Times New Roman" w:eastAsia="宋体" w:cs="Times New Roman"/>
          <w:b/>
          <w:color w:val="000000"/>
          <w:kern w:val="2"/>
          <w:sz w:val="24"/>
          <w:szCs w:val="24"/>
          <w:lang w:eastAsia="zh-CN"/>
        </w:rPr>
      </w:pPr>
      <w:bookmarkStart w:id="13" w:name="_Toc496891836"/>
      <w:r>
        <w:rPr>
          <w:rFonts w:hint="eastAsia" w:ascii="Times New Roman" w:hAnsi="Times New Roman" w:eastAsia="宋体" w:cs="Times New Roman"/>
          <w:b/>
          <w:color w:val="000000"/>
          <w:kern w:val="2"/>
          <w:sz w:val="24"/>
          <w:szCs w:val="24"/>
          <w:lang w:eastAsia="zh-CN"/>
        </w:rPr>
        <w:t>四</w:t>
      </w:r>
      <w:r>
        <w:rPr>
          <w:rFonts w:ascii="Times New Roman" w:hAnsi="Times New Roman" w:eastAsia="宋体" w:cs="Times New Roman"/>
          <w:b/>
          <w:color w:val="000000"/>
          <w:kern w:val="2"/>
          <w:sz w:val="24"/>
          <w:szCs w:val="24"/>
          <w:lang w:eastAsia="zh-CN"/>
        </w:rPr>
        <w:t>、结论性意见</w:t>
      </w:r>
      <w:bookmarkEnd w:id="13"/>
    </w:p>
    <w:p w14:paraId="3634AEB8">
      <w:pPr>
        <w:widowControl/>
        <w:spacing w:after="240" w:afterLines="100" w:line="360" w:lineRule="auto"/>
        <w:ind w:firstLine="480" w:firstLineChars="200"/>
        <w:jc w:val="both"/>
        <w:rPr>
          <w:rFonts w:ascii="Times New Roman" w:hAnsi="Times New Roman" w:eastAsia="宋体" w:cs="Times New Roman"/>
          <w:color w:val="000000"/>
          <w:kern w:val="2"/>
          <w:sz w:val="24"/>
          <w:lang w:eastAsia="zh-CN"/>
        </w:rPr>
      </w:pPr>
      <w:r>
        <w:rPr>
          <w:rFonts w:hint="eastAsia" w:ascii="Times New Roman" w:hAnsi="Times New Roman" w:eastAsia="宋体" w:cs="Times New Roman"/>
          <w:color w:val="000000"/>
          <w:kern w:val="2"/>
          <w:sz w:val="24"/>
          <w:lang w:eastAsia="zh-CN"/>
        </w:rPr>
        <w:t>综上，根据股东会对董事会的授权，截至本法律意见书出具日，本次作废及回购注销已取得现阶段必要的批准和授权，符合《管理办法》《上市规则》《监管指南》及《激励计划》的相关规定。本次作废的原因、人数及数量均符合《管理办法》《上市规则》《监管指南》及《激励计划》的相关规定；公司本次作废不会对公司的财务状况和经营成果产生实质性影响，不会影响公司管理团队的稳定性，也不会影响本次激励计划的继续实施。本次回购注销的原因、数量、价格及资金来源均符合《管理办法》《上市规则》《监管指南》及《激励计划》的相关规定，本次回购注销不会对公司的财务状况和经营成果产生实质性影响，也不会影响公司管理团队的勤勉尽职。公司已按照《管理办法》《上市规则》《监管指南》及《激励计划》的规定履行了现阶段的信息披露义务，公司尚需按照上述规定履行后续的信息披露义务。</w:t>
      </w:r>
    </w:p>
    <w:p w14:paraId="582D77C4">
      <w:pPr>
        <w:widowControl/>
        <w:adjustRightInd w:val="0"/>
        <w:snapToGrid w:val="0"/>
        <w:spacing w:after="240" w:afterLines="100" w:line="360" w:lineRule="auto"/>
        <w:jc w:val="center"/>
        <w:rPr>
          <w:rFonts w:ascii="Times New Roman" w:hAnsi="Times New Roman" w:eastAsia="宋体" w:cs="Times New Roman"/>
          <w:color w:val="000000"/>
          <w:kern w:val="2"/>
          <w:sz w:val="24"/>
          <w:szCs w:val="24"/>
          <w:lang w:eastAsia="zh-CN"/>
        </w:rPr>
        <w:sectPr>
          <w:footerReference r:id="rId7" w:type="default"/>
          <w:pgSz w:w="11920" w:h="16860"/>
          <w:pgMar w:top="1440" w:right="1800" w:bottom="1440" w:left="1800" w:header="880" w:footer="0" w:gutter="0"/>
          <w:cols w:space="720" w:num="1"/>
          <w:docGrid w:linePitch="299" w:charSpace="0"/>
        </w:sectPr>
      </w:pPr>
      <w:r>
        <w:rPr>
          <w:rFonts w:ascii="Times New Roman" w:hAnsi="Times New Roman" w:eastAsia="宋体" w:cs="Times New Roman"/>
          <w:color w:val="000000"/>
          <w:kern w:val="2"/>
          <w:sz w:val="24"/>
          <w:szCs w:val="24"/>
          <w:lang w:eastAsia="zh-CN"/>
        </w:rPr>
        <w:t>（本页以下无正文，仅为签署页）</w:t>
      </w:r>
    </w:p>
    <w:p w14:paraId="717437F5">
      <w:pPr>
        <w:autoSpaceDE w:val="0"/>
        <w:autoSpaceDN w:val="0"/>
        <w:adjustRightInd w:val="0"/>
        <w:spacing w:after="240" w:afterLines="100" w:line="360" w:lineRule="auto"/>
        <w:jc w:val="both"/>
        <w:rPr>
          <w:rFonts w:ascii="Times New Roman" w:hAnsi="Times New Roman" w:eastAsia="宋体" w:cs="Times New Roman"/>
          <w:sz w:val="24"/>
          <w:szCs w:val="24"/>
          <w:lang w:eastAsia="zh-CN"/>
        </w:rPr>
      </w:pPr>
      <w:r>
        <w:rPr>
          <w:rFonts w:ascii="宋体" w:hAnsi="宋体" w:eastAsia="宋体" w:cs="Times New Roman"/>
          <w:sz w:val="24"/>
          <w:szCs w:val="24"/>
          <w:lang w:eastAsia="zh-CN"/>
        </w:rPr>
        <w:t>（此页无正文，系</w:t>
      </w:r>
      <w:bookmarkStart w:id="14" w:name="_Hlk63349673"/>
      <w:r>
        <w:rPr>
          <w:rFonts w:ascii="宋体" w:hAnsi="宋体" w:eastAsia="宋体" w:cs="Times New Roman"/>
          <w:sz w:val="24"/>
          <w:szCs w:val="24"/>
          <w:lang w:eastAsia="zh-CN"/>
        </w:rPr>
        <w:t>《</w:t>
      </w:r>
      <w:r>
        <w:rPr>
          <w:rFonts w:hint="eastAsia" w:ascii="宋体" w:hAnsi="宋体" w:eastAsia="宋体" w:cs="Times New Roman"/>
          <w:sz w:val="24"/>
          <w:szCs w:val="24"/>
          <w:lang w:eastAsia="zh-CN"/>
        </w:rPr>
        <w:t>上海君澜律师事务所关于广东天亿马信息产业股份有限公司</w:t>
      </w:r>
      <w:r>
        <w:rPr>
          <w:rFonts w:ascii="Times New Roman" w:hAnsi="Times New Roman" w:eastAsia="宋体" w:cs="Times New Roman"/>
          <w:sz w:val="24"/>
          <w:szCs w:val="24"/>
          <w:lang w:eastAsia="zh-CN"/>
        </w:rPr>
        <w:t>202</w:t>
      </w:r>
      <w:r>
        <w:rPr>
          <w:rFonts w:hint="eastAsia" w:ascii="Times New Roman" w:hAnsi="Times New Roman" w:eastAsia="宋体" w:cs="Times New Roman"/>
          <w:sz w:val="24"/>
          <w:szCs w:val="24"/>
          <w:lang w:eastAsia="zh-CN"/>
        </w:rPr>
        <w:t>3</w:t>
      </w:r>
      <w:r>
        <w:rPr>
          <w:rFonts w:ascii="Times New Roman" w:hAnsi="Times New Roman" w:eastAsia="宋体" w:cs="Times New Roman"/>
          <w:sz w:val="24"/>
          <w:szCs w:val="24"/>
          <w:lang w:eastAsia="zh-CN"/>
        </w:rPr>
        <w:t>年限制性股票激励计划</w:t>
      </w:r>
      <w:r>
        <w:rPr>
          <w:rFonts w:hint="eastAsia" w:ascii="Times New Roman" w:hAnsi="Times New Roman" w:eastAsia="宋体" w:cs="Times New Roman"/>
          <w:sz w:val="24"/>
          <w:szCs w:val="24"/>
          <w:lang w:eastAsia="zh-CN"/>
        </w:rPr>
        <w:t>作废及回购注销部分限制性股票相关事项</w:t>
      </w:r>
      <w:r>
        <w:rPr>
          <w:rFonts w:ascii="Times New Roman" w:hAnsi="Times New Roman" w:eastAsia="宋体" w:cs="Times New Roman"/>
          <w:sz w:val="24"/>
          <w:szCs w:val="24"/>
          <w:lang w:eastAsia="zh-CN"/>
        </w:rPr>
        <w:t>之法律意见书》</w:t>
      </w:r>
      <w:bookmarkEnd w:id="14"/>
      <w:r>
        <w:rPr>
          <w:rFonts w:ascii="Times New Roman" w:hAnsi="Times New Roman" w:eastAsia="宋体" w:cs="Times New Roman"/>
          <w:sz w:val="24"/>
          <w:szCs w:val="24"/>
          <w:lang w:eastAsia="zh-CN"/>
        </w:rPr>
        <w:t>之签字盖章页）</w:t>
      </w:r>
    </w:p>
    <w:p w14:paraId="1DBF9494">
      <w:pPr>
        <w:tabs>
          <w:tab w:val="left" w:pos="3387"/>
        </w:tabs>
        <w:spacing w:before="240" w:beforeLines="100" w:after="240" w:afterLines="100" w:line="360" w:lineRule="auto"/>
        <w:ind w:firstLine="480" w:firstLineChars="200"/>
        <w:jc w:val="both"/>
        <w:rPr>
          <w:rFonts w:ascii="Times New Roman" w:hAnsi="Times New Roman" w:cs="Times New Roman"/>
          <w:sz w:val="24"/>
          <w:szCs w:val="24"/>
          <w:lang w:eastAsia="zh-CN"/>
        </w:rPr>
      </w:pPr>
    </w:p>
    <w:p w14:paraId="531E87B7">
      <w:pPr>
        <w:tabs>
          <w:tab w:val="left" w:pos="3387"/>
        </w:tabs>
        <w:spacing w:before="240" w:beforeLines="100" w:after="240" w:afterLines="100"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本法律意见书于202</w:t>
      </w:r>
      <w:r>
        <w:rPr>
          <w:rFonts w:hint="eastAsia" w:ascii="Times New Roman" w:hAnsi="Times New Roman" w:cs="Times New Roman"/>
          <w:sz w:val="24"/>
          <w:szCs w:val="24"/>
          <w:lang w:eastAsia="zh-CN"/>
        </w:rPr>
        <w:t>5</w:t>
      </w:r>
      <w:r>
        <w:rPr>
          <w:rFonts w:ascii="Times New Roman" w:hAnsi="Times New Roman" w:cs="Times New Roman"/>
          <w:sz w:val="24"/>
          <w:szCs w:val="24"/>
          <w:lang w:eastAsia="zh-CN"/>
        </w:rPr>
        <w:t>年</w:t>
      </w:r>
      <w:r>
        <w:rPr>
          <w:rFonts w:hint="eastAsia" w:ascii="Times New Roman" w:hAnsi="Times New Roman" w:cs="Times New Roman"/>
          <w:sz w:val="24"/>
          <w:szCs w:val="24"/>
          <w:lang w:eastAsia="zh-CN"/>
        </w:rPr>
        <w:t>4</w:t>
      </w:r>
      <w:r>
        <w:rPr>
          <w:rFonts w:ascii="Times New Roman" w:hAnsi="Times New Roman" w:cs="Times New Roman"/>
          <w:sz w:val="24"/>
          <w:szCs w:val="24"/>
          <w:lang w:eastAsia="zh-CN"/>
        </w:rPr>
        <w:t>月</w:t>
      </w:r>
      <w:r>
        <w:rPr>
          <w:rFonts w:hint="eastAsia" w:ascii="Times New Roman" w:hAnsi="Times New Roman" w:cs="Times New Roman"/>
          <w:sz w:val="24"/>
          <w:szCs w:val="24"/>
          <w:lang w:eastAsia="zh-CN"/>
        </w:rPr>
        <w:t>18</w:t>
      </w:r>
      <w:r>
        <w:rPr>
          <w:rFonts w:ascii="Times New Roman" w:hAnsi="Times New Roman" w:cs="Times New Roman"/>
          <w:sz w:val="24"/>
          <w:szCs w:val="24"/>
          <w:lang w:eastAsia="zh-CN"/>
        </w:rPr>
        <w:t>日出具，</w:t>
      </w:r>
      <w:r>
        <w:rPr>
          <w:rFonts w:hint="eastAsia" w:ascii="Times New Roman" w:hAnsi="Times New Roman" w:cs="Times New Roman"/>
          <w:sz w:val="24"/>
          <w:szCs w:val="24"/>
          <w:lang w:eastAsia="zh-CN"/>
        </w:rPr>
        <w:t>正本一式贰份，无副本。</w:t>
      </w:r>
    </w:p>
    <w:p w14:paraId="52A4DE8B">
      <w:pPr>
        <w:autoSpaceDE w:val="0"/>
        <w:autoSpaceDN w:val="0"/>
        <w:adjustRightInd w:val="0"/>
        <w:spacing w:before="120" w:beforeLines="50" w:line="360" w:lineRule="auto"/>
        <w:rPr>
          <w:rFonts w:ascii="Times New Roman" w:hAnsi="Times New Roman" w:cs="Times New Roman"/>
          <w:sz w:val="24"/>
          <w:szCs w:val="24"/>
          <w:lang w:eastAsia="zh-CN"/>
        </w:rPr>
      </w:pPr>
    </w:p>
    <w:p w14:paraId="041FD42E">
      <w:pPr>
        <w:adjustRightInd w:val="0"/>
        <w:snapToGrid w:val="0"/>
        <w:spacing w:before="240" w:beforeLines="100" w:after="480" w:afterLines="200" w:line="360" w:lineRule="auto"/>
        <w:rPr>
          <w:rFonts w:ascii="Times New Roman" w:hAnsi="Times New Roman" w:cs="Times New Roman"/>
          <w:sz w:val="24"/>
          <w:szCs w:val="24"/>
          <w:lang w:eastAsia="zh-CN"/>
        </w:rPr>
      </w:pPr>
      <w:r>
        <w:rPr>
          <w:rFonts w:hint="eastAsia" w:ascii="Times New Roman" w:hAnsi="Times New Roman" w:cs="Times New Roman"/>
          <w:sz w:val="24"/>
          <w:szCs w:val="24"/>
          <w:lang w:eastAsia="zh-CN"/>
        </w:rPr>
        <w:t>上海君澜律师事务所</w:t>
      </w:r>
      <w:r>
        <w:rPr>
          <w:rFonts w:ascii="Times New Roman" w:hAnsi="Times New Roman" w:cs="Times New Roman"/>
          <w:sz w:val="24"/>
          <w:szCs w:val="24"/>
          <w:lang w:eastAsia="zh-CN"/>
        </w:rPr>
        <w:t>（盖章）</w:t>
      </w:r>
    </w:p>
    <w:p w14:paraId="28FA3A86">
      <w:pPr>
        <w:adjustRightInd w:val="0"/>
        <w:snapToGrid w:val="0"/>
        <w:spacing w:before="240" w:beforeLines="100" w:after="480" w:afterLines="200" w:line="360" w:lineRule="auto"/>
        <w:rPr>
          <w:rFonts w:ascii="Times New Roman" w:hAnsi="Times New Roman"/>
          <w:sz w:val="24"/>
          <w:szCs w:val="24"/>
          <w:lang w:eastAsia="zh-CN"/>
        </w:rPr>
      </w:pPr>
      <w:r>
        <w:rPr>
          <w:rFonts w:ascii="Times New Roman" w:hAnsi="Times New Roman"/>
          <w:sz w:val="24"/>
          <w:szCs w:val="24"/>
          <w:lang w:eastAsia="zh-CN"/>
        </w:rPr>
        <w:t>负责人：                                                                                  经办律师：</w:t>
      </w:r>
    </w:p>
    <w:p w14:paraId="6A512B87">
      <w:pPr>
        <w:tabs>
          <w:tab w:val="left" w:pos="6660"/>
        </w:tabs>
        <w:adjustRightInd w:val="0"/>
        <w:snapToGrid w:val="0"/>
        <w:spacing w:before="240" w:beforeLines="100" w:after="240" w:afterLines="100" w:line="360" w:lineRule="auto"/>
        <w:rPr>
          <w:rFonts w:ascii="Times New Roman" w:hAnsi="Times New Roman"/>
          <w:sz w:val="24"/>
          <w:szCs w:val="24"/>
          <w:lang w:eastAsia="zh-CN"/>
        </w:rPr>
      </w:pPr>
      <w:r>
        <w:rPr>
          <w:rFonts w:ascii="Times New Roman" w:hAnsi="Times New Roman"/>
          <w:sz w:val="24"/>
          <w:szCs w:val="24"/>
          <w:lang w:eastAsia="zh-CN"/>
        </w:rPr>
        <w:t>____________________                                                          ____________________</w:t>
      </w:r>
    </w:p>
    <w:p w14:paraId="1AE2A06D">
      <w:pPr>
        <w:tabs>
          <w:tab w:val="left" w:pos="6521"/>
        </w:tabs>
        <w:adjustRightInd w:val="0"/>
        <w:snapToGrid w:val="0"/>
        <w:spacing w:before="240" w:beforeLines="100" w:after="480" w:afterLines="200" w:line="360" w:lineRule="auto"/>
        <w:ind w:left="5940" w:leftChars="300" w:right="805" w:rightChars="366" w:hanging="5280" w:hangingChars="2200"/>
        <w:rPr>
          <w:rFonts w:ascii="Times New Roman" w:hAnsi="Times New Roman"/>
          <w:sz w:val="24"/>
          <w:szCs w:val="24"/>
          <w:lang w:eastAsia="zh-CN"/>
        </w:rPr>
      </w:pPr>
      <w:r>
        <w:rPr>
          <w:rFonts w:ascii="Times New Roman" w:hAnsi="Times New Roman"/>
          <w:sz w:val="24"/>
          <w:szCs w:val="24"/>
          <w:lang w:eastAsia="zh-CN"/>
        </w:rPr>
        <w:t>党江舟                                                                                         金</w:t>
      </w:r>
      <w:r>
        <w:rPr>
          <w:rFonts w:hint="eastAsia" w:ascii="Times New Roman" w:hAnsi="Times New Roman"/>
          <w:sz w:val="24"/>
          <w:szCs w:val="24"/>
          <w:lang w:eastAsia="zh-CN"/>
        </w:rPr>
        <w:t xml:space="preserve"> </w:t>
      </w:r>
      <w:r>
        <w:rPr>
          <w:rFonts w:ascii="Times New Roman" w:hAnsi="Times New Roman"/>
          <w:sz w:val="24"/>
          <w:szCs w:val="24"/>
          <w:lang w:eastAsia="zh-CN"/>
        </w:rPr>
        <w:t xml:space="preserve">  剑</w:t>
      </w:r>
      <w:r>
        <w:rPr>
          <w:rFonts w:hint="eastAsia" w:ascii="Times New Roman" w:hAnsi="Times New Roman"/>
          <w:sz w:val="24"/>
          <w:szCs w:val="24"/>
          <w:lang w:eastAsia="zh-CN"/>
        </w:rPr>
        <w:t xml:space="preserve"> </w:t>
      </w:r>
    </w:p>
    <w:p w14:paraId="6A804DBE">
      <w:pPr>
        <w:tabs>
          <w:tab w:val="left" w:pos="5940"/>
        </w:tabs>
        <w:adjustRightInd w:val="0"/>
        <w:snapToGrid w:val="0"/>
        <w:spacing w:before="240" w:beforeLines="100" w:after="240" w:afterLines="100" w:line="360" w:lineRule="auto"/>
        <w:ind w:right="-44" w:rightChars="-20"/>
        <w:rPr>
          <w:rFonts w:ascii="Times New Roman" w:hAnsi="Times New Roman"/>
          <w:sz w:val="24"/>
          <w:szCs w:val="24"/>
          <w:lang w:eastAsia="zh-CN"/>
        </w:rPr>
      </w:pPr>
      <w:r>
        <w:rPr>
          <w:rFonts w:ascii="Times New Roman" w:hAnsi="Times New Roman"/>
          <w:sz w:val="24"/>
          <w:szCs w:val="24"/>
          <w:lang w:eastAsia="zh-CN"/>
        </w:rPr>
        <w:tab/>
      </w:r>
      <w:r>
        <w:rPr>
          <w:rFonts w:ascii="Times New Roman" w:hAnsi="Times New Roman"/>
          <w:sz w:val="24"/>
          <w:szCs w:val="24"/>
          <w:lang w:eastAsia="zh-CN"/>
        </w:rPr>
        <w:t>____________________</w:t>
      </w:r>
    </w:p>
    <w:p w14:paraId="6E459A60">
      <w:pPr>
        <w:adjustRightInd w:val="0"/>
        <w:snapToGrid w:val="0"/>
        <w:spacing w:before="240" w:beforeLines="100" w:after="480" w:afterLines="200" w:line="360" w:lineRule="auto"/>
        <w:ind w:left="4840" w:leftChars="2200" w:firstLine="1821" w:firstLineChars="759"/>
        <w:rPr>
          <w:rFonts w:ascii="Times New Roman" w:hAnsi="Times New Roman" w:eastAsia="宋体" w:cs="Times New Roman"/>
          <w:color w:val="000000"/>
          <w:kern w:val="2"/>
          <w:sz w:val="24"/>
          <w:szCs w:val="24"/>
          <w:lang w:eastAsia="zh-CN"/>
        </w:rPr>
      </w:pPr>
      <w:r>
        <w:rPr>
          <w:rFonts w:ascii="Times New Roman" w:hAnsi="Times New Roman"/>
          <w:sz w:val="24"/>
          <w:szCs w:val="24"/>
          <w:lang w:eastAsia="zh-CN"/>
        </w:rPr>
        <w:t xml:space="preserve"> </w:t>
      </w:r>
      <w:r>
        <w:rPr>
          <w:rFonts w:hint="eastAsia" w:ascii="Times New Roman" w:hAnsi="Times New Roman"/>
          <w:sz w:val="24"/>
          <w:szCs w:val="24"/>
          <w:lang w:eastAsia="zh-CN"/>
        </w:rPr>
        <w:t>何梦琪</w:t>
      </w:r>
    </w:p>
    <w:sectPr>
      <w:footerReference r:id="rId8" w:type="default"/>
      <w:pgSz w:w="11920" w:h="16860"/>
      <w:pgMar w:top="1440" w:right="1800" w:bottom="1440" w:left="1800" w:header="880" w:footer="0" w:gutter="0"/>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roman"/>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52896">
    <w:pPr>
      <w:pStyle w:val="5"/>
      <w:jc w:val="center"/>
    </w:pPr>
  </w:p>
  <w:p w14:paraId="5388D219">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6377462"/>
    </w:sdtPr>
    <w:sdtContent>
      <w:p w14:paraId="1A081A18">
        <w:pPr>
          <w:pStyle w:val="5"/>
          <w:jc w:val="center"/>
        </w:pPr>
        <w:r>
          <w:fldChar w:fldCharType="begin"/>
        </w:r>
        <w:r>
          <w:instrText xml:space="preserve">PAGE   \* MERGEFORMAT</w:instrText>
        </w:r>
        <w:r>
          <w:fldChar w:fldCharType="separate"/>
        </w:r>
        <w:r>
          <w:rPr>
            <w:lang w:val="zh-CN" w:eastAsia="zh-CN"/>
          </w:rPr>
          <w:t>4</w:t>
        </w:r>
        <w:r>
          <w:fldChar w:fldCharType="end"/>
        </w:r>
      </w:p>
    </w:sdtContent>
  </w:sdt>
  <w:p w14:paraId="5EDD8B8C">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9110D">
    <w:pPr>
      <w:pStyle w:val="5"/>
      <w:jc w:val="center"/>
    </w:pPr>
  </w:p>
  <w:p w14:paraId="77315C49">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E61A9">
    <w:pPr>
      <w:pStyle w:val="6"/>
      <w:jc w:val="both"/>
      <w:rPr>
        <w:lang w:eastAsia="zh-CN"/>
      </w:rPr>
    </w:pPr>
    <w:r>
      <w:rPr>
        <w:rFonts w:hint="eastAsia"/>
        <w:lang w:eastAsia="zh-CN"/>
      </w:rPr>
      <w:t xml:space="preserve">上海君澜律师事务所 </w:t>
    </w:r>
    <w:r>
      <w:rPr>
        <w:lang w:eastAsia="zh-CN"/>
      </w:rPr>
      <w:t xml:space="preserve">                                                                                                                                             </w:t>
    </w:r>
    <w:r>
      <w:rPr>
        <w:rFonts w:hint="eastAsia"/>
        <w:lang w:eastAsia="zh-CN"/>
      </w:rPr>
      <w:t>法律意见书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E11A6C"/>
    <w:multiLevelType w:val="singleLevel"/>
    <w:tmpl w:val="DCE11A6C"/>
    <w:lvl w:ilvl="0" w:tentative="0">
      <w:start w:val="1"/>
      <w:numFmt w:val="decimal"/>
      <w:suff w:val="space"/>
      <w:lvlText w:val="%1."/>
      <w:lvlJc w:val="left"/>
    </w:lvl>
  </w:abstractNum>
  <w:abstractNum w:abstractNumId="1">
    <w:nsid w:val="60398421"/>
    <w:multiLevelType w:val="singleLevel"/>
    <w:tmpl w:val="60398421"/>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MjBkMzJjNWE2MzVhMmY2OGIyMTJjMjBlZjQ2NjMifQ=="/>
  </w:docVars>
  <w:rsids>
    <w:rsidRoot w:val="00C17378"/>
    <w:rsid w:val="00007BDA"/>
    <w:rsid w:val="0001265D"/>
    <w:rsid w:val="000158AB"/>
    <w:rsid w:val="00020EE5"/>
    <w:rsid w:val="000216EE"/>
    <w:rsid w:val="0002598F"/>
    <w:rsid w:val="00026DC4"/>
    <w:rsid w:val="00033FF8"/>
    <w:rsid w:val="00034476"/>
    <w:rsid w:val="000477A1"/>
    <w:rsid w:val="00065B49"/>
    <w:rsid w:val="00065DDD"/>
    <w:rsid w:val="00074468"/>
    <w:rsid w:val="000820A0"/>
    <w:rsid w:val="000851AD"/>
    <w:rsid w:val="00094007"/>
    <w:rsid w:val="00097D3B"/>
    <w:rsid w:val="000A16F9"/>
    <w:rsid w:val="000A19AA"/>
    <w:rsid w:val="000A31A2"/>
    <w:rsid w:val="000A76D7"/>
    <w:rsid w:val="000C1428"/>
    <w:rsid w:val="000C43D1"/>
    <w:rsid w:val="000C4655"/>
    <w:rsid w:val="000D17BC"/>
    <w:rsid w:val="000D3218"/>
    <w:rsid w:val="000D6337"/>
    <w:rsid w:val="000D7A86"/>
    <w:rsid w:val="000E1BEC"/>
    <w:rsid w:val="000E2ECF"/>
    <w:rsid w:val="000E7198"/>
    <w:rsid w:val="00115072"/>
    <w:rsid w:val="00122B95"/>
    <w:rsid w:val="00124F9F"/>
    <w:rsid w:val="00125494"/>
    <w:rsid w:val="001258DB"/>
    <w:rsid w:val="00131C89"/>
    <w:rsid w:val="00141EB4"/>
    <w:rsid w:val="00154791"/>
    <w:rsid w:val="00160D30"/>
    <w:rsid w:val="00161818"/>
    <w:rsid w:val="001663B3"/>
    <w:rsid w:val="00193ADC"/>
    <w:rsid w:val="0019584F"/>
    <w:rsid w:val="001A1381"/>
    <w:rsid w:val="001B4B78"/>
    <w:rsid w:val="001C77C0"/>
    <w:rsid w:val="001D0207"/>
    <w:rsid w:val="001E083C"/>
    <w:rsid w:val="001F32F7"/>
    <w:rsid w:val="0022039C"/>
    <w:rsid w:val="00231B3A"/>
    <w:rsid w:val="00233587"/>
    <w:rsid w:val="00234962"/>
    <w:rsid w:val="0024305F"/>
    <w:rsid w:val="002540FA"/>
    <w:rsid w:val="00260AE7"/>
    <w:rsid w:val="0026778B"/>
    <w:rsid w:val="00272686"/>
    <w:rsid w:val="00273204"/>
    <w:rsid w:val="002747B4"/>
    <w:rsid w:val="0028726F"/>
    <w:rsid w:val="00292BBB"/>
    <w:rsid w:val="00295BBB"/>
    <w:rsid w:val="002A3BF5"/>
    <w:rsid w:val="002A7822"/>
    <w:rsid w:val="002B6208"/>
    <w:rsid w:val="002C3C0E"/>
    <w:rsid w:val="002C6C1E"/>
    <w:rsid w:val="002D7AB6"/>
    <w:rsid w:val="002E4753"/>
    <w:rsid w:val="00327D78"/>
    <w:rsid w:val="00333A42"/>
    <w:rsid w:val="00334B49"/>
    <w:rsid w:val="00340666"/>
    <w:rsid w:val="00342BC7"/>
    <w:rsid w:val="00344199"/>
    <w:rsid w:val="0035576D"/>
    <w:rsid w:val="0035663B"/>
    <w:rsid w:val="00360443"/>
    <w:rsid w:val="00383315"/>
    <w:rsid w:val="0038479E"/>
    <w:rsid w:val="003A0A8B"/>
    <w:rsid w:val="003A4667"/>
    <w:rsid w:val="003A4FA2"/>
    <w:rsid w:val="003B5836"/>
    <w:rsid w:val="003B7B8A"/>
    <w:rsid w:val="003C193E"/>
    <w:rsid w:val="003C3DD0"/>
    <w:rsid w:val="003C45CB"/>
    <w:rsid w:val="003D0F56"/>
    <w:rsid w:val="003D4825"/>
    <w:rsid w:val="003E3771"/>
    <w:rsid w:val="003E5FD7"/>
    <w:rsid w:val="003F1F48"/>
    <w:rsid w:val="00410BF1"/>
    <w:rsid w:val="00414E3F"/>
    <w:rsid w:val="0041631E"/>
    <w:rsid w:val="00452825"/>
    <w:rsid w:val="00460FC9"/>
    <w:rsid w:val="00475EC2"/>
    <w:rsid w:val="00487C94"/>
    <w:rsid w:val="004975F9"/>
    <w:rsid w:val="00497C32"/>
    <w:rsid w:val="004B6AF0"/>
    <w:rsid w:val="004C15B5"/>
    <w:rsid w:val="004D65A1"/>
    <w:rsid w:val="004D7F4A"/>
    <w:rsid w:val="004E3E8F"/>
    <w:rsid w:val="004E7081"/>
    <w:rsid w:val="004F4A58"/>
    <w:rsid w:val="004F7A62"/>
    <w:rsid w:val="004F7E0F"/>
    <w:rsid w:val="00506664"/>
    <w:rsid w:val="00517657"/>
    <w:rsid w:val="00531874"/>
    <w:rsid w:val="00536069"/>
    <w:rsid w:val="00544AB0"/>
    <w:rsid w:val="005621DA"/>
    <w:rsid w:val="0056327F"/>
    <w:rsid w:val="00567D86"/>
    <w:rsid w:val="00576789"/>
    <w:rsid w:val="005820B7"/>
    <w:rsid w:val="005A2C9E"/>
    <w:rsid w:val="005A4525"/>
    <w:rsid w:val="005A5D3B"/>
    <w:rsid w:val="005A7EDA"/>
    <w:rsid w:val="005B0C83"/>
    <w:rsid w:val="005B2DF0"/>
    <w:rsid w:val="005C24AD"/>
    <w:rsid w:val="005C25FF"/>
    <w:rsid w:val="005D15DB"/>
    <w:rsid w:val="005D4428"/>
    <w:rsid w:val="005E1BC1"/>
    <w:rsid w:val="005E1D52"/>
    <w:rsid w:val="005E2A71"/>
    <w:rsid w:val="005E5058"/>
    <w:rsid w:val="005E6C83"/>
    <w:rsid w:val="005F1769"/>
    <w:rsid w:val="005F22F3"/>
    <w:rsid w:val="006007E4"/>
    <w:rsid w:val="006110D2"/>
    <w:rsid w:val="0061608E"/>
    <w:rsid w:val="00616DAA"/>
    <w:rsid w:val="00621765"/>
    <w:rsid w:val="00625DE3"/>
    <w:rsid w:val="006265BD"/>
    <w:rsid w:val="00644E55"/>
    <w:rsid w:val="00651F72"/>
    <w:rsid w:val="00652452"/>
    <w:rsid w:val="00655A23"/>
    <w:rsid w:val="00666C62"/>
    <w:rsid w:val="00680E67"/>
    <w:rsid w:val="00682BFC"/>
    <w:rsid w:val="006830CB"/>
    <w:rsid w:val="00687A20"/>
    <w:rsid w:val="00692129"/>
    <w:rsid w:val="006939AF"/>
    <w:rsid w:val="00696449"/>
    <w:rsid w:val="006A0884"/>
    <w:rsid w:val="006A18DD"/>
    <w:rsid w:val="006A4E71"/>
    <w:rsid w:val="006A5216"/>
    <w:rsid w:val="006A5751"/>
    <w:rsid w:val="006A5D46"/>
    <w:rsid w:val="006D3E37"/>
    <w:rsid w:val="006D4754"/>
    <w:rsid w:val="006E1786"/>
    <w:rsid w:val="006E2F07"/>
    <w:rsid w:val="00707027"/>
    <w:rsid w:val="007078F2"/>
    <w:rsid w:val="00711B71"/>
    <w:rsid w:val="00713713"/>
    <w:rsid w:val="00713A9A"/>
    <w:rsid w:val="00723B82"/>
    <w:rsid w:val="00723DD0"/>
    <w:rsid w:val="00730204"/>
    <w:rsid w:val="007364BC"/>
    <w:rsid w:val="007374CA"/>
    <w:rsid w:val="00737533"/>
    <w:rsid w:val="007425D5"/>
    <w:rsid w:val="007439BE"/>
    <w:rsid w:val="00746150"/>
    <w:rsid w:val="00751CFA"/>
    <w:rsid w:val="00753B4E"/>
    <w:rsid w:val="00755261"/>
    <w:rsid w:val="00761735"/>
    <w:rsid w:val="00766B50"/>
    <w:rsid w:val="00773719"/>
    <w:rsid w:val="007777A0"/>
    <w:rsid w:val="00781206"/>
    <w:rsid w:val="007827F7"/>
    <w:rsid w:val="00791298"/>
    <w:rsid w:val="007913DD"/>
    <w:rsid w:val="00794BCA"/>
    <w:rsid w:val="007A6FFF"/>
    <w:rsid w:val="007A7AC9"/>
    <w:rsid w:val="007B699B"/>
    <w:rsid w:val="007B6D18"/>
    <w:rsid w:val="007C1076"/>
    <w:rsid w:val="007D3D25"/>
    <w:rsid w:val="007E0684"/>
    <w:rsid w:val="00804B25"/>
    <w:rsid w:val="00805657"/>
    <w:rsid w:val="0081123D"/>
    <w:rsid w:val="00811F0A"/>
    <w:rsid w:val="0081284A"/>
    <w:rsid w:val="008338E4"/>
    <w:rsid w:val="00847480"/>
    <w:rsid w:val="00850D1E"/>
    <w:rsid w:val="00857CD5"/>
    <w:rsid w:val="008633FE"/>
    <w:rsid w:val="008718DC"/>
    <w:rsid w:val="0087592A"/>
    <w:rsid w:val="00875B66"/>
    <w:rsid w:val="00881F21"/>
    <w:rsid w:val="00883990"/>
    <w:rsid w:val="008923A1"/>
    <w:rsid w:val="008A03E9"/>
    <w:rsid w:val="008B28C2"/>
    <w:rsid w:val="008C0641"/>
    <w:rsid w:val="008E3EA8"/>
    <w:rsid w:val="008F24B4"/>
    <w:rsid w:val="008F2E7F"/>
    <w:rsid w:val="008F4B45"/>
    <w:rsid w:val="008F7497"/>
    <w:rsid w:val="009113AB"/>
    <w:rsid w:val="00923933"/>
    <w:rsid w:val="00946C98"/>
    <w:rsid w:val="00947A6C"/>
    <w:rsid w:val="00953FBA"/>
    <w:rsid w:val="009638A8"/>
    <w:rsid w:val="009718A7"/>
    <w:rsid w:val="00975578"/>
    <w:rsid w:val="00976E5F"/>
    <w:rsid w:val="00982A93"/>
    <w:rsid w:val="0098792D"/>
    <w:rsid w:val="009900DF"/>
    <w:rsid w:val="00996BC1"/>
    <w:rsid w:val="0099768B"/>
    <w:rsid w:val="009A0AB0"/>
    <w:rsid w:val="009C575E"/>
    <w:rsid w:val="009E70AB"/>
    <w:rsid w:val="00A02A51"/>
    <w:rsid w:val="00A02A95"/>
    <w:rsid w:val="00A0314D"/>
    <w:rsid w:val="00A0502A"/>
    <w:rsid w:val="00A168B3"/>
    <w:rsid w:val="00A249BD"/>
    <w:rsid w:val="00A44FF4"/>
    <w:rsid w:val="00A46CD4"/>
    <w:rsid w:val="00A50DEA"/>
    <w:rsid w:val="00A51944"/>
    <w:rsid w:val="00A52A18"/>
    <w:rsid w:val="00A5560E"/>
    <w:rsid w:val="00A728FC"/>
    <w:rsid w:val="00A81309"/>
    <w:rsid w:val="00A84DB2"/>
    <w:rsid w:val="00A92487"/>
    <w:rsid w:val="00AA2B92"/>
    <w:rsid w:val="00AA2BBF"/>
    <w:rsid w:val="00AB266B"/>
    <w:rsid w:val="00AB5314"/>
    <w:rsid w:val="00AD3AE3"/>
    <w:rsid w:val="00B040D6"/>
    <w:rsid w:val="00B076F7"/>
    <w:rsid w:val="00B20399"/>
    <w:rsid w:val="00B266F7"/>
    <w:rsid w:val="00B3722C"/>
    <w:rsid w:val="00B4678A"/>
    <w:rsid w:val="00B64157"/>
    <w:rsid w:val="00B74CFE"/>
    <w:rsid w:val="00B817CE"/>
    <w:rsid w:val="00BC13B7"/>
    <w:rsid w:val="00BC22C9"/>
    <w:rsid w:val="00BC46FB"/>
    <w:rsid w:val="00BC5530"/>
    <w:rsid w:val="00BD3855"/>
    <w:rsid w:val="00BD783F"/>
    <w:rsid w:val="00BE2C65"/>
    <w:rsid w:val="00BE5FA1"/>
    <w:rsid w:val="00BF15F3"/>
    <w:rsid w:val="00BF73AF"/>
    <w:rsid w:val="00C17378"/>
    <w:rsid w:val="00C3010B"/>
    <w:rsid w:val="00C407C1"/>
    <w:rsid w:val="00C74A86"/>
    <w:rsid w:val="00C857E0"/>
    <w:rsid w:val="00C93BBC"/>
    <w:rsid w:val="00CA1FC6"/>
    <w:rsid w:val="00CA4522"/>
    <w:rsid w:val="00CC4C6C"/>
    <w:rsid w:val="00CC5D96"/>
    <w:rsid w:val="00CC65A9"/>
    <w:rsid w:val="00CC7F70"/>
    <w:rsid w:val="00CD1561"/>
    <w:rsid w:val="00CD69AE"/>
    <w:rsid w:val="00CE0D5C"/>
    <w:rsid w:val="00CE36EF"/>
    <w:rsid w:val="00CE41B0"/>
    <w:rsid w:val="00CE7676"/>
    <w:rsid w:val="00CF7496"/>
    <w:rsid w:val="00D0117C"/>
    <w:rsid w:val="00D06018"/>
    <w:rsid w:val="00D06481"/>
    <w:rsid w:val="00D333C8"/>
    <w:rsid w:val="00D33BFD"/>
    <w:rsid w:val="00D41DEC"/>
    <w:rsid w:val="00D42AD2"/>
    <w:rsid w:val="00D53321"/>
    <w:rsid w:val="00D570F9"/>
    <w:rsid w:val="00D614CA"/>
    <w:rsid w:val="00D617E8"/>
    <w:rsid w:val="00D62680"/>
    <w:rsid w:val="00D65CA1"/>
    <w:rsid w:val="00D746AA"/>
    <w:rsid w:val="00D7550A"/>
    <w:rsid w:val="00D778E0"/>
    <w:rsid w:val="00D81C1A"/>
    <w:rsid w:val="00D82CA9"/>
    <w:rsid w:val="00D94815"/>
    <w:rsid w:val="00DA4C0C"/>
    <w:rsid w:val="00DC0D35"/>
    <w:rsid w:val="00DC1CFC"/>
    <w:rsid w:val="00DC4D3F"/>
    <w:rsid w:val="00DC7FAB"/>
    <w:rsid w:val="00DE0E7F"/>
    <w:rsid w:val="00DF0426"/>
    <w:rsid w:val="00E033DE"/>
    <w:rsid w:val="00E04994"/>
    <w:rsid w:val="00E06F6F"/>
    <w:rsid w:val="00E126B1"/>
    <w:rsid w:val="00E139D8"/>
    <w:rsid w:val="00E1524A"/>
    <w:rsid w:val="00E23556"/>
    <w:rsid w:val="00E33112"/>
    <w:rsid w:val="00E37E35"/>
    <w:rsid w:val="00E449E5"/>
    <w:rsid w:val="00E458DD"/>
    <w:rsid w:val="00E5349D"/>
    <w:rsid w:val="00E66D32"/>
    <w:rsid w:val="00E802CE"/>
    <w:rsid w:val="00E825DD"/>
    <w:rsid w:val="00E97BDA"/>
    <w:rsid w:val="00EA3515"/>
    <w:rsid w:val="00EA7BBB"/>
    <w:rsid w:val="00EB3826"/>
    <w:rsid w:val="00EC72C5"/>
    <w:rsid w:val="00EE3EA0"/>
    <w:rsid w:val="00EF1252"/>
    <w:rsid w:val="00EF24BE"/>
    <w:rsid w:val="00F15361"/>
    <w:rsid w:val="00F34CEE"/>
    <w:rsid w:val="00F362E5"/>
    <w:rsid w:val="00F41063"/>
    <w:rsid w:val="00F41C67"/>
    <w:rsid w:val="00F45B97"/>
    <w:rsid w:val="00F517AC"/>
    <w:rsid w:val="00F52A9E"/>
    <w:rsid w:val="00F52C2A"/>
    <w:rsid w:val="00F533F2"/>
    <w:rsid w:val="00F67FC4"/>
    <w:rsid w:val="00F75F63"/>
    <w:rsid w:val="00F823D3"/>
    <w:rsid w:val="00F94944"/>
    <w:rsid w:val="00F959A1"/>
    <w:rsid w:val="00F95CE9"/>
    <w:rsid w:val="00FA508D"/>
    <w:rsid w:val="00FC6424"/>
    <w:rsid w:val="00FD0626"/>
    <w:rsid w:val="00FD6AC9"/>
    <w:rsid w:val="00FF4CA5"/>
    <w:rsid w:val="00FF7FA3"/>
    <w:rsid w:val="029E1330"/>
    <w:rsid w:val="1340794B"/>
    <w:rsid w:val="1F513A1D"/>
    <w:rsid w:val="289805B6"/>
    <w:rsid w:val="307C04C0"/>
    <w:rsid w:val="35995372"/>
    <w:rsid w:val="373370DF"/>
    <w:rsid w:val="3A7D14FB"/>
    <w:rsid w:val="474E5794"/>
    <w:rsid w:val="48011B17"/>
    <w:rsid w:val="582E6026"/>
    <w:rsid w:val="589518DC"/>
    <w:rsid w:val="6ECD190C"/>
    <w:rsid w:val="7D6F40EE"/>
    <w:rsid w:val="BFE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asciiTheme="minorHAnsi" w:hAnsiTheme="minorHAnsi" w:eastAsiaTheme="minorEastAsia" w:cstheme="minorBidi"/>
      <w:sz w:val="22"/>
      <w:szCs w:val="22"/>
      <w:lang w:val="en-US" w:eastAsia="en-US" w:bidi="ar-SA"/>
    </w:rPr>
  </w:style>
  <w:style w:type="paragraph" w:styleId="2">
    <w:name w:val="heading 1"/>
    <w:next w:val="1"/>
    <w:link w:val="15"/>
    <w:autoRedefine/>
    <w:unhideWhenUsed/>
    <w:qFormat/>
    <w:uiPriority w:val="9"/>
    <w:pPr>
      <w:keepNext/>
      <w:keepLines/>
      <w:spacing w:before="360" w:after="360" w:line="360" w:lineRule="auto"/>
      <w:ind w:right="240" w:rightChars="100" w:firstLine="141" w:firstLineChars="50"/>
      <w:outlineLvl w:val="0"/>
    </w:pPr>
    <w:rPr>
      <w:rFonts w:ascii="宋体" w:hAnsi="宋体" w:eastAsia="宋体" w:cs="宋体"/>
      <w:b/>
      <w:color w:val="000000"/>
      <w:kern w:val="2"/>
      <w:sz w:val="28"/>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style>
  <w:style w:type="paragraph" w:styleId="4">
    <w:name w:val="Balloon Text"/>
    <w:basedOn w:val="1"/>
    <w:link w:val="16"/>
    <w:semiHidden/>
    <w:unhideWhenUsed/>
    <w:uiPriority w:val="99"/>
    <w:pPr>
      <w:spacing w:after="0" w:line="240" w:lineRule="auto"/>
    </w:pPr>
    <w:rPr>
      <w:sz w:val="18"/>
      <w:szCs w:val="18"/>
    </w:rPr>
  </w:style>
  <w:style w:type="paragraph" w:styleId="5">
    <w:name w:val="footer"/>
    <w:basedOn w:val="1"/>
    <w:link w:val="14"/>
    <w:autoRedefine/>
    <w:unhideWhenUsed/>
    <w:qFormat/>
    <w:uiPriority w:val="99"/>
    <w:pPr>
      <w:tabs>
        <w:tab w:val="center" w:pos="4153"/>
        <w:tab w:val="right" w:pos="8306"/>
      </w:tabs>
      <w:snapToGrid w:val="0"/>
      <w:spacing w:line="240" w:lineRule="auto"/>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7">
    <w:name w:val="annotation subject"/>
    <w:basedOn w:val="3"/>
    <w:next w:val="3"/>
    <w:link w:val="20"/>
    <w:autoRedefine/>
    <w:semiHidden/>
    <w:unhideWhenUsed/>
    <w:qFormat/>
    <w:uiPriority w:val="99"/>
    <w:rPr>
      <w:b/>
      <w:bCs/>
    </w:rPr>
  </w:style>
  <w:style w:type="table" w:styleId="9">
    <w:name w:val="Table Grid"/>
    <w:basedOn w:val="8"/>
    <w:autoRedefine/>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styleId="12">
    <w:name w:val="annotation reference"/>
    <w:basedOn w:val="10"/>
    <w:autoRedefine/>
    <w:semiHidden/>
    <w:unhideWhenUsed/>
    <w:qFormat/>
    <w:uiPriority w:val="99"/>
    <w:rPr>
      <w:sz w:val="21"/>
      <w:szCs w:val="21"/>
    </w:rPr>
  </w:style>
  <w:style w:type="character" w:customStyle="1" w:styleId="13">
    <w:name w:val="页眉 Char"/>
    <w:basedOn w:val="10"/>
    <w:link w:val="6"/>
    <w:autoRedefine/>
    <w:qFormat/>
    <w:uiPriority w:val="99"/>
    <w:rPr>
      <w:sz w:val="18"/>
      <w:szCs w:val="18"/>
    </w:rPr>
  </w:style>
  <w:style w:type="character" w:customStyle="1" w:styleId="14">
    <w:name w:val="页脚 Char"/>
    <w:basedOn w:val="10"/>
    <w:link w:val="5"/>
    <w:qFormat/>
    <w:uiPriority w:val="99"/>
    <w:rPr>
      <w:sz w:val="18"/>
      <w:szCs w:val="18"/>
    </w:rPr>
  </w:style>
  <w:style w:type="character" w:customStyle="1" w:styleId="15">
    <w:name w:val="标题 1 Char"/>
    <w:basedOn w:val="10"/>
    <w:link w:val="2"/>
    <w:autoRedefine/>
    <w:qFormat/>
    <w:uiPriority w:val="9"/>
    <w:rPr>
      <w:rFonts w:ascii="宋体" w:hAnsi="宋体" w:eastAsia="宋体" w:cs="宋体"/>
      <w:b/>
      <w:color w:val="000000"/>
      <w:kern w:val="2"/>
      <w:sz w:val="28"/>
      <w:lang w:eastAsia="zh-CN"/>
    </w:rPr>
  </w:style>
  <w:style w:type="character" w:customStyle="1" w:styleId="16">
    <w:name w:val="批注框文本 Char"/>
    <w:basedOn w:val="10"/>
    <w:link w:val="4"/>
    <w:semiHidden/>
    <w:qFormat/>
    <w:uiPriority w:val="99"/>
    <w:rPr>
      <w:sz w:val="18"/>
      <w:szCs w:val="18"/>
    </w:rPr>
  </w:style>
  <w:style w:type="table" w:customStyle="1" w:styleId="17">
    <w:name w:val="招股书，表格1"/>
    <w:basedOn w:val="8"/>
    <w:qFormat/>
    <w:uiPriority w:val="0"/>
    <w:rPr>
      <w:rFonts w:ascii="Times New Roman" w:hAnsi="Times New Roman" w:eastAsia="宋体" w:cs="Times New Roman"/>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8">
    <w:name w:val="List Paragraph"/>
    <w:basedOn w:val="1"/>
    <w:qFormat/>
    <w:uiPriority w:val="34"/>
    <w:pPr>
      <w:ind w:firstLine="420" w:firstLineChars="200"/>
    </w:pPr>
  </w:style>
  <w:style w:type="character" w:customStyle="1" w:styleId="19">
    <w:name w:val="批注文字 Char"/>
    <w:basedOn w:val="10"/>
    <w:link w:val="3"/>
    <w:semiHidden/>
    <w:uiPriority w:val="99"/>
  </w:style>
  <w:style w:type="character" w:customStyle="1" w:styleId="20">
    <w:name w:val="批注主题 Char"/>
    <w:basedOn w:val="19"/>
    <w:link w:val="7"/>
    <w:semiHidden/>
    <w:qFormat/>
    <w:uiPriority w:val="99"/>
    <w:rPr>
      <w:b/>
      <w:bCs/>
    </w:rPr>
  </w:style>
  <w:style w:type="paragraph" w:customStyle="1" w:styleId="21">
    <w:name w:val="修订1"/>
    <w:hidden/>
    <w:semiHidden/>
    <w:qFormat/>
    <w:uiPriority w:val="99"/>
    <w:rPr>
      <w:rFonts w:asciiTheme="minorHAnsi" w:hAnsiTheme="minorHAnsi" w:eastAsiaTheme="minorEastAsia" w:cstheme="minorBidi"/>
      <w:sz w:val="22"/>
      <w:szCs w:val="22"/>
      <w:lang w:val="en-US" w:eastAsia="en-US" w:bidi="ar-SA"/>
    </w:rPr>
  </w:style>
  <w:style w:type="table" w:customStyle="1" w:styleId="22">
    <w:name w:val="网格型1"/>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3">
    <w:name w:val="修订2"/>
    <w:hidden/>
    <w:unhideWhenUsed/>
    <w:qFormat/>
    <w:uiPriority w:val="99"/>
    <w:rPr>
      <w:rFonts w:asciiTheme="minorHAnsi" w:hAnsiTheme="minorHAnsi" w:eastAsiaTheme="minorEastAsia" w:cstheme="minorBidi"/>
      <w:sz w:val="22"/>
      <w:szCs w:val="22"/>
      <w:lang w:val="en-US" w:eastAsia="en-US" w:bidi="ar-SA"/>
    </w:rPr>
  </w:style>
  <w:style w:type="table" w:customStyle="1" w:styleId="24">
    <w:name w:val="网格型2"/>
    <w:basedOn w:val="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4276</Words>
  <Characters>4512</Characters>
  <Lines>34</Lines>
  <Paragraphs>9</Paragraphs>
  <TotalTime>14</TotalTime>
  <ScaleCrop>false</ScaleCrop>
  <LinksUpToDate>false</LinksUpToDate>
  <CharactersWithSpaces>4760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2020-07-16T21:38:00Z</dcterms:created>
  <dc:creator>jiayuan</dc:creator>
  <cp:lastModifiedBy>Jin</cp:lastModifiedBy>
  <cp:lastPrinted>2021-02-18T16:10:00Z</cp:lastPrinted>
  <dcterms:modified xsi:type="dcterms:W3CDTF">2025-04-20T02:11:39Z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2019-12-03T00:00:00Z</vt:filetime>
  </property>
  <property fmtid="{D5CDD505-2E9C-101B-9397-08002B2CF9AE}" pid="3" name="LastSaved">
    <vt:filetime>2019-12-26T00:00:00Z</vt:filetime>
  </property>
  <property fmtid="{D5CDD505-2E9C-101B-9397-08002B2CF9AE}" pid="4" name="KSOProductBuildVer">
    <vt:lpwstr>2052-12.1.0.20784</vt:lpwstr>
  </property>
  <property fmtid="{D5CDD505-2E9C-101B-9397-08002B2CF9AE}" pid="5" name="ICV">
    <vt:lpwstr>7832E9D8EBD81AA6EB5899646172DE00_42</vt:lpwstr>
  </property>
  <property fmtid="{D5CDD505-2E9C-101B-9397-08002B2CF9AE}" pid="6" name="KSOTemplateDocerSaveRecord">
    <vt:lpwstr>eyJoZGlkIjoiYWNhMjBkMzJjNWE2MzVhMmY2OGIyMTJjMjBlZjQ2NjMiLCJ1c2VySWQiOiIyMDQ3NjIyNTEifQ==</vt:lpwstr>
  </property>
</Properties>
</file>