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C3DC7">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公告编号：2025-043</w:t>
      </w:r>
    </w:p>
    <w:p w14:paraId="0ED29FBD">
      <w:pPr>
        <w:widowControl/>
        <w:spacing w:before="312" w:beforeLines="100" w:line="360" w:lineRule="auto"/>
        <w:jc w:val="center"/>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广东天亿马信息产业股份有限公司</w:t>
      </w:r>
    </w:p>
    <w:p w14:paraId="350850F7">
      <w:pPr>
        <w:widowControl/>
        <w:spacing w:line="360" w:lineRule="auto"/>
        <w:jc w:val="center"/>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部分首次公开发行前已发行股份解除限售</w:t>
      </w:r>
    </w:p>
    <w:p w14:paraId="4BA25FC1">
      <w:pPr>
        <w:widowControl/>
        <w:spacing w:after="468" w:afterLines="150" w:line="360" w:lineRule="auto"/>
        <w:jc w:val="center"/>
        <w:rPr>
          <w:rFonts w:ascii="仿宋" w:hAnsi="仿宋" w:eastAsia="仿宋"/>
          <w:color w:val="000000"/>
          <w:sz w:val="28"/>
        </w:rPr>
      </w:pPr>
      <w:r>
        <w:rPr>
          <w:rFonts w:hint="eastAsia" w:ascii="黑体" w:hAnsi="黑体" w:eastAsia="黑体" w:cs="黑体"/>
          <w:b/>
          <w:bCs/>
          <w:kern w:val="0"/>
          <w:sz w:val="32"/>
          <w:szCs w:val="32"/>
          <w:lang w:bidi="ar"/>
        </w:rPr>
        <w:t>并上市流通的提示性公告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CA26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0" w:hRule="atLeast"/>
          <w:jc w:val="center"/>
        </w:trPr>
        <w:tc>
          <w:tcPr>
            <w:tcW w:w="8522" w:type="dxa"/>
            <w:tcBorders>
              <w:top w:val="single" w:color="auto" w:sz="4" w:space="0"/>
              <w:left w:val="single" w:color="auto" w:sz="4" w:space="0"/>
              <w:bottom w:val="single" w:color="auto" w:sz="4" w:space="0"/>
              <w:right w:val="single" w:color="auto" w:sz="4" w:space="0"/>
            </w:tcBorders>
          </w:tcPr>
          <w:p w14:paraId="02E32CAE">
            <w:pPr>
              <w:widowControl/>
              <w:spacing w:line="360" w:lineRule="auto"/>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3FA8399B">
      <w:pPr>
        <w:spacing w:before="312" w:beforeLines="100" w:line="360" w:lineRule="auto"/>
        <w:outlineLvl w:val="0"/>
        <w:rPr>
          <w:rFonts w:ascii="仿宋" w:hAnsi="仿宋" w:eastAsia="仿宋"/>
          <w:b/>
          <w:color w:val="000000"/>
          <w:sz w:val="28"/>
          <w:szCs w:val="28"/>
        </w:rPr>
      </w:pPr>
      <w:r>
        <w:rPr>
          <w:rFonts w:hint="eastAsia" w:ascii="仿宋" w:hAnsi="仿宋" w:eastAsia="仿宋"/>
          <w:b/>
          <w:color w:val="000000"/>
          <w:sz w:val="28"/>
          <w:szCs w:val="28"/>
        </w:rPr>
        <w:t>特别提示：</w:t>
      </w:r>
    </w:p>
    <w:p w14:paraId="68F9C704">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1.本次解除限售的股份为广东天亿马信息产业股份有限公司（以下简称“公司”或“天亿马”）部分首次公开发行前已发行的股份。</w:t>
      </w:r>
    </w:p>
    <w:p w14:paraId="1A731B43">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2.本次解除股份限售的股东数量为2名，数量为22,357,944股，占公司总股本的33.3160%（此总股本未剔除公司回购专用证券账户中的股份数量，若总股本剔除公司回购专用证券账户中的股份数量，则占公司总股本的比例为33.9350%）。</w:t>
      </w:r>
    </w:p>
    <w:p w14:paraId="0EAB75DA">
      <w:pPr>
        <w:spacing w:line="360" w:lineRule="auto"/>
        <w:ind w:firstLine="560" w:firstLineChars="200"/>
        <w:rPr>
          <w:rFonts w:hint="eastAsia" w:ascii="仿宋" w:hAnsi="仿宋" w:eastAsia="仿宋"/>
          <w:bCs/>
          <w:color w:val="000000"/>
          <w:sz w:val="28"/>
          <w:szCs w:val="28"/>
        </w:rPr>
      </w:pPr>
      <w:r>
        <w:rPr>
          <w:rFonts w:hint="eastAsia" w:ascii="仿宋" w:hAnsi="仿宋" w:eastAsia="仿宋"/>
          <w:bCs/>
          <w:color w:val="000000"/>
          <w:sz w:val="28"/>
          <w:szCs w:val="28"/>
        </w:rPr>
        <w:t>3.公司本次解除限售股份的上市流通日期为2025年5月12日。</w:t>
      </w:r>
    </w:p>
    <w:p w14:paraId="2957ED11">
      <w:pPr>
        <w:spacing w:line="360" w:lineRule="auto"/>
        <w:ind w:firstLine="560" w:firstLineChars="200"/>
        <w:rPr>
          <w:rFonts w:hint="default" w:ascii="仿宋" w:hAnsi="仿宋" w:eastAsia="仿宋"/>
          <w:bCs/>
          <w:color w:val="000000"/>
          <w:sz w:val="28"/>
          <w:szCs w:val="28"/>
          <w:lang w:val="en-US" w:eastAsia="zh-CN"/>
        </w:rPr>
      </w:pPr>
      <w:r>
        <w:rPr>
          <w:rFonts w:hint="eastAsia" w:ascii="仿宋" w:hAnsi="仿宋" w:eastAsia="仿宋"/>
          <w:bCs/>
          <w:color w:val="000000"/>
          <w:sz w:val="28"/>
          <w:szCs w:val="28"/>
          <w:lang w:val="en-US" w:eastAsia="zh-CN"/>
        </w:rPr>
        <w:t>4.截至本公告日，公司存在《深圳证券交易所上市公司自律监管指引第18号——股东及董事、高级管理人员减持股份》第八条规定的情形。本次解除限售的股份上市流通后，在该情形消除前，实际控制人不得通过深圳证券交易所集中竞价交易或者大宗交易方式减持股份。</w:t>
      </w:r>
    </w:p>
    <w:p w14:paraId="1F670B7D">
      <w:pPr>
        <w:spacing w:before="156" w:beforeLines="50" w:after="156" w:afterLines="50" w:line="360" w:lineRule="auto"/>
        <w:outlineLvl w:val="0"/>
        <w:rPr>
          <w:rFonts w:ascii="仿宋" w:hAnsi="仿宋" w:eastAsia="仿宋"/>
          <w:b/>
          <w:color w:val="000000"/>
          <w:sz w:val="28"/>
          <w:szCs w:val="28"/>
        </w:rPr>
      </w:pPr>
      <w:r>
        <w:rPr>
          <w:rFonts w:hint="eastAsia" w:ascii="仿宋" w:hAnsi="仿宋" w:eastAsia="仿宋"/>
          <w:b/>
          <w:color w:val="000000"/>
          <w:sz w:val="28"/>
          <w:szCs w:val="28"/>
        </w:rPr>
        <w:t>一、首次公开发行股份情况及上市后股本变动情况</w:t>
      </w:r>
    </w:p>
    <w:p w14:paraId="0C023A60">
      <w:pPr>
        <w:spacing w:before="156" w:beforeLines="50" w:after="156" w:afterLines="50" w:line="360" w:lineRule="auto"/>
        <w:ind w:firstLine="562" w:firstLineChars="200"/>
        <w:outlineLvl w:val="1"/>
        <w:rPr>
          <w:rFonts w:ascii="仿宋" w:hAnsi="仿宋" w:eastAsia="仿宋"/>
          <w:b/>
          <w:color w:val="000000"/>
          <w:sz w:val="28"/>
          <w:szCs w:val="28"/>
        </w:rPr>
      </w:pPr>
      <w:r>
        <w:rPr>
          <w:rFonts w:ascii="仿宋" w:hAnsi="仿宋" w:eastAsia="仿宋"/>
          <w:b/>
          <w:color w:val="000000"/>
          <w:sz w:val="28"/>
          <w:szCs w:val="28"/>
        </w:rPr>
        <w:t>（一）首次公开发行股份情况</w:t>
      </w:r>
    </w:p>
    <w:p w14:paraId="6EB36D14">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广东天亿马信息产业股份有限公司（以下简称“公司”或“天亿马”）首次公开发行股票前已发行股份35,334,000股。根据公司2020年第四次临时股东大会决议及中国证券监督管理委员会证监许可[2021]2937号文《关于同意广东天亿马信息产业股份有限公司首次公开发行股票注册的批复》，公司于2021年11月1日采用网上定价方式公开发行人民币普通股（A股）11,778,000股，并于2021年11月12日在深圳证券交易所创业板上市。首次公开发行完成后，公司总股本变更为47,112,000股。</w:t>
      </w:r>
    </w:p>
    <w:p w14:paraId="2D3FE06F">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（二）</w:t>
      </w:r>
      <w:r>
        <w:rPr>
          <w:rFonts w:ascii="仿宋" w:hAnsi="仿宋" w:eastAsia="仿宋"/>
          <w:b/>
          <w:color w:val="000000"/>
          <w:sz w:val="28"/>
          <w:szCs w:val="28"/>
        </w:rPr>
        <w:t>上市后股本变动情况</w:t>
      </w:r>
    </w:p>
    <w:p w14:paraId="1F470680">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经公司2022年4月26日召开的第三届董事会第三次会议、第三届监事会第二次会议及2022年5月19日召开的公司2021年年度股东大会审议通过，同意公司2021年年度利润分配方案为以总股本47,112,000股为基数，向全体股东每10股派发现金股利人民币4.00元（含税），合计派发现金股利人民币18,844,800元（含税）;不送红股，剩余未分配利润结转至以后年度；以资本公积金向全体股东每10股转增4股，共计转增18,844,800股。公司于2022年6月13日完成权益分派，转增后公司总股本由47,112,000股增加至65,956,800股。</w:t>
      </w:r>
    </w:p>
    <w:p w14:paraId="7AC2F831">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公司2023年9月19日召开第三届董事会第十七次会议，审议通过了《关于向2023年限制性股票激励计划激励对象首次授予限制性股票的议案》，同意确定以2023年9月19日为限制性股票首次授予日，向21名激励对象授予334.12万股限制性股票。其中授予2名激励对象128.00万股第一类限制性股票，授予19名激励对象206.12万股第二类限制性股票，授予价格均为15.91元/股。公司已于2023年11月17日完成第一类限制性股票授予登记，登记完成后公司股本由65,956,800股变更为67,236,800股。</w:t>
      </w:r>
    </w:p>
    <w:p w14:paraId="35CB18FA">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经公司</w:t>
      </w:r>
      <w:r>
        <w:rPr>
          <w:rFonts w:ascii="仿宋" w:hAnsi="仿宋" w:eastAsia="仿宋"/>
          <w:bCs/>
          <w:color w:val="000000"/>
          <w:sz w:val="28"/>
          <w:szCs w:val="28"/>
        </w:rPr>
        <w:t>2024年4月27日召开的第三届董事会第二十二次会议和第三届监事会第二十次会议，另于2024年5月20日召开2023年年度股东大会，审议通过了《关于回购注销部分已授予但尚未解除限售的限制性股票的议案》</w:t>
      </w:r>
      <w:r>
        <w:rPr>
          <w:rFonts w:hint="eastAsia" w:ascii="仿宋" w:hAnsi="仿宋" w:eastAsia="仿宋"/>
          <w:bCs/>
          <w:color w:val="000000"/>
          <w:sz w:val="28"/>
          <w:szCs w:val="28"/>
        </w:rPr>
        <w:t>。根据公司《2023年限制性股票激励计划》及《2023年限制性股票激励计划实施考核管理办法（修订稿）》的相关规定，结合公司经审计的2023年度财务报告，公司层面2023年业绩考核未达标，需回购注销首次授予2名激励对象对应当年已获授但尚未解除限售的第一类限制性股票合计128,000股。</w:t>
      </w:r>
      <w:r>
        <w:rPr>
          <w:rFonts w:ascii="仿宋" w:hAnsi="仿宋" w:eastAsia="仿宋"/>
          <w:bCs/>
          <w:color w:val="000000"/>
          <w:sz w:val="28"/>
          <w:szCs w:val="28"/>
        </w:rPr>
        <w:t>公司已于2024年11月27日办理完成本次部分限制性股票注销事宜。本次注销完成后，公司股份总数由67,236,800股减少至67,108,800股。</w:t>
      </w:r>
    </w:p>
    <w:p w14:paraId="29744855">
      <w:pPr>
        <w:spacing w:before="156" w:beforeLines="50" w:after="156" w:afterLines="50" w:line="360" w:lineRule="auto"/>
        <w:outlineLvl w:val="0"/>
        <w:rPr>
          <w:rFonts w:ascii="仿宋" w:hAnsi="仿宋" w:eastAsia="仿宋"/>
          <w:b/>
          <w:color w:val="000000"/>
          <w:sz w:val="28"/>
          <w:szCs w:val="28"/>
        </w:rPr>
      </w:pPr>
      <w:r>
        <w:rPr>
          <w:rFonts w:ascii="仿宋" w:hAnsi="仿宋" w:eastAsia="仿宋"/>
          <w:b/>
          <w:color w:val="000000"/>
          <w:sz w:val="28"/>
          <w:szCs w:val="28"/>
        </w:rPr>
        <w:t>二、申请解除股份限售股东履行承诺情况</w:t>
      </w:r>
    </w:p>
    <w:p w14:paraId="12AA524B">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本次申请解除股份限售的股东共计2名，为公司控股股东、实际控制人林明玲</w:t>
      </w:r>
      <w:r>
        <w:rPr>
          <w:rFonts w:hint="eastAsia" w:ascii="仿宋" w:hAnsi="仿宋" w:eastAsia="仿宋"/>
          <w:bCs/>
          <w:color w:val="000000"/>
          <w:sz w:val="28"/>
          <w:szCs w:val="28"/>
        </w:rPr>
        <w:t>女士</w:t>
      </w:r>
      <w:r>
        <w:rPr>
          <w:rFonts w:ascii="仿宋" w:hAnsi="仿宋" w:eastAsia="仿宋"/>
          <w:bCs/>
          <w:color w:val="000000"/>
          <w:sz w:val="28"/>
          <w:szCs w:val="28"/>
        </w:rPr>
        <w:t>、马学沛</w:t>
      </w:r>
      <w:r>
        <w:rPr>
          <w:rFonts w:hint="eastAsia" w:ascii="仿宋" w:hAnsi="仿宋" w:eastAsia="仿宋"/>
          <w:bCs/>
          <w:color w:val="000000"/>
          <w:sz w:val="28"/>
          <w:szCs w:val="28"/>
        </w:rPr>
        <w:t>先生。</w:t>
      </w:r>
    </w:p>
    <w:p w14:paraId="554B7EC3">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本次申请解除股份限售的股东在公司《首次公开发行股票并在创业板上市招股说明书》（以下简称“招股说明书”）与《首次公开发行股票并在创业板上市之上市公告书》（以下简称“上市公告书”）中作出的承诺一致，作出的相关承诺如下：</w:t>
      </w:r>
    </w:p>
    <w:p w14:paraId="1F6B933E">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（一）股份限售安排、自愿锁定股份、延长锁定期限相关承诺</w:t>
      </w:r>
    </w:p>
    <w:p w14:paraId="7CFC6632">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自天亿马的股票在证券交易所上市之日起36个月内（“锁定期”），不转让或者委托他人管理本人直接或间接持有的天亿马公开发行股票前已发行的股份，也不由天亿马回购本人直接或间接持有的天亿马公开发行股票前已发行的股份。</w:t>
      </w:r>
    </w:p>
    <w:p w14:paraId="79E98099">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上述锁定期满后，本人在担任天亿马董事、监事或者高级管理人员期间每年转让的天亿马股份不超过本人所持有天亿马股份总数的25%，且在本人离职后半年内不转让持有的天亿马股份。本人在任期届满前离职的，在本人就任时确定的任期内和任期届满后6个月内，仍应遵守前述规定。</w:t>
      </w:r>
    </w:p>
    <w:p w14:paraId="0DF77821">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07DC0E67">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（二）股东持股及减持意向承诺</w:t>
      </w:r>
    </w:p>
    <w:p w14:paraId="202137EC">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本人严格按照公司首次公开发行股票招股说明书及本人出具的承诺载明的各项锁定期限要求，并严格遵守相关法律法规、规范性文件规定及监管要求，在锁定期内不减持持有的公司的股份。</w:t>
      </w:r>
    </w:p>
    <w:p w14:paraId="356B1C8C">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本人所持公司股票在锁定期满后两年内减持的，减持价格不低于发行价；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6932E918">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在锁定期限（包括延长的锁定期）届满后，本人将通过合法方式减持公司股份；并通过公司在减持前3个交易日予以公告。</w:t>
      </w:r>
    </w:p>
    <w:p w14:paraId="61252D6F">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同时承诺：</w:t>
      </w:r>
    </w:p>
    <w:p w14:paraId="6A4CF4DB">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如本人违反承诺进行股份减持的，减持所得收益将无偿划归公司所有；在减持收益全部缴付公司前，如公司进行现金分红的，可直接从本单位应得现金分红中扣除尚未缴付的收益金额；在减持收益全部缴付公司前，不得转让直接或间接持有的公司股份。</w:t>
      </w:r>
    </w:p>
    <w:p w14:paraId="255A673A">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（三）关于填补被摊薄即期回报的承诺</w:t>
      </w:r>
    </w:p>
    <w:p w14:paraId="1836E49B">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为确保公司的填补被摊薄即期回报措施得到切实履行，特承诺如下：</w:t>
      </w:r>
    </w:p>
    <w:p w14:paraId="0CECBB32">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1.忠实、勤勉地履行职责，维护公司和全体股东的合法权益。</w:t>
      </w:r>
    </w:p>
    <w:p w14:paraId="70D61912">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2.不越权干预公司经营管理活动，不侵占公司利益。</w:t>
      </w:r>
    </w:p>
    <w:p w14:paraId="608CB24F">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（四）关于欺诈发行上市的股份购回承诺函</w:t>
      </w:r>
    </w:p>
    <w:p w14:paraId="10A17AC3">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1.公司本次公开发行股票并在深圳证券交易所创业板上市，不存在任何欺诈发行的情形。</w:t>
      </w:r>
    </w:p>
    <w:p w14:paraId="1DEF3A32">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如公司不符合发行上市条件，以欺骗手段骗取发行注册并已经发行上市的，本人将督促公司在中国证监会等有权部门确认后5个工作日内依法启动回购首次公开发行的全部新股，且本人将购回已转让的原限售股份。</w:t>
      </w:r>
    </w:p>
    <w:p w14:paraId="7D986235">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3.本人在履行上述承诺实施完毕之前，天亿马进行现金分红的，可直接从本人应得现金分红中扣除股份回购的应付金额，并代为向投资者支付股份回购款；且不得转让直接或间接持有的天亿马股份。</w:t>
      </w:r>
    </w:p>
    <w:p w14:paraId="59FC877C">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（五）关于消除或避免同业竞争的承诺函</w:t>
      </w:r>
    </w:p>
    <w:p w14:paraId="47E68008">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为消除或避免与天亿马同业竞争之目的，本人郑重承诺如下：</w:t>
      </w:r>
    </w:p>
    <w:p w14:paraId="70CA8088">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1.截至本承诺函出具之日，本人及与本人关系密切的家庭成员（包括配偶、年满 18 周岁的子女及其配偶、父母及配偶的父母、兄弟姐妹及其配偶、配偶的兄弟姐妹、子女配偶的父母）未投资与天亿马产品相同或相类似的企业，亦未直接或间接从事、参与或进行与天亿马生产、经营相竞争的任何经营活动；</w:t>
      </w:r>
    </w:p>
    <w:p w14:paraId="23B1C224">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2.本承诺函出具后，本人将不投资与天亿马产品相同或相类似的企业，亦不直接或间接从事、参与或进行与天亿马的生产、经营相竞争的任何经营活动，以避免与天亿马的生产经营构成直接或间接的竞争；</w:t>
      </w:r>
    </w:p>
    <w:p w14:paraId="7571A5BC">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3.本承诺函出具后，本人保证将努力促使与本人关系密切的家庭成员不投资与天亿马产品相同或相类似的企业，亦不直接或间接从事、参与或进行与天亿马的生产、经营相竞争的任何经营活动；</w:t>
      </w:r>
    </w:p>
    <w:p w14:paraId="23F00227">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4.本人将不利用对天亿马的实际控制关系进行损害天亿马及天亿马其他股东利益的经营活动；</w:t>
      </w:r>
    </w:p>
    <w:p w14:paraId="498F5860">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5.本人承诺赔偿天亿马因本人违反关于同业竞争的承诺而遭受或产生的任何损失或开支。</w:t>
      </w:r>
    </w:p>
    <w:p w14:paraId="1B3E3C49">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本人作为天亿马控股股东及实际控制人期间，上述承诺持续有效且不可变更或撤销。本人如违反上述承诺，在采取措施消除同业竞争情形前，天亿马进行现金分红的，有权暂扣归属于本人的现金分红，直至本人履行承诺并实施完毕；在履行相应承诺、采取补救措施并实施完毕之前，不得转让本人直接或间接持有的天亿马股份。</w:t>
      </w:r>
    </w:p>
    <w:p w14:paraId="3D9B7517">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（六）关于未能履行承诺时的约束措施的承诺</w:t>
      </w:r>
    </w:p>
    <w:p w14:paraId="0FE7D285">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1.及时通过天亿马公告未能履行承诺的原因并在股东大会及中国证监会指定报刊向投资者公开作出解释并道歉；</w:t>
      </w:r>
    </w:p>
    <w:p w14:paraId="4B83DFA7">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若本人违反承诺而获得相关收益的，相关收益无偿划归天亿马所有；在相关收益全部缴付天亿马前，如天亿马进行现金分红的，可直接从本人应得现金分红中扣除尚未缴付的收益金额；相关收益全部缴付天亿马前，不得转让直接或间接持有的天亿马股份；</w:t>
      </w:r>
    </w:p>
    <w:p w14:paraId="1D27F15F">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天亿马停止发放现金分红，在履行相应承诺、采取补救措施并实施完毕之前，天亿马进行现金分红的，有权暂扣归属于本人的现金分红，直至本人履行承诺并实施完毕，或扣除本人履行承诺的应付金额，并代为支付；</w:t>
      </w:r>
    </w:p>
    <w:p w14:paraId="20638BFA">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4.在履行相应承诺、采取补救措施并实施完毕之前，不得转让直接或间接持有的天亿马股份；</w:t>
      </w:r>
    </w:p>
    <w:p w14:paraId="25FDADB8">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5.给公司或者股东造成损失的，依法承担补偿责任，本人在履行承诺实施完毕之前，天亿马进行现金分红的，可直接从本人应得现金分红中扣除赔偿投资者损失的应付金额，并代为向投资者支付赔偿金。</w:t>
      </w:r>
    </w:p>
    <w:p w14:paraId="0FFE32A7">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（七）关于依法承担赔偿或赔偿责任的承诺函</w:t>
      </w:r>
    </w:p>
    <w:p w14:paraId="25E9FD19">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1.公司首次公开发行股票招股说明书及其他信息披露材料不存在虚假记载、误导性陈述或者重大遗漏，本人对其真实性、准确性、完整性、及时性承担个别和连带的法律责任。</w:t>
      </w:r>
    </w:p>
    <w:p w14:paraId="1C9F660D">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2A1ABC84">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5D9A5F1A">
      <w:pPr>
        <w:spacing w:before="156" w:beforeLines="50" w:after="156" w:afterLines="5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3.本人在履行上述承诺实施完毕之前，天亿马进行现金分红的，可直接从本人应得现金分红中扣除赔偿投资者损失的应付金额，并代为向投资者支付赔偿金；且不得转让直接或间接持有的天亿马股份。</w:t>
      </w:r>
    </w:p>
    <w:p w14:paraId="5AA4CB85">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（八）</w:t>
      </w:r>
      <w:r>
        <w:rPr>
          <w:rFonts w:ascii="仿宋" w:hAnsi="仿宋" w:eastAsia="仿宋"/>
          <w:b/>
          <w:color w:val="000000"/>
          <w:sz w:val="28"/>
          <w:szCs w:val="28"/>
        </w:rPr>
        <w:t>承诺履行情况</w:t>
      </w:r>
    </w:p>
    <w:p w14:paraId="6E9DE4A8">
      <w:pPr>
        <w:spacing w:line="360" w:lineRule="auto"/>
        <w:ind w:firstLine="560" w:firstLineChars="200"/>
        <w:rPr>
          <w:rFonts w:hint="eastAsia" w:ascii="仿宋" w:hAnsi="仿宋" w:eastAsia="仿宋"/>
          <w:bCs/>
          <w:color w:val="000000"/>
          <w:sz w:val="28"/>
          <w:szCs w:val="28"/>
          <w:lang w:eastAsia="zh-CN"/>
        </w:rPr>
      </w:pPr>
      <w:r>
        <w:rPr>
          <w:rFonts w:hint="eastAsia" w:ascii="仿宋" w:hAnsi="仿宋" w:eastAsia="仿宋"/>
          <w:bCs/>
          <w:color w:val="000000"/>
          <w:sz w:val="28"/>
          <w:szCs w:val="28"/>
          <w:lang w:eastAsia="zh-CN"/>
        </w:rPr>
        <w:t>因公司上市后6个月期末收盘价低于发行价，根据实际控制人做出的股东持股及减持意向承诺，其所持有公司股票的锁定期限由股票上市之日起</w:t>
      </w:r>
      <w:r>
        <w:rPr>
          <w:rFonts w:hint="eastAsia" w:ascii="仿宋" w:hAnsi="仿宋" w:eastAsia="仿宋"/>
          <w:bCs/>
          <w:color w:val="000000"/>
          <w:sz w:val="28"/>
          <w:szCs w:val="28"/>
          <w:lang w:val="en-US" w:eastAsia="zh-CN"/>
        </w:rPr>
        <w:t>36</w:t>
      </w:r>
      <w:r>
        <w:rPr>
          <w:rFonts w:hint="eastAsia" w:ascii="仿宋" w:hAnsi="仿宋" w:eastAsia="仿宋"/>
          <w:bCs/>
          <w:color w:val="000000"/>
          <w:sz w:val="28"/>
          <w:szCs w:val="28"/>
          <w:lang w:eastAsia="zh-CN"/>
        </w:rPr>
        <w:t>个月自动延长6个月。</w:t>
      </w:r>
    </w:p>
    <w:p w14:paraId="762D38B5">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截至本公告披露之日，本次申请解除股份限售的股东严格遵守了上述承诺</w:t>
      </w:r>
      <w:r>
        <w:rPr>
          <w:rFonts w:hint="eastAsia" w:ascii="仿宋" w:hAnsi="仿宋" w:eastAsia="仿宋"/>
          <w:bCs/>
          <w:color w:val="000000"/>
          <w:sz w:val="28"/>
          <w:szCs w:val="28"/>
          <w:lang w:eastAsia="zh-CN"/>
        </w:rPr>
        <w:t>，此外</w:t>
      </w:r>
      <w:r>
        <w:rPr>
          <w:rFonts w:ascii="仿宋" w:hAnsi="仿宋" w:eastAsia="仿宋"/>
          <w:bCs/>
          <w:color w:val="000000"/>
          <w:sz w:val="28"/>
          <w:szCs w:val="28"/>
        </w:rPr>
        <w:t>无后续追加承诺，不存在相关承诺未履行影响本次限售股上市流通的情况。</w:t>
      </w:r>
    </w:p>
    <w:p w14:paraId="326E7B9B">
      <w:pPr>
        <w:spacing w:before="156" w:beforeLines="50" w:after="156" w:afterLines="50" w:line="360" w:lineRule="auto"/>
        <w:ind w:firstLine="562" w:firstLineChars="200"/>
        <w:outlineLvl w:val="1"/>
        <w:rPr>
          <w:rFonts w:ascii="仿宋" w:hAnsi="仿宋" w:eastAsia="仿宋"/>
          <w:b/>
          <w:color w:val="000000"/>
          <w:sz w:val="28"/>
          <w:szCs w:val="28"/>
        </w:rPr>
      </w:pPr>
      <w:r>
        <w:rPr>
          <w:rFonts w:hint="eastAsia" w:ascii="仿宋" w:hAnsi="仿宋" w:eastAsia="仿宋"/>
          <w:b/>
          <w:color w:val="000000"/>
          <w:sz w:val="28"/>
          <w:szCs w:val="28"/>
        </w:rPr>
        <w:t>（九）</w:t>
      </w:r>
      <w:r>
        <w:rPr>
          <w:rFonts w:ascii="仿宋" w:hAnsi="仿宋" w:eastAsia="仿宋"/>
          <w:b/>
          <w:color w:val="000000"/>
          <w:sz w:val="28"/>
          <w:szCs w:val="28"/>
        </w:rPr>
        <w:t>其他事项说明</w:t>
      </w:r>
    </w:p>
    <w:p w14:paraId="577B8EB9">
      <w:pPr>
        <w:spacing w:line="360" w:lineRule="auto"/>
        <w:ind w:firstLine="560" w:firstLineChars="200"/>
        <w:rPr>
          <w:rFonts w:ascii="仿宋" w:hAnsi="仿宋" w:eastAsia="仿宋"/>
          <w:bCs/>
          <w:color w:val="000000"/>
          <w:sz w:val="28"/>
          <w:szCs w:val="28"/>
        </w:rPr>
      </w:pPr>
      <w:r>
        <w:rPr>
          <w:rFonts w:ascii="仿宋" w:hAnsi="仿宋" w:eastAsia="仿宋"/>
          <w:bCs/>
          <w:color w:val="000000"/>
          <w:sz w:val="28"/>
          <w:szCs w:val="28"/>
        </w:rPr>
        <w:t>本次申请解除股份限售的股东均不存在非经营性占用公司资金的情形，公司对上述股东不存在违规担保的情形</w:t>
      </w:r>
      <w:bookmarkStart w:id="0" w:name="_GoBack"/>
      <w:bookmarkEnd w:id="0"/>
      <w:r>
        <w:rPr>
          <w:rFonts w:ascii="仿宋" w:hAnsi="仿宋" w:eastAsia="仿宋"/>
          <w:bCs/>
          <w:color w:val="000000"/>
          <w:sz w:val="28"/>
          <w:szCs w:val="28"/>
        </w:rPr>
        <w:t>。</w:t>
      </w:r>
    </w:p>
    <w:p w14:paraId="4814DFED">
      <w:pPr>
        <w:ind w:firstLine="560" w:firstLineChars="200"/>
        <w:rPr>
          <w:rFonts w:ascii="仿宋" w:hAnsi="仿宋" w:eastAsia="仿宋"/>
          <w:bCs/>
          <w:color w:val="000000"/>
          <w:sz w:val="28"/>
          <w:szCs w:val="28"/>
        </w:rPr>
      </w:pPr>
      <w:r>
        <w:rPr>
          <w:rFonts w:hint="eastAsia" w:ascii="仿宋" w:hAnsi="仿宋" w:eastAsia="仿宋"/>
          <w:bCs/>
          <w:color w:val="000000"/>
          <w:sz w:val="28"/>
          <w:szCs w:val="28"/>
          <w:lang w:val="en-US" w:eastAsia="zh-CN"/>
        </w:rPr>
        <w:t>截至本公告日，公司存在《深圳证券交易所上市公司自律监管指引第18号——股东及董事、高级管理人员减持股份》第八条规定的情形，在最近二十个交易日任一日股票收盘价低于首次公开发行价格。本次解除限售的股份上市流通后，在该情形消除前，实际控制人不得通过深圳证券交易所集中竞价交易或者大宗交易方式减持股份。</w:t>
      </w:r>
    </w:p>
    <w:p w14:paraId="6A8CA507">
      <w:pPr>
        <w:spacing w:before="156" w:beforeLines="50" w:after="156" w:afterLines="50" w:line="360" w:lineRule="auto"/>
        <w:outlineLvl w:val="0"/>
        <w:rPr>
          <w:rFonts w:ascii="仿宋" w:hAnsi="仿宋" w:eastAsia="仿宋"/>
          <w:b/>
          <w:color w:val="000000"/>
          <w:sz w:val="28"/>
          <w:szCs w:val="28"/>
        </w:rPr>
      </w:pPr>
      <w:r>
        <w:rPr>
          <w:rFonts w:hint="eastAsia" w:ascii="仿宋" w:hAnsi="仿宋" w:eastAsia="仿宋"/>
          <w:b/>
          <w:color w:val="000000"/>
          <w:sz w:val="28"/>
          <w:szCs w:val="28"/>
        </w:rPr>
        <w:t>三、</w:t>
      </w:r>
      <w:r>
        <w:rPr>
          <w:rFonts w:ascii="仿宋" w:hAnsi="仿宋" w:eastAsia="仿宋"/>
          <w:b/>
          <w:color w:val="000000"/>
          <w:sz w:val="28"/>
          <w:szCs w:val="28"/>
        </w:rPr>
        <w:t>本次解除限售股份的上市流通安排</w:t>
      </w:r>
    </w:p>
    <w:p w14:paraId="28F414D7">
      <w:pPr>
        <w:ind w:firstLine="560" w:firstLineChars="200"/>
        <w:rPr>
          <w:rFonts w:ascii="仿宋" w:hAnsi="仿宋" w:eastAsia="仿宋"/>
          <w:bCs/>
          <w:color w:val="000000"/>
          <w:sz w:val="28"/>
          <w:szCs w:val="28"/>
        </w:rPr>
      </w:pPr>
      <w:r>
        <w:rPr>
          <w:rFonts w:ascii="仿宋" w:hAnsi="仿宋" w:eastAsia="仿宋"/>
          <w:bCs/>
          <w:color w:val="000000"/>
          <w:sz w:val="28"/>
          <w:szCs w:val="28"/>
        </w:rPr>
        <w:t>（</w:t>
      </w:r>
      <w:r>
        <w:rPr>
          <w:rFonts w:hint="eastAsia" w:ascii="仿宋" w:hAnsi="仿宋" w:eastAsia="仿宋"/>
          <w:bCs/>
          <w:color w:val="000000"/>
          <w:sz w:val="28"/>
          <w:szCs w:val="28"/>
        </w:rPr>
        <w:t>一</w:t>
      </w:r>
      <w:r>
        <w:rPr>
          <w:rFonts w:ascii="仿宋" w:hAnsi="仿宋" w:eastAsia="仿宋"/>
          <w:bCs/>
          <w:color w:val="000000"/>
          <w:sz w:val="28"/>
          <w:szCs w:val="28"/>
        </w:rPr>
        <w:t>）公司本次解除限售股份的上市流通日期为2025年5月12日。</w:t>
      </w:r>
    </w:p>
    <w:p w14:paraId="37C12E80">
      <w:pPr>
        <w:ind w:firstLine="560" w:firstLineChars="200"/>
        <w:rPr>
          <w:rFonts w:ascii="仿宋" w:hAnsi="仿宋" w:eastAsia="仿宋"/>
          <w:bCs/>
          <w:color w:val="000000"/>
          <w:sz w:val="28"/>
          <w:szCs w:val="28"/>
        </w:rPr>
      </w:pPr>
      <w:r>
        <w:rPr>
          <w:rFonts w:ascii="仿宋" w:hAnsi="仿宋" w:eastAsia="仿宋"/>
          <w:bCs/>
          <w:color w:val="000000"/>
          <w:sz w:val="28"/>
          <w:szCs w:val="28"/>
        </w:rPr>
        <w:t>（</w:t>
      </w:r>
      <w:r>
        <w:rPr>
          <w:rFonts w:hint="eastAsia" w:ascii="仿宋" w:hAnsi="仿宋" w:eastAsia="仿宋"/>
          <w:bCs/>
          <w:color w:val="000000"/>
          <w:sz w:val="28"/>
          <w:szCs w:val="28"/>
        </w:rPr>
        <w:t>二</w:t>
      </w:r>
      <w:r>
        <w:rPr>
          <w:rFonts w:ascii="仿宋" w:hAnsi="仿宋" w:eastAsia="仿宋"/>
          <w:bCs/>
          <w:color w:val="000000"/>
          <w:sz w:val="28"/>
          <w:szCs w:val="28"/>
        </w:rPr>
        <w:t>）本次解除限售股份的数量为22,357,944股，占公司股本总额的33.3</w:t>
      </w:r>
      <w:r>
        <w:rPr>
          <w:rFonts w:hint="eastAsia" w:ascii="仿宋" w:hAnsi="仿宋" w:eastAsia="仿宋"/>
          <w:bCs/>
          <w:color w:val="000000"/>
          <w:sz w:val="28"/>
          <w:szCs w:val="28"/>
        </w:rPr>
        <w:t>160</w:t>
      </w:r>
      <w:r>
        <w:rPr>
          <w:rFonts w:ascii="仿宋" w:hAnsi="仿宋" w:eastAsia="仿宋"/>
          <w:bCs/>
          <w:color w:val="000000"/>
          <w:sz w:val="28"/>
          <w:szCs w:val="28"/>
        </w:rPr>
        <w:t>%。</w:t>
      </w:r>
    </w:p>
    <w:p w14:paraId="13373A28">
      <w:pPr>
        <w:ind w:firstLine="560" w:firstLineChars="200"/>
        <w:rPr>
          <w:rFonts w:ascii="仿宋" w:hAnsi="仿宋" w:eastAsia="仿宋"/>
          <w:bCs/>
          <w:color w:val="000000"/>
          <w:sz w:val="28"/>
          <w:szCs w:val="28"/>
        </w:rPr>
      </w:pPr>
      <w:r>
        <w:rPr>
          <w:rFonts w:ascii="仿宋" w:hAnsi="仿宋" w:eastAsia="仿宋"/>
          <w:bCs/>
          <w:color w:val="000000"/>
          <w:sz w:val="28"/>
          <w:szCs w:val="28"/>
        </w:rPr>
        <w:t>（</w:t>
      </w:r>
      <w:r>
        <w:rPr>
          <w:rFonts w:hint="eastAsia" w:ascii="仿宋" w:hAnsi="仿宋" w:eastAsia="仿宋"/>
          <w:bCs/>
          <w:color w:val="000000"/>
          <w:sz w:val="28"/>
          <w:szCs w:val="28"/>
        </w:rPr>
        <w:t>三</w:t>
      </w:r>
      <w:r>
        <w:rPr>
          <w:rFonts w:ascii="仿宋" w:hAnsi="仿宋" w:eastAsia="仿宋"/>
          <w:bCs/>
          <w:color w:val="000000"/>
          <w:sz w:val="28"/>
          <w:szCs w:val="28"/>
        </w:rPr>
        <w:t>）本次解除股份限售股东共计2户。</w:t>
      </w:r>
    </w:p>
    <w:p w14:paraId="51FA75CF">
      <w:pPr>
        <w:ind w:firstLine="560" w:firstLineChars="200"/>
        <w:rPr>
          <w:rFonts w:ascii="仿宋" w:hAnsi="仿宋" w:eastAsia="仿宋"/>
          <w:bCs/>
          <w:color w:val="000000"/>
          <w:sz w:val="28"/>
          <w:szCs w:val="28"/>
        </w:rPr>
      </w:pPr>
      <w:r>
        <w:rPr>
          <w:rFonts w:ascii="仿宋" w:hAnsi="仿宋" w:eastAsia="仿宋"/>
          <w:bCs/>
          <w:color w:val="000000"/>
          <w:sz w:val="28"/>
          <w:szCs w:val="28"/>
        </w:rPr>
        <w:t>（四）本次股份解除限售及上市流通具体情况如下：</w:t>
      </w:r>
    </w:p>
    <w:tbl>
      <w:tblPr>
        <w:tblStyle w:val="7"/>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38"/>
        <w:gridCol w:w="1672"/>
        <w:gridCol w:w="1809"/>
        <w:gridCol w:w="2126"/>
        <w:gridCol w:w="2177"/>
      </w:tblGrid>
      <w:tr w14:paraId="6A020E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33" w:type="pct"/>
            <w:shd w:val="clear" w:color="auto" w:fill="auto"/>
            <w:noWrap/>
            <w:vAlign w:val="center"/>
          </w:tcPr>
          <w:p w14:paraId="70925C3F">
            <w:pPr>
              <w:widowControl/>
              <w:jc w:val="center"/>
              <w:textAlignment w:val="center"/>
              <w:rPr>
                <w:rFonts w:eastAsia="仿宋"/>
                <w:b/>
                <w:bCs/>
                <w:color w:val="000000"/>
                <w:szCs w:val="21"/>
              </w:rPr>
            </w:pPr>
            <w:r>
              <w:rPr>
                <w:rFonts w:eastAsia="仿宋"/>
                <w:b/>
                <w:bCs/>
                <w:color w:val="000000"/>
                <w:kern w:val="0"/>
                <w:szCs w:val="21"/>
                <w:lang w:bidi="ar"/>
              </w:rPr>
              <w:t>序号</w:t>
            </w:r>
          </w:p>
        </w:tc>
        <w:tc>
          <w:tcPr>
            <w:tcW w:w="981" w:type="pct"/>
            <w:shd w:val="clear" w:color="auto" w:fill="auto"/>
            <w:vAlign w:val="center"/>
          </w:tcPr>
          <w:p w14:paraId="7B93605F">
            <w:pPr>
              <w:widowControl/>
              <w:jc w:val="center"/>
              <w:textAlignment w:val="center"/>
              <w:rPr>
                <w:rFonts w:eastAsia="仿宋"/>
                <w:b/>
                <w:bCs/>
                <w:color w:val="000000"/>
                <w:szCs w:val="21"/>
              </w:rPr>
            </w:pPr>
            <w:r>
              <w:rPr>
                <w:rFonts w:eastAsia="仿宋"/>
                <w:b/>
                <w:bCs/>
                <w:color w:val="000000"/>
                <w:kern w:val="0"/>
                <w:szCs w:val="21"/>
                <w:lang w:bidi="ar"/>
              </w:rPr>
              <w:t>股东名称</w:t>
            </w:r>
          </w:p>
        </w:tc>
        <w:tc>
          <w:tcPr>
            <w:tcW w:w="1061" w:type="pct"/>
            <w:shd w:val="clear" w:color="auto" w:fill="auto"/>
            <w:vAlign w:val="center"/>
          </w:tcPr>
          <w:p w14:paraId="779ABC9E">
            <w:pPr>
              <w:widowControl/>
              <w:jc w:val="center"/>
              <w:textAlignment w:val="center"/>
              <w:rPr>
                <w:rFonts w:eastAsia="仿宋"/>
                <w:b/>
                <w:bCs/>
                <w:color w:val="000000"/>
                <w:szCs w:val="21"/>
              </w:rPr>
            </w:pPr>
            <w:r>
              <w:rPr>
                <w:rFonts w:eastAsia="仿宋"/>
                <w:b/>
                <w:bCs/>
                <w:color w:val="000000"/>
                <w:kern w:val="0"/>
                <w:szCs w:val="21"/>
                <w:lang w:bidi="ar"/>
              </w:rPr>
              <w:t>所持限售条件股份总股数（股）</w:t>
            </w:r>
          </w:p>
        </w:tc>
        <w:tc>
          <w:tcPr>
            <w:tcW w:w="1247" w:type="pct"/>
            <w:shd w:val="clear" w:color="auto" w:fill="auto"/>
            <w:vAlign w:val="center"/>
          </w:tcPr>
          <w:p w14:paraId="511500F5">
            <w:pPr>
              <w:widowControl/>
              <w:jc w:val="center"/>
              <w:textAlignment w:val="center"/>
              <w:rPr>
                <w:rFonts w:eastAsia="仿宋"/>
                <w:b/>
                <w:bCs/>
                <w:color w:val="000000"/>
                <w:szCs w:val="21"/>
              </w:rPr>
            </w:pPr>
            <w:r>
              <w:rPr>
                <w:rFonts w:eastAsia="仿宋"/>
                <w:b/>
                <w:bCs/>
                <w:color w:val="000000"/>
                <w:kern w:val="0"/>
                <w:szCs w:val="21"/>
                <w:lang w:bidi="ar"/>
              </w:rPr>
              <w:t>本次申请解除限售数量（股）</w:t>
            </w:r>
          </w:p>
        </w:tc>
        <w:tc>
          <w:tcPr>
            <w:tcW w:w="1277" w:type="pct"/>
            <w:vAlign w:val="center"/>
          </w:tcPr>
          <w:p w14:paraId="218FCFCF">
            <w:pPr>
              <w:widowControl/>
              <w:jc w:val="center"/>
              <w:textAlignment w:val="center"/>
              <w:rPr>
                <w:rFonts w:eastAsia="仿宋"/>
                <w:b/>
                <w:bCs/>
                <w:color w:val="000000"/>
                <w:kern w:val="0"/>
                <w:szCs w:val="21"/>
                <w:lang w:bidi="ar"/>
              </w:rPr>
            </w:pPr>
            <w:r>
              <w:rPr>
                <w:rFonts w:hint="eastAsia" w:eastAsia="仿宋"/>
                <w:b/>
                <w:bCs/>
                <w:color w:val="000000"/>
                <w:kern w:val="0"/>
                <w:szCs w:val="21"/>
                <w:lang w:bidi="ar"/>
              </w:rPr>
              <w:t>本次实际可上市流通股份数量（股）</w:t>
            </w:r>
          </w:p>
        </w:tc>
      </w:tr>
      <w:tr w14:paraId="127B78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33" w:type="pct"/>
            <w:shd w:val="clear" w:color="auto" w:fill="auto"/>
            <w:vAlign w:val="center"/>
          </w:tcPr>
          <w:p w14:paraId="3457FE4F">
            <w:pPr>
              <w:widowControl/>
              <w:jc w:val="center"/>
              <w:textAlignment w:val="center"/>
              <w:rPr>
                <w:rFonts w:eastAsia="仿宋"/>
                <w:color w:val="000000"/>
                <w:kern w:val="0"/>
                <w:szCs w:val="21"/>
                <w:lang w:bidi="ar"/>
              </w:rPr>
            </w:pPr>
            <w:r>
              <w:rPr>
                <w:rFonts w:eastAsia="仿宋"/>
                <w:color w:val="000000"/>
                <w:kern w:val="0"/>
                <w:szCs w:val="21"/>
                <w:lang w:bidi="ar"/>
              </w:rPr>
              <w:t>1</w:t>
            </w:r>
          </w:p>
        </w:tc>
        <w:tc>
          <w:tcPr>
            <w:tcW w:w="981" w:type="pct"/>
            <w:shd w:val="clear" w:color="auto" w:fill="auto"/>
            <w:vAlign w:val="center"/>
          </w:tcPr>
          <w:p w14:paraId="027445B8">
            <w:pPr>
              <w:widowControl/>
              <w:jc w:val="center"/>
              <w:textAlignment w:val="center"/>
              <w:rPr>
                <w:rFonts w:eastAsia="仿宋"/>
                <w:color w:val="000000"/>
                <w:kern w:val="0"/>
                <w:szCs w:val="21"/>
                <w:lang w:bidi="ar"/>
              </w:rPr>
            </w:pPr>
            <w:r>
              <w:rPr>
                <w:rFonts w:eastAsia="仿宋"/>
                <w:color w:val="000000"/>
                <w:kern w:val="0"/>
                <w:szCs w:val="21"/>
                <w:lang w:bidi="ar"/>
              </w:rPr>
              <w:t>林明玲</w:t>
            </w:r>
          </w:p>
        </w:tc>
        <w:tc>
          <w:tcPr>
            <w:tcW w:w="1061" w:type="pct"/>
            <w:shd w:val="clear" w:color="auto" w:fill="auto"/>
            <w:vAlign w:val="center"/>
          </w:tcPr>
          <w:p w14:paraId="65524297">
            <w:pPr>
              <w:widowControl/>
              <w:jc w:val="right"/>
              <w:textAlignment w:val="center"/>
              <w:rPr>
                <w:rFonts w:eastAsia="仿宋"/>
                <w:color w:val="000000"/>
                <w:szCs w:val="21"/>
              </w:rPr>
            </w:pPr>
            <w:r>
              <w:rPr>
                <w:rFonts w:eastAsia="仿宋"/>
                <w:color w:val="000000"/>
                <w:kern w:val="0"/>
                <w:szCs w:val="21"/>
                <w:lang w:bidi="ar"/>
              </w:rPr>
              <w:t>19,327,824</w:t>
            </w:r>
          </w:p>
        </w:tc>
        <w:tc>
          <w:tcPr>
            <w:tcW w:w="1247" w:type="pct"/>
            <w:shd w:val="clear" w:color="auto" w:fill="auto"/>
            <w:vAlign w:val="center"/>
          </w:tcPr>
          <w:p w14:paraId="7EB0F936">
            <w:pPr>
              <w:widowControl/>
              <w:jc w:val="right"/>
              <w:textAlignment w:val="center"/>
              <w:rPr>
                <w:rFonts w:eastAsia="仿宋"/>
                <w:color w:val="000000"/>
                <w:szCs w:val="21"/>
              </w:rPr>
            </w:pPr>
            <w:r>
              <w:rPr>
                <w:rFonts w:eastAsia="仿宋"/>
                <w:color w:val="000000"/>
                <w:kern w:val="0"/>
                <w:szCs w:val="21"/>
                <w:lang w:bidi="ar"/>
              </w:rPr>
              <w:t>18,751,824</w:t>
            </w:r>
          </w:p>
        </w:tc>
        <w:tc>
          <w:tcPr>
            <w:tcW w:w="1277" w:type="pct"/>
            <w:vAlign w:val="center"/>
          </w:tcPr>
          <w:p w14:paraId="70E97CED">
            <w:pPr>
              <w:widowControl/>
              <w:jc w:val="right"/>
              <w:textAlignment w:val="center"/>
              <w:rPr>
                <w:rFonts w:eastAsia="仿宋"/>
                <w:color w:val="000000"/>
                <w:kern w:val="0"/>
                <w:szCs w:val="21"/>
                <w:lang w:bidi="ar"/>
              </w:rPr>
            </w:pPr>
            <w:r>
              <w:rPr>
                <w:color w:val="000000"/>
                <w:szCs w:val="21"/>
              </w:rPr>
              <w:t>4,831,956</w:t>
            </w:r>
          </w:p>
        </w:tc>
      </w:tr>
      <w:tr w14:paraId="7E17BB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433" w:type="pct"/>
            <w:shd w:val="clear" w:color="auto" w:fill="auto"/>
            <w:vAlign w:val="center"/>
          </w:tcPr>
          <w:p w14:paraId="1BE11217">
            <w:pPr>
              <w:widowControl/>
              <w:jc w:val="center"/>
              <w:textAlignment w:val="center"/>
              <w:rPr>
                <w:rFonts w:eastAsia="仿宋"/>
                <w:color w:val="000000"/>
                <w:kern w:val="0"/>
                <w:szCs w:val="21"/>
                <w:lang w:bidi="ar"/>
              </w:rPr>
            </w:pPr>
            <w:r>
              <w:rPr>
                <w:rFonts w:eastAsia="仿宋"/>
                <w:color w:val="000000"/>
                <w:kern w:val="0"/>
                <w:szCs w:val="21"/>
                <w:lang w:bidi="ar"/>
              </w:rPr>
              <w:t>2</w:t>
            </w:r>
          </w:p>
        </w:tc>
        <w:tc>
          <w:tcPr>
            <w:tcW w:w="981" w:type="pct"/>
            <w:shd w:val="clear" w:color="auto" w:fill="auto"/>
            <w:vAlign w:val="center"/>
          </w:tcPr>
          <w:p w14:paraId="14632762">
            <w:pPr>
              <w:widowControl/>
              <w:jc w:val="center"/>
              <w:textAlignment w:val="center"/>
              <w:rPr>
                <w:rFonts w:eastAsia="仿宋"/>
                <w:color w:val="000000"/>
                <w:kern w:val="0"/>
                <w:szCs w:val="21"/>
                <w:lang w:bidi="ar"/>
              </w:rPr>
            </w:pPr>
            <w:r>
              <w:rPr>
                <w:rFonts w:eastAsia="仿宋"/>
                <w:color w:val="000000"/>
                <w:kern w:val="0"/>
                <w:szCs w:val="21"/>
                <w:lang w:bidi="ar"/>
              </w:rPr>
              <w:t>马学沛</w:t>
            </w:r>
          </w:p>
        </w:tc>
        <w:tc>
          <w:tcPr>
            <w:tcW w:w="1061" w:type="pct"/>
            <w:shd w:val="clear" w:color="auto" w:fill="auto"/>
            <w:vAlign w:val="center"/>
          </w:tcPr>
          <w:p w14:paraId="67DA0664">
            <w:pPr>
              <w:widowControl/>
              <w:jc w:val="right"/>
              <w:textAlignment w:val="center"/>
              <w:rPr>
                <w:rFonts w:eastAsia="仿宋"/>
                <w:color w:val="000000"/>
                <w:szCs w:val="21"/>
              </w:rPr>
            </w:pPr>
            <w:r>
              <w:rPr>
                <w:rFonts w:eastAsia="仿宋"/>
                <w:color w:val="000000"/>
                <w:kern w:val="0"/>
                <w:szCs w:val="21"/>
                <w:lang w:bidi="ar"/>
              </w:rPr>
              <w:t>4,182,120</w:t>
            </w:r>
          </w:p>
        </w:tc>
        <w:tc>
          <w:tcPr>
            <w:tcW w:w="1247" w:type="pct"/>
            <w:shd w:val="clear" w:color="auto" w:fill="auto"/>
            <w:vAlign w:val="center"/>
          </w:tcPr>
          <w:p w14:paraId="765D42C7">
            <w:pPr>
              <w:widowControl/>
              <w:jc w:val="right"/>
              <w:textAlignment w:val="center"/>
              <w:rPr>
                <w:rFonts w:eastAsia="仿宋"/>
                <w:color w:val="000000"/>
                <w:szCs w:val="21"/>
              </w:rPr>
            </w:pPr>
            <w:r>
              <w:rPr>
                <w:rFonts w:eastAsia="仿宋"/>
                <w:color w:val="000000"/>
                <w:kern w:val="0"/>
                <w:szCs w:val="21"/>
                <w:lang w:bidi="ar"/>
              </w:rPr>
              <w:t>3,606,120</w:t>
            </w:r>
          </w:p>
        </w:tc>
        <w:tc>
          <w:tcPr>
            <w:tcW w:w="1277" w:type="pct"/>
            <w:vAlign w:val="center"/>
          </w:tcPr>
          <w:p w14:paraId="3AB5F127">
            <w:pPr>
              <w:widowControl/>
              <w:jc w:val="right"/>
              <w:textAlignment w:val="center"/>
              <w:rPr>
                <w:rFonts w:eastAsia="仿宋"/>
                <w:color w:val="000000"/>
                <w:szCs w:val="21"/>
              </w:rPr>
            </w:pPr>
            <w:r>
              <w:rPr>
                <w:color w:val="000000"/>
                <w:szCs w:val="21"/>
              </w:rPr>
              <w:t>1,045,530</w:t>
            </w:r>
          </w:p>
        </w:tc>
      </w:tr>
      <w:tr w14:paraId="7B9AB0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 w:hRule="atLeast"/>
          <w:jc w:val="center"/>
        </w:trPr>
        <w:tc>
          <w:tcPr>
            <w:tcW w:w="1414" w:type="pct"/>
            <w:gridSpan w:val="2"/>
            <w:shd w:val="clear" w:color="auto" w:fill="auto"/>
            <w:noWrap/>
            <w:vAlign w:val="center"/>
          </w:tcPr>
          <w:p w14:paraId="72BC6D96">
            <w:pPr>
              <w:widowControl/>
              <w:jc w:val="center"/>
              <w:textAlignment w:val="center"/>
              <w:rPr>
                <w:rFonts w:eastAsia="仿宋"/>
                <w:color w:val="000000"/>
                <w:szCs w:val="21"/>
              </w:rPr>
            </w:pPr>
            <w:r>
              <w:rPr>
                <w:rFonts w:eastAsia="仿宋"/>
                <w:color w:val="000000"/>
                <w:kern w:val="0"/>
                <w:szCs w:val="21"/>
                <w:lang w:bidi="ar"/>
              </w:rPr>
              <w:t>合计</w:t>
            </w:r>
          </w:p>
        </w:tc>
        <w:tc>
          <w:tcPr>
            <w:tcW w:w="1061" w:type="pct"/>
            <w:shd w:val="clear" w:color="auto" w:fill="auto"/>
            <w:vAlign w:val="center"/>
          </w:tcPr>
          <w:p w14:paraId="2EC8CD46">
            <w:pPr>
              <w:widowControl/>
              <w:jc w:val="right"/>
              <w:textAlignment w:val="center"/>
              <w:rPr>
                <w:rFonts w:eastAsia="仿宋"/>
                <w:color w:val="000000"/>
                <w:szCs w:val="21"/>
              </w:rPr>
            </w:pPr>
            <w:r>
              <w:rPr>
                <w:rFonts w:eastAsia="仿宋"/>
                <w:color w:val="000000"/>
                <w:kern w:val="0"/>
                <w:szCs w:val="21"/>
                <w:lang w:bidi="ar"/>
              </w:rPr>
              <w:t>23,509,944</w:t>
            </w:r>
          </w:p>
        </w:tc>
        <w:tc>
          <w:tcPr>
            <w:tcW w:w="1247" w:type="pct"/>
            <w:shd w:val="clear" w:color="auto" w:fill="auto"/>
            <w:vAlign w:val="center"/>
          </w:tcPr>
          <w:p w14:paraId="17489F66">
            <w:pPr>
              <w:widowControl/>
              <w:jc w:val="right"/>
              <w:textAlignment w:val="center"/>
              <w:rPr>
                <w:rFonts w:eastAsia="仿宋"/>
                <w:color w:val="000000"/>
                <w:szCs w:val="21"/>
              </w:rPr>
            </w:pPr>
            <w:r>
              <w:rPr>
                <w:rFonts w:eastAsia="仿宋"/>
                <w:color w:val="000000"/>
                <w:kern w:val="0"/>
                <w:szCs w:val="21"/>
                <w:lang w:bidi="ar"/>
              </w:rPr>
              <w:t>22,357,944</w:t>
            </w:r>
          </w:p>
        </w:tc>
        <w:tc>
          <w:tcPr>
            <w:tcW w:w="1277" w:type="pct"/>
            <w:vAlign w:val="center"/>
          </w:tcPr>
          <w:p w14:paraId="7036767A">
            <w:pPr>
              <w:widowControl/>
              <w:jc w:val="right"/>
              <w:textAlignment w:val="center"/>
              <w:rPr>
                <w:rFonts w:eastAsia="仿宋"/>
                <w:color w:val="000000"/>
                <w:szCs w:val="21"/>
              </w:rPr>
            </w:pPr>
            <w:r>
              <w:rPr>
                <w:rFonts w:eastAsia="仿宋"/>
                <w:color w:val="000000"/>
                <w:szCs w:val="21"/>
              </w:rPr>
              <w:t>5,877,486</w:t>
            </w:r>
          </w:p>
        </w:tc>
      </w:tr>
    </w:tbl>
    <w:p w14:paraId="3DE9B734">
      <w:pPr>
        <w:spacing w:line="360" w:lineRule="auto"/>
        <w:ind w:firstLine="480" w:firstLineChars="200"/>
        <w:rPr>
          <w:rFonts w:ascii="仿宋" w:hAnsi="仿宋" w:eastAsia="仿宋"/>
          <w:bCs/>
          <w:color w:val="000000"/>
          <w:sz w:val="24"/>
          <w:szCs w:val="24"/>
        </w:rPr>
      </w:pPr>
      <w:r>
        <w:rPr>
          <w:rFonts w:hint="eastAsia" w:ascii="仿宋" w:hAnsi="仿宋" w:eastAsia="仿宋"/>
          <w:bCs/>
          <w:color w:val="000000"/>
          <w:sz w:val="24"/>
          <w:szCs w:val="24"/>
        </w:rPr>
        <w:t>注1：截至本报告出具之日，本次申请解除限售的股份中，林明玲所持限售股份中质押冻结5,180,000股，马学沛所持限售股份中质押冻结3,600,000股。</w:t>
      </w:r>
    </w:p>
    <w:p w14:paraId="205D4BA5">
      <w:pPr>
        <w:spacing w:line="360" w:lineRule="auto"/>
        <w:ind w:firstLine="480" w:firstLineChars="200"/>
        <w:rPr>
          <w:rFonts w:hint="eastAsia" w:ascii="仿宋" w:hAnsi="仿宋" w:eastAsia="仿宋"/>
          <w:bCs/>
          <w:color w:val="000000"/>
          <w:sz w:val="24"/>
          <w:szCs w:val="24"/>
        </w:rPr>
      </w:pPr>
      <w:r>
        <w:rPr>
          <w:rFonts w:hint="eastAsia" w:ascii="仿宋" w:hAnsi="仿宋" w:eastAsia="仿宋"/>
          <w:bCs/>
          <w:color w:val="000000"/>
          <w:sz w:val="24"/>
          <w:szCs w:val="24"/>
        </w:rPr>
        <w:t>注2：公司本次解除限售股份的股东中，林明玲担任公司董事长，马学沛担任公司副董事长、总经理。根据相关规定及股东承诺，担任公司董事、监事、高级管理人员期间（离职后六个月内不转让其直接或者间接持有的公司股份；若本人在任期届满前离职，在本人就任时确定的任期内和任期届满后六个月内），每年可转让的股份不超过本人所持有公司股份总数的25%。本次解除限售办理登记后由结算公司系统根据规定进行锁定股份。</w:t>
      </w:r>
    </w:p>
    <w:p w14:paraId="265141E7">
      <w:pPr>
        <w:spacing w:before="156" w:beforeLines="50" w:after="156" w:afterLines="50" w:line="360" w:lineRule="auto"/>
        <w:outlineLvl w:val="0"/>
        <w:rPr>
          <w:rFonts w:ascii="仿宋" w:hAnsi="仿宋" w:eastAsia="仿宋"/>
          <w:bCs/>
          <w:color w:val="000000"/>
          <w:sz w:val="28"/>
          <w:szCs w:val="28"/>
        </w:rPr>
      </w:pPr>
      <w:r>
        <w:rPr>
          <w:rFonts w:hint="eastAsia" w:ascii="仿宋" w:hAnsi="仿宋" w:eastAsia="仿宋"/>
          <w:b/>
          <w:color w:val="000000"/>
          <w:sz w:val="28"/>
          <w:szCs w:val="28"/>
        </w:rPr>
        <w:t>四、本次股份上市流通前后公司股本的变动情况</w:t>
      </w:r>
    </w:p>
    <w:tbl>
      <w:tblPr>
        <w:tblStyle w:val="7"/>
        <w:tblW w:w="4998" w:type="pct"/>
        <w:jc w:val="center"/>
        <w:tblLayout w:type="autofit"/>
        <w:tblCellMar>
          <w:top w:w="0" w:type="dxa"/>
          <w:left w:w="108" w:type="dxa"/>
          <w:bottom w:w="0" w:type="dxa"/>
          <w:right w:w="108" w:type="dxa"/>
        </w:tblCellMar>
      </w:tblPr>
      <w:tblGrid>
        <w:gridCol w:w="2072"/>
        <w:gridCol w:w="1506"/>
        <w:gridCol w:w="1068"/>
        <w:gridCol w:w="1598"/>
        <w:gridCol w:w="1309"/>
        <w:gridCol w:w="966"/>
      </w:tblGrid>
      <w:tr w14:paraId="3F09A41F">
        <w:tblPrEx>
          <w:tblCellMar>
            <w:top w:w="0" w:type="dxa"/>
            <w:left w:w="108" w:type="dxa"/>
            <w:bottom w:w="0" w:type="dxa"/>
            <w:right w:w="108" w:type="dxa"/>
          </w:tblCellMar>
        </w:tblPrEx>
        <w:trPr>
          <w:trHeight w:val="345" w:hRule="atLeast"/>
          <w:jc w:val="center"/>
        </w:trPr>
        <w:tc>
          <w:tcPr>
            <w:tcW w:w="12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0AC6C6">
            <w:pPr>
              <w:widowControl/>
              <w:jc w:val="center"/>
              <w:textAlignment w:val="center"/>
              <w:rPr>
                <w:rFonts w:eastAsia="仿宋"/>
                <w:b/>
                <w:color w:val="000000"/>
                <w:sz w:val="20"/>
              </w:rPr>
            </w:pPr>
            <w:r>
              <w:rPr>
                <w:rStyle w:val="17"/>
                <w:rFonts w:ascii="Times New Roman" w:hAnsi="Times New Roman" w:eastAsia="仿宋" w:cs="Times New Roman"/>
                <w:bCs w:val="0"/>
                <w:lang w:bidi="ar"/>
              </w:rPr>
              <w:t>股份性质</w:t>
            </w:r>
          </w:p>
        </w:tc>
        <w:tc>
          <w:tcPr>
            <w:tcW w:w="1511" w:type="pct"/>
            <w:gridSpan w:val="2"/>
            <w:tcBorders>
              <w:top w:val="single" w:color="000000" w:sz="4" w:space="0"/>
              <w:left w:val="single" w:color="000000" w:sz="4" w:space="0"/>
              <w:bottom w:val="single" w:color="000000" w:sz="4" w:space="0"/>
              <w:right w:val="single" w:color="000000" w:sz="4" w:space="0"/>
            </w:tcBorders>
            <w:shd w:val="clear" w:color="auto" w:fill="auto"/>
          </w:tcPr>
          <w:p w14:paraId="4B515F0F">
            <w:pPr>
              <w:widowControl/>
              <w:jc w:val="center"/>
              <w:textAlignment w:val="top"/>
              <w:rPr>
                <w:rFonts w:eastAsia="仿宋"/>
                <w:b/>
                <w:color w:val="000000"/>
                <w:sz w:val="20"/>
              </w:rPr>
            </w:pPr>
            <w:r>
              <w:rPr>
                <w:rFonts w:eastAsia="仿宋"/>
                <w:b/>
                <w:color w:val="000000"/>
                <w:kern w:val="0"/>
                <w:sz w:val="20"/>
                <w:lang w:bidi="ar"/>
              </w:rPr>
              <w:t>本次变动前</w:t>
            </w:r>
          </w:p>
        </w:tc>
        <w:tc>
          <w:tcPr>
            <w:tcW w:w="9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91A65D">
            <w:pPr>
              <w:widowControl/>
              <w:jc w:val="center"/>
              <w:textAlignment w:val="center"/>
              <w:rPr>
                <w:rFonts w:eastAsia="仿宋"/>
                <w:b/>
                <w:color w:val="000000"/>
                <w:sz w:val="20"/>
              </w:rPr>
            </w:pPr>
            <w:r>
              <w:rPr>
                <w:rFonts w:eastAsia="仿宋"/>
                <w:b/>
                <w:color w:val="000000"/>
                <w:kern w:val="0"/>
                <w:sz w:val="20"/>
                <w:lang w:bidi="ar"/>
              </w:rPr>
              <w:t>本次增减变动（股）</w:t>
            </w:r>
          </w:p>
        </w:tc>
        <w:tc>
          <w:tcPr>
            <w:tcW w:w="1335" w:type="pct"/>
            <w:gridSpan w:val="2"/>
            <w:tcBorders>
              <w:top w:val="single" w:color="000000" w:sz="4" w:space="0"/>
              <w:left w:val="single" w:color="000000" w:sz="4" w:space="0"/>
              <w:bottom w:val="single" w:color="000000" w:sz="4" w:space="0"/>
              <w:right w:val="single" w:color="000000" w:sz="4" w:space="0"/>
            </w:tcBorders>
            <w:shd w:val="clear" w:color="auto" w:fill="auto"/>
          </w:tcPr>
          <w:p w14:paraId="03230E58">
            <w:pPr>
              <w:widowControl/>
              <w:jc w:val="center"/>
              <w:textAlignment w:val="top"/>
              <w:rPr>
                <w:rFonts w:eastAsia="仿宋"/>
                <w:b/>
                <w:color w:val="000000"/>
                <w:sz w:val="20"/>
              </w:rPr>
            </w:pPr>
            <w:r>
              <w:rPr>
                <w:rFonts w:eastAsia="仿宋"/>
                <w:b/>
                <w:color w:val="000000"/>
                <w:kern w:val="0"/>
                <w:sz w:val="20"/>
                <w:lang w:bidi="ar"/>
              </w:rPr>
              <w:t>本次变动后</w:t>
            </w:r>
          </w:p>
        </w:tc>
      </w:tr>
      <w:tr w14:paraId="40D114AE">
        <w:tblPrEx>
          <w:tblCellMar>
            <w:top w:w="0" w:type="dxa"/>
            <w:left w:w="108" w:type="dxa"/>
            <w:bottom w:w="0" w:type="dxa"/>
            <w:right w:w="108" w:type="dxa"/>
          </w:tblCellMar>
        </w:tblPrEx>
        <w:trPr>
          <w:trHeight w:val="353" w:hRule="atLeast"/>
          <w:jc w:val="center"/>
        </w:trPr>
        <w:tc>
          <w:tcPr>
            <w:tcW w:w="1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BA54F">
            <w:pPr>
              <w:jc w:val="center"/>
              <w:rPr>
                <w:rFonts w:eastAsia="仿宋"/>
                <w:color w:val="000000"/>
                <w:sz w:val="20"/>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68D54">
            <w:pPr>
              <w:widowControl/>
              <w:jc w:val="center"/>
              <w:textAlignment w:val="center"/>
              <w:rPr>
                <w:rFonts w:eastAsia="仿宋"/>
                <w:b/>
                <w:color w:val="000000"/>
                <w:sz w:val="20"/>
              </w:rPr>
            </w:pPr>
            <w:r>
              <w:rPr>
                <w:rStyle w:val="17"/>
                <w:rFonts w:ascii="Times New Roman" w:hAnsi="Times New Roman" w:eastAsia="仿宋" w:cs="Times New Roman"/>
                <w:bCs w:val="0"/>
                <w:lang w:bidi="ar"/>
              </w:rPr>
              <w:t>数量（股）</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F41F4">
            <w:pPr>
              <w:widowControl/>
              <w:jc w:val="center"/>
              <w:textAlignment w:val="center"/>
              <w:rPr>
                <w:rFonts w:eastAsia="仿宋"/>
                <w:b/>
                <w:color w:val="000000"/>
                <w:sz w:val="20"/>
              </w:rPr>
            </w:pPr>
            <w:r>
              <w:rPr>
                <w:rStyle w:val="17"/>
                <w:rFonts w:ascii="Times New Roman" w:hAnsi="Times New Roman" w:eastAsia="仿宋" w:cs="Times New Roman"/>
                <w:bCs w:val="0"/>
                <w:lang w:bidi="ar"/>
              </w:rPr>
              <w:t>比例%</w:t>
            </w:r>
          </w:p>
        </w:tc>
        <w:tc>
          <w:tcPr>
            <w:tcW w:w="9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0A806">
            <w:pPr>
              <w:jc w:val="center"/>
              <w:rPr>
                <w:rFonts w:eastAsia="仿宋"/>
                <w:b/>
                <w:color w:val="000000"/>
                <w:sz w:val="20"/>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02E7D">
            <w:pPr>
              <w:widowControl/>
              <w:jc w:val="center"/>
              <w:textAlignment w:val="center"/>
              <w:rPr>
                <w:rFonts w:eastAsia="仿宋"/>
                <w:b/>
                <w:color w:val="000000"/>
                <w:sz w:val="20"/>
              </w:rPr>
            </w:pPr>
            <w:r>
              <w:rPr>
                <w:rStyle w:val="17"/>
                <w:rFonts w:ascii="Times New Roman" w:hAnsi="Times New Roman" w:eastAsia="仿宋" w:cs="Times New Roman"/>
                <w:bCs w:val="0"/>
                <w:lang w:bidi="ar"/>
              </w:rPr>
              <w:t>数量（股）</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0DD0A">
            <w:pPr>
              <w:widowControl/>
              <w:jc w:val="center"/>
              <w:textAlignment w:val="center"/>
              <w:rPr>
                <w:rFonts w:eastAsia="仿宋"/>
                <w:b/>
                <w:color w:val="000000"/>
                <w:sz w:val="20"/>
              </w:rPr>
            </w:pPr>
            <w:r>
              <w:rPr>
                <w:rStyle w:val="17"/>
                <w:rFonts w:ascii="Times New Roman" w:hAnsi="Times New Roman" w:eastAsia="仿宋" w:cs="Times New Roman"/>
                <w:bCs w:val="0"/>
                <w:lang w:bidi="ar"/>
              </w:rPr>
              <w:t>比例%</w:t>
            </w:r>
          </w:p>
        </w:tc>
      </w:tr>
      <w:tr w14:paraId="23237148">
        <w:tblPrEx>
          <w:tblCellMar>
            <w:top w:w="0" w:type="dxa"/>
            <w:left w:w="108" w:type="dxa"/>
            <w:bottom w:w="0" w:type="dxa"/>
            <w:right w:w="108" w:type="dxa"/>
          </w:tblCellMar>
        </w:tblPrEx>
        <w:trPr>
          <w:trHeight w:val="405"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4D978">
            <w:pPr>
              <w:widowControl/>
              <w:jc w:val="left"/>
              <w:textAlignment w:val="center"/>
              <w:rPr>
                <w:rFonts w:eastAsia="仿宋"/>
                <w:color w:val="000000"/>
                <w:sz w:val="20"/>
              </w:rPr>
            </w:pPr>
            <w:r>
              <w:rPr>
                <w:rStyle w:val="17"/>
                <w:rFonts w:ascii="Times New Roman" w:hAnsi="Times New Roman" w:eastAsia="仿宋" w:cs="Times New Roman"/>
                <w:b w:val="0"/>
                <w:bCs w:val="0"/>
                <w:lang w:bidi="ar"/>
              </w:rPr>
              <w:t>一、限售条件流通股/非流通股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AA1E1">
            <w:pPr>
              <w:widowControl/>
              <w:jc w:val="right"/>
              <w:textAlignment w:val="center"/>
              <w:rPr>
                <w:rFonts w:eastAsia="仿宋"/>
                <w:color w:val="000000"/>
                <w:sz w:val="20"/>
              </w:rPr>
            </w:pPr>
            <w:r>
              <w:rPr>
                <w:rFonts w:eastAsia="仿宋"/>
                <w:color w:val="000000"/>
                <w:sz w:val="20"/>
              </w:rPr>
              <w:t>23,509,944</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351E2">
            <w:pPr>
              <w:widowControl/>
              <w:jc w:val="right"/>
              <w:textAlignment w:val="center"/>
              <w:rPr>
                <w:rFonts w:eastAsia="仿宋"/>
                <w:color w:val="000000"/>
                <w:sz w:val="20"/>
              </w:rPr>
            </w:pPr>
            <w:r>
              <w:rPr>
                <w:rFonts w:eastAsia="仿宋"/>
                <w:color w:val="000000"/>
                <w:sz w:val="20"/>
              </w:rPr>
              <w:t>35.0326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5E7D2">
            <w:pPr>
              <w:widowControl/>
              <w:jc w:val="right"/>
              <w:textAlignment w:val="center"/>
              <w:rPr>
                <w:rFonts w:eastAsia="仿宋"/>
                <w:color w:val="000000"/>
                <w:sz w:val="20"/>
              </w:rPr>
            </w:pPr>
            <w:r>
              <w:rPr>
                <w:rFonts w:hint="eastAsia" w:eastAsia="仿宋"/>
                <w:color w:val="000000"/>
                <w:sz w:val="20"/>
              </w:rPr>
              <w:t>-5,877,486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1B990">
            <w:pPr>
              <w:widowControl/>
              <w:jc w:val="right"/>
              <w:textAlignment w:val="top"/>
              <w:rPr>
                <w:rFonts w:eastAsia="仿宋"/>
                <w:color w:val="000000"/>
                <w:sz w:val="20"/>
              </w:rPr>
            </w:pPr>
            <w:r>
              <w:rPr>
                <w:rFonts w:hint="eastAsia" w:eastAsia="仿宋"/>
                <w:color w:val="000000"/>
                <w:sz w:val="20"/>
              </w:rPr>
              <w:t>17,632,458</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5C2AE">
            <w:pPr>
              <w:widowControl/>
              <w:jc w:val="right"/>
              <w:textAlignment w:val="top"/>
              <w:rPr>
                <w:rFonts w:eastAsia="仿宋"/>
                <w:color w:val="000000"/>
                <w:sz w:val="20"/>
              </w:rPr>
            </w:pPr>
            <w:r>
              <w:rPr>
                <w:rFonts w:hint="eastAsia" w:eastAsia="仿宋"/>
                <w:color w:val="000000"/>
                <w:sz w:val="20"/>
              </w:rPr>
              <w:t>26.2744</w:t>
            </w:r>
          </w:p>
        </w:tc>
      </w:tr>
      <w:tr w14:paraId="1BDDBCAA">
        <w:tblPrEx>
          <w:tblCellMar>
            <w:top w:w="0" w:type="dxa"/>
            <w:left w:w="108" w:type="dxa"/>
            <w:bottom w:w="0" w:type="dxa"/>
            <w:right w:w="108" w:type="dxa"/>
          </w:tblCellMar>
        </w:tblPrEx>
        <w:trPr>
          <w:trHeight w:val="405"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A74EF">
            <w:pPr>
              <w:widowControl/>
              <w:jc w:val="right"/>
              <w:textAlignment w:val="center"/>
              <w:rPr>
                <w:rFonts w:eastAsia="仿宋"/>
                <w:color w:val="000000"/>
                <w:sz w:val="20"/>
              </w:rPr>
            </w:pPr>
            <w:r>
              <w:rPr>
                <w:rStyle w:val="18"/>
                <w:rFonts w:hint="default" w:ascii="Times New Roman" w:hAnsi="Times New Roman" w:eastAsia="仿宋" w:cs="Times New Roman"/>
                <w:lang w:bidi="ar"/>
              </w:rPr>
              <w:t>高管锁定股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8887A">
            <w:pPr>
              <w:widowControl/>
              <w:jc w:val="right"/>
              <w:textAlignment w:val="center"/>
              <w:rPr>
                <w:rFonts w:eastAsia="仿宋"/>
                <w:color w:val="000000"/>
                <w:sz w:val="20"/>
              </w:rPr>
            </w:pPr>
            <w:r>
              <w:rPr>
                <w:rFonts w:eastAsia="仿宋"/>
                <w:color w:val="000000"/>
                <w:sz w:val="20"/>
              </w:rPr>
              <w:t>0</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522F8">
            <w:pPr>
              <w:widowControl/>
              <w:jc w:val="right"/>
              <w:textAlignment w:val="center"/>
              <w:rPr>
                <w:rFonts w:eastAsia="仿宋"/>
                <w:color w:val="000000"/>
                <w:sz w:val="20"/>
              </w:rPr>
            </w:pPr>
            <w:r>
              <w:rPr>
                <w:rFonts w:eastAsia="仿宋"/>
                <w:color w:val="000000"/>
                <w:sz w:val="20"/>
              </w:rPr>
              <w:t>0.0000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7610D">
            <w:pPr>
              <w:widowControl/>
              <w:jc w:val="right"/>
              <w:textAlignment w:val="center"/>
              <w:rPr>
                <w:rFonts w:eastAsia="仿宋"/>
                <w:color w:val="000000"/>
                <w:sz w:val="20"/>
              </w:rPr>
            </w:pPr>
            <w:r>
              <w:rPr>
                <w:rFonts w:hint="eastAsia" w:eastAsia="仿宋"/>
                <w:color w:val="000000"/>
                <w:sz w:val="20"/>
              </w:rPr>
              <w:t>16,480,458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341B5">
            <w:pPr>
              <w:widowControl/>
              <w:jc w:val="right"/>
              <w:textAlignment w:val="center"/>
              <w:rPr>
                <w:rFonts w:eastAsia="仿宋"/>
                <w:color w:val="000000"/>
                <w:sz w:val="20"/>
              </w:rPr>
            </w:pPr>
            <w:r>
              <w:rPr>
                <w:rFonts w:hint="eastAsia" w:eastAsia="仿宋"/>
                <w:color w:val="000000"/>
                <w:sz w:val="20"/>
              </w:rPr>
              <w:t>16,480,458</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C5B8E">
            <w:pPr>
              <w:widowControl/>
              <w:jc w:val="right"/>
              <w:textAlignment w:val="center"/>
              <w:rPr>
                <w:rFonts w:eastAsia="仿宋"/>
                <w:color w:val="000000"/>
                <w:sz w:val="20"/>
              </w:rPr>
            </w:pPr>
            <w:r>
              <w:rPr>
                <w:rFonts w:hint="eastAsia" w:eastAsia="仿宋"/>
                <w:color w:val="000000"/>
                <w:sz w:val="20"/>
              </w:rPr>
              <w:t>24.5578</w:t>
            </w:r>
          </w:p>
        </w:tc>
      </w:tr>
      <w:tr w14:paraId="1150B167">
        <w:tblPrEx>
          <w:tblCellMar>
            <w:top w:w="0" w:type="dxa"/>
            <w:left w:w="108" w:type="dxa"/>
            <w:bottom w:w="0" w:type="dxa"/>
            <w:right w:w="108" w:type="dxa"/>
          </w:tblCellMar>
        </w:tblPrEx>
        <w:trPr>
          <w:trHeight w:val="405"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25644">
            <w:pPr>
              <w:widowControl/>
              <w:jc w:val="right"/>
              <w:textAlignment w:val="center"/>
              <w:rPr>
                <w:rFonts w:eastAsia="仿宋"/>
                <w:color w:val="000000"/>
                <w:sz w:val="20"/>
              </w:rPr>
            </w:pPr>
            <w:r>
              <w:rPr>
                <w:rStyle w:val="18"/>
                <w:rFonts w:hint="default" w:ascii="Times New Roman" w:hAnsi="Times New Roman" w:eastAsia="仿宋" w:cs="Times New Roman"/>
                <w:lang w:bidi="ar"/>
              </w:rPr>
              <w:t>股权激励限售股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80BDD">
            <w:pPr>
              <w:widowControl/>
              <w:jc w:val="right"/>
              <w:textAlignment w:val="center"/>
              <w:rPr>
                <w:rFonts w:eastAsia="仿宋"/>
                <w:color w:val="000000"/>
                <w:sz w:val="20"/>
              </w:rPr>
            </w:pPr>
            <w:r>
              <w:rPr>
                <w:rFonts w:eastAsia="仿宋"/>
                <w:color w:val="000000"/>
                <w:sz w:val="20"/>
              </w:rPr>
              <w:t>1,152,000</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AD718">
            <w:pPr>
              <w:widowControl/>
              <w:jc w:val="right"/>
              <w:textAlignment w:val="center"/>
              <w:rPr>
                <w:rFonts w:eastAsia="仿宋"/>
                <w:color w:val="000000"/>
                <w:sz w:val="20"/>
              </w:rPr>
            </w:pPr>
            <w:r>
              <w:rPr>
                <w:rFonts w:eastAsia="仿宋"/>
                <w:color w:val="000000"/>
                <w:sz w:val="20"/>
              </w:rPr>
              <w:t>1.7166</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02039">
            <w:pPr>
              <w:widowControl/>
              <w:jc w:val="right"/>
              <w:textAlignment w:val="center"/>
              <w:rPr>
                <w:rFonts w:eastAsia="仿宋"/>
                <w:color w:val="000000"/>
                <w:sz w:val="20"/>
              </w:rPr>
            </w:pPr>
            <w:r>
              <w:rPr>
                <w:rFonts w:hint="eastAsia" w:eastAsia="仿宋"/>
                <w:color w:val="000000"/>
                <w:sz w:val="20"/>
              </w:rPr>
              <w:t>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3E062">
            <w:pPr>
              <w:widowControl/>
              <w:jc w:val="right"/>
              <w:textAlignment w:val="center"/>
              <w:rPr>
                <w:rFonts w:eastAsia="仿宋"/>
                <w:color w:val="000000"/>
                <w:sz w:val="20"/>
              </w:rPr>
            </w:pPr>
            <w:r>
              <w:rPr>
                <w:rFonts w:hint="eastAsia" w:eastAsia="仿宋"/>
                <w:color w:val="000000"/>
                <w:sz w:val="20"/>
              </w:rPr>
              <w:t>1,152,000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D14D7">
            <w:pPr>
              <w:widowControl/>
              <w:jc w:val="right"/>
              <w:textAlignment w:val="center"/>
              <w:rPr>
                <w:rFonts w:eastAsia="仿宋"/>
                <w:color w:val="000000"/>
                <w:sz w:val="20"/>
              </w:rPr>
            </w:pPr>
            <w:r>
              <w:rPr>
                <w:rFonts w:hint="eastAsia" w:eastAsia="仿宋"/>
                <w:color w:val="000000"/>
                <w:sz w:val="20"/>
              </w:rPr>
              <w:t>1.7166</w:t>
            </w:r>
          </w:p>
        </w:tc>
      </w:tr>
      <w:tr w14:paraId="614360A4">
        <w:tblPrEx>
          <w:tblCellMar>
            <w:top w:w="0" w:type="dxa"/>
            <w:left w:w="108" w:type="dxa"/>
            <w:bottom w:w="0" w:type="dxa"/>
            <w:right w:w="108" w:type="dxa"/>
          </w:tblCellMar>
        </w:tblPrEx>
        <w:trPr>
          <w:trHeight w:val="405"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CA30B">
            <w:pPr>
              <w:widowControl/>
              <w:jc w:val="right"/>
              <w:textAlignment w:val="center"/>
              <w:rPr>
                <w:rFonts w:eastAsia="仿宋"/>
                <w:color w:val="000000"/>
                <w:sz w:val="20"/>
              </w:rPr>
            </w:pPr>
            <w:r>
              <w:rPr>
                <w:rStyle w:val="18"/>
                <w:rFonts w:hint="default" w:ascii="Times New Roman" w:hAnsi="Times New Roman" w:eastAsia="仿宋" w:cs="Times New Roman"/>
                <w:lang w:bidi="ar"/>
              </w:rPr>
              <w:t>首发前限售股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1D666">
            <w:pPr>
              <w:widowControl/>
              <w:jc w:val="right"/>
              <w:textAlignment w:val="center"/>
              <w:rPr>
                <w:rFonts w:eastAsia="仿宋"/>
                <w:color w:val="000000"/>
                <w:sz w:val="20"/>
              </w:rPr>
            </w:pPr>
            <w:r>
              <w:rPr>
                <w:rFonts w:eastAsia="仿宋"/>
                <w:color w:val="000000"/>
                <w:sz w:val="20"/>
              </w:rPr>
              <w:t>22,357,944</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5730E">
            <w:pPr>
              <w:widowControl/>
              <w:jc w:val="right"/>
              <w:textAlignment w:val="center"/>
              <w:rPr>
                <w:rFonts w:eastAsia="仿宋"/>
                <w:color w:val="000000"/>
                <w:sz w:val="20"/>
              </w:rPr>
            </w:pPr>
            <w:r>
              <w:rPr>
                <w:rFonts w:eastAsia="仿宋"/>
                <w:color w:val="000000"/>
                <w:sz w:val="20"/>
              </w:rPr>
              <w:t>33.3160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78788">
            <w:pPr>
              <w:widowControl/>
              <w:jc w:val="right"/>
              <w:textAlignment w:val="center"/>
              <w:rPr>
                <w:rFonts w:eastAsia="仿宋"/>
                <w:color w:val="000000"/>
                <w:sz w:val="20"/>
              </w:rPr>
            </w:pPr>
            <w:r>
              <w:rPr>
                <w:rFonts w:hint="eastAsia" w:eastAsia="仿宋"/>
                <w:color w:val="000000"/>
                <w:sz w:val="20"/>
              </w:rPr>
              <w:t>-22,357,944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FC089">
            <w:pPr>
              <w:widowControl/>
              <w:jc w:val="right"/>
              <w:textAlignment w:val="top"/>
              <w:rPr>
                <w:rFonts w:eastAsia="仿宋"/>
                <w:color w:val="000000"/>
                <w:sz w:val="20"/>
              </w:rPr>
            </w:pPr>
            <w:r>
              <w:rPr>
                <w:rFonts w:hint="eastAsia" w:eastAsia="仿宋"/>
                <w:color w:val="000000"/>
                <w:sz w:val="20"/>
              </w:rPr>
              <w:t>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03989">
            <w:pPr>
              <w:widowControl/>
              <w:jc w:val="right"/>
              <w:textAlignment w:val="top"/>
              <w:rPr>
                <w:rFonts w:eastAsia="仿宋"/>
                <w:color w:val="000000"/>
                <w:sz w:val="20"/>
              </w:rPr>
            </w:pPr>
            <w:r>
              <w:rPr>
                <w:rFonts w:hint="eastAsia" w:eastAsia="仿宋"/>
                <w:color w:val="000000"/>
                <w:sz w:val="20"/>
              </w:rPr>
              <w:t>0.0000</w:t>
            </w:r>
          </w:p>
        </w:tc>
      </w:tr>
      <w:tr w14:paraId="1B30AA74">
        <w:tblPrEx>
          <w:tblCellMar>
            <w:top w:w="0" w:type="dxa"/>
            <w:left w:w="108" w:type="dxa"/>
            <w:bottom w:w="0" w:type="dxa"/>
            <w:right w:w="108" w:type="dxa"/>
          </w:tblCellMar>
        </w:tblPrEx>
        <w:trPr>
          <w:trHeight w:val="405"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828D7">
            <w:pPr>
              <w:widowControl/>
              <w:jc w:val="left"/>
              <w:textAlignment w:val="center"/>
              <w:rPr>
                <w:rFonts w:eastAsia="仿宋"/>
                <w:color w:val="000000"/>
                <w:sz w:val="20"/>
              </w:rPr>
            </w:pPr>
            <w:r>
              <w:rPr>
                <w:rStyle w:val="17"/>
                <w:rFonts w:ascii="Times New Roman" w:hAnsi="Times New Roman" w:eastAsia="仿宋" w:cs="Times New Roman"/>
                <w:b w:val="0"/>
                <w:bCs w:val="0"/>
                <w:lang w:bidi="ar"/>
              </w:rPr>
              <w:t>二、无限售条件流通股</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FCDE9">
            <w:pPr>
              <w:widowControl/>
              <w:jc w:val="right"/>
              <w:textAlignment w:val="center"/>
              <w:rPr>
                <w:rFonts w:eastAsia="仿宋"/>
                <w:color w:val="000000"/>
                <w:sz w:val="20"/>
              </w:rPr>
            </w:pPr>
            <w:r>
              <w:rPr>
                <w:rFonts w:eastAsia="仿宋"/>
                <w:color w:val="000000"/>
                <w:sz w:val="20"/>
              </w:rPr>
              <w:t>43,598,856</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559E6">
            <w:pPr>
              <w:widowControl/>
              <w:jc w:val="right"/>
              <w:textAlignment w:val="center"/>
              <w:rPr>
                <w:rFonts w:eastAsia="仿宋"/>
                <w:color w:val="000000"/>
                <w:sz w:val="20"/>
              </w:rPr>
            </w:pPr>
            <w:r>
              <w:rPr>
                <w:rFonts w:eastAsia="仿宋"/>
                <w:color w:val="000000"/>
                <w:sz w:val="20"/>
              </w:rPr>
              <w:t>64.9674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55749">
            <w:pPr>
              <w:widowControl/>
              <w:jc w:val="right"/>
              <w:textAlignment w:val="center"/>
              <w:rPr>
                <w:rFonts w:eastAsia="仿宋"/>
                <w:color w:val="000000"/>
                <w:sz w:val="20"/>
              </w:rPr>
            </w:pPr>
            <w:r>
              <w:rPr>
                <w:rFonts w:hint="eastAsia" w:eastAsia="仿宋"/>
                <w:color w:val="000000"/>
                <w:sz w:val="20"/>
              </w:rPr>
              <w:t>5,877,486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F26D9">
            <w:pPr>
              <w:widowControl/>
              <w:jc w:val="right"/>
              <w:textAlignment w:val="top"/>
              <w:rPr>
                <w:rFonts w:eastAsia="仿宋"/>
                <w:color w:val="000000"/>
                <w:sz w:val="20"/>
              </w:rPr>
            </w:pPr>
            <w:r>
              <w:rPr>
                <w:rFonts w:hint="eastAsia" w:eastAsia="仿宋"/>
                <w:color w:val="000000"/>
                <w:sz w:val="20"/>
              </w:rPr>
              <w:t>49,476,342</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36334">
            <w:pPr>
              <w:widowControl/>
              <w:jc w:val="right"/>
              <w:textAlignment w:val="top"/>
              <w:rPr>
                <w:rFonts w:eastAsia="仿宋"/>
                <w:color w:val="000000"/>
                <w:sz w:val="20"/>
              </w:rPr>
            </w:pPr>
            <w:r>
              <w:rPr>
                <w:rFonts w:hint="eastAsia" w:eastAsia="仿宋"/>
                <w:color w:val="000000"/>
                <w:sz w:val="20"/>
              </w:rPr>
              <w:t>73.7256</w:t>
            </w:r>
          </w:p>
        </w:tc>
      </w:tr>
      <w:tr w14:paraId="3EF829C4">
        <w:tblPrEx>
          <w:tblCellMar>
            <w:top w:w="0" w:type="dxa"/>
            <w:left w:w="108" w:type="dxa"/>
            <w:bottom w:w="0" w:type="dxa"/>
            <w:right w:w="108" w:type="dxa"/>
          </w:tblCellMar>
        </w:tblPrEx>
        <w:trPr>
          <w:trHeight w:val="413" w:hRule="atLeast"/>
          <w:jc w:val="center"/>
        </w:trPr>
        <w:tc>
          <w:tcPr>
            <w:tcW w:w="1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0AB67">
            <w:pPr>
              <w:widowControl/>
              <w:jc w:val="left"/>
              <w:textAlignment w:val="center"/>
              <w:rPr>
                <w:rFonts w:eastAsia="仿宋"/>
                <w:color w:val="000000"/>
                <w:sz w:val="20"/>
              </w:rPr>
            </w:pPr>
            <w:r>
              <w:rPr>
                <w:rStyle w:val="17"/>
                <w:rFonts w:ascii="Times New Roman" w:hAnsi="Times New Roman" w:eastAsia="仿宋" w:cs="Times New Roman"/>
                <w:b w:val="0"/>
                <w:bCs w:val="0"/>
                <w:lang w:bidi="ar"/>
              </w:rPr>
              <w:t>三、总股本</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80C0F">
            <w:pPr>
              <w:widowControl/>
              <w:jc w:val="right"/>
              <w:textAlignment w:val="center"/>
              <w:rPr>
                <w:rFonts w:eastAsia="仿宋"/>
                <w:color w:val="000000"/>
                <w:sz w:val="20"/>
              </w:rPr>
            </w:pPr>
            <w:r>
              <w:rPr>
                <w:rFonts w:eastAsia="仿宋"/>
                <w:color w:val="000000"/>
                <w:sz w:val="20"/>
              </w:rPr>
              <w:t>67,108,800</w:t>
            </w:r>
          </w:p>
        </w:tc>
        <w:tc>
          <w:tcPr>
            <w:tcW w:w="6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1E523">
            <w:pPr>
              <w:widowControl/>
              <w:jc w:val="right"/>
              <w:textAlignment w:val="center"/>
              <w:rPr>
                <w:rFonts w:eastAsia="仿宋"/>
                <w:color w:val="000000"/>
                <w:sz w:val="20"/>
              </w:rPr>
            </w:pPr>
            <w:r>
              <w:rPr>
                <w:rFonts w:eastAsia="仿宋"/>
                <w:color w:val="000000"/>
                <w:sz w:val="20"/>
              </w:rPr>
              <w:t>100.0000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FAEF1">
            <w:pPr>
              <w:widowControl/>
              <w:jc w:val="right"/>
              <w:textAlignment w:val="center"/>
              <w:rPr>
                <w:rFonts w:eastAsia="仿宋"/>
                <w:color w:val="000000"/>
                <w:sz w:val="20"/>
              </w:rPr>
            </w:pPr>
            <w:r>
              <w:rPr>
                <w:rFonts w:hint="eastAsia" w:eastAsia="仿宋"/>
                <w:color w:val="000000"/>
                <w:sz w:val="20"/>
              </w:rPr>
              <w:t>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68BEA">
            <w:pPr>
              <w:widowControl/>
              <w:jc w:val="right"/>
              <w:textAlignment w:val="center"/>
              <w:rPr>
                <w:rFonts w:eastAsia="仿宋"/>
                <w:color w:val="000000"/>
                <w:sz w:val="20"/>
              </w:rPr>
            </w:pPr>
            <w:r>
              <w:rPr>
                <w:rFonts w:hint="eastAsia" w:eastAsia="仿宋"/>
                <w:color w:val="000000"/>
                <w:sz w:val="20"/>
              </w:rPr>
              <w:t>67,108,800</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1F5AD">
            <w:pPr>
              <w:widowControl/>
              <w:jc w:val="right"/>
              <w:textAlignment w:val="center"/>
              <w:rPr>
                <w:rFonts w:eastAsia="仿宋"/>
                <w:color w:val="000000"/>
                <w:sz w:val="20"/>
              </w:rPr>
            </w:pPr>
            <w:r>
              <w:rPr>
                <w:rFonts w:hint="eastAsia" w:eastAsia="仿宋"/>
                <w:color w:val="000000"/>
                <w:sz w:val="20"/>
              </w:rPr>
              <w:t>100.0000</w:t>
            </w:r>
          </w:p>
        </w:tc>
      </w:tr>
    </w:tbl>
    <w:p w14:paraId="48DAF97D">
      <w:pPr>
        <w:spacing w:line="360" w:lineRule="auto"/>
        <w:ind w:firstLine="480" w:firstLineChars="200"/>
        <w:rPr>
          <w:rFonts w:ascii="仿宋" w:hAnsi="仿宋" w:eastAsia="仿宋"/>
          <w:bCs/>
          <w:color w:val="000000"/>
          <w:sz w:val="24"/>
          <w:szCs w:val="24"/>
        </w:rPr>
      </w:pPr>
      <w:r>
        <w:rPr>
          <w:rFonts w:hint="eastAsia" w:ascii="仿宋" w:hAnsi="仿宋" w:eastAsia="仿宋"/>
          <w:bCs/>
          <w:color w:val="000000"/>
          <w:sz w:val="24"/>
          <w:szCs w:val="24"/>
        </w:rPr>
        <w:t>注：本次解除限售后的股本结构以中国证券登记结算有限责任公司深圳分公司最终办理结果为准。</w:t>
      </w:r>
    </w:p>
    <w:p w14:paraId="311D0309">
      <w:pPr>
        <w:spacing w:before="156" w:beforeLines="50" w:after="156" w:afterLines="50" w:line="360" w:lineRule="auto"/>
        <w:outlineLvl w:val="0"/>
        <w:rPr>
          <w:rFonts w:ascii="仿宋" w:hAnsi="仿宋" w:eastAsia="仿宋"/>
          <w:b/>
          <w:color w:val="000000"/>
          <w:sz w:val="28"/>
          <w:szCs w:val="28"/>
        </w:rPr>
      </w:pPr>
      <w:r>
        <w:rPr>
          <w:rFonts w:hint="eastAsia" w:ascii="仿宋" w:hAnsi="仿宋" w:eastAsia="仿宋"/>
          <w:b/>
          <w:color w:val="000000"/>
          <w:sz w:val="28"/>
          <w:szCs w:val="28"/>
        </w:rPr>
        <w:t>五、保荐机构的核查意见</w:t>
      </w:r>
    </w:p>
    <w:p w14:paraId="404F6C77">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经核查，保荐机构五矿证券有限公司认为：“公司本次限售股份上市流通申请的股份数量、上市流通时间符合《中华人民共和国公司法》《中华人民共和国证券法》《深圳证券交易所创业板股票上市规则》《深圳证券交易所上市公司自律监管指引第2号——创业板上市公司规范运作》等相关法律法规的要求；公司本次解除限售股份的股东严格履行了其在首次公开发行股票并在创业板上市时作出的股份锁定承诺；公司关于本次限售股份流通上市的信息披露真实、准确、完整。保荐机构对公司本次限售股份解禁上市流通事项无异议。”</w:t>
      </w:r>
    </w:p>
    <w:p w14:paraId="34A1E323">
      <w:pPr>
        <w:spacing w:before="156" w:beforeLines="50" w:after="156" w:afterLines="50" w:line="360" w:lineRule="auto"/>
        <w:outlineLvl w:val="0"/>
        <w:rPr>
          <w:rFonts w:ascii="仿宋" w:hAnsi="仿宋" w:eastAsia="仿宋"/>
          <w:b/>
          <w:color w:val="000000"/>
          <w:sz w:val="28"/>
          <w:szCs w:val="28"/>
        </w:rPr>
      </w:pPr>
      <w:r>
        <w:rPr>
          <w:rFonts w:hint="eastAsia" w:ascii="仿宋" w:hAnsi="仿宋" w:eastAsia="仿宋"/>
          <w:b/>
          <w:color w:val="000000"/>
          <w:sz w:val="28"/>
          <w:szCs w:val="28"/>
        </w:rPr>
        <w:t xml:space="preserve">六、备查文件 </w:t>
      </w:r>
    </w:p>
    <w:p w14:paraId="1EBBE958">
      <w:pPr>
        <w:spacing w:line="360" w:lineRule="auto"/>
        <w:rPr>
          <w:rFonts w:ascii="仿宋" w:hAnsi="仿宋" w:eastAsia="仿宋"/>
          <w:bCs/>
          <w:color w:val="000000"/>
          <w:sz w:val="28"/>
          <w:szCs w:val="28"/>
        </w:rPr>
      </w:pPr>
      <w:r>
        <w:rPr>
          <w:rFonts w:hint="eastAsia" w:ascii="仿宋" w:hAnsi="仿宋" w:eastAsia="仿宋"/>
          <w:bCs/>
          <w:color w:val="000000"/>
          <w:sz w:val="28"/>
          <w:szCs w:val="28"/>
        </w:rPr>
        <w:t>（一）限售股上市流通申请书；</w:t>
      </w:r>
    </w:p>
    <w:p w14:paraId="68182B8A">
      <w:pPr>
        <w:spacing w:line="360" w:lineRule="auto"/>
        <w:rPr>
          <w:rFonts w:ascii="仿宋" w:hAnsi="仿宋" w:eastAsia="仿宋"/>
          <w:bCs/>
          <w:color w:val="000000"/>
          <w:sz w:val="28"/>
          <w:szCs w:val="28"/>
        </w:rPr>
      </w:pPr>
      <w:r>
        <w:rPr>
          <w:rFonts w:hint="eastAsia" w:ascii="仿宋" w:hAnsi="仿宋" w:eastAsia="仿宋"/>
          <w:bCs/>
          <w:color w:val="000000"/>
          <w:sz w:val="28"/>
          <w:szCs w:val="28"/>
        </w:rPr>
        <w:t>（二）限售股份上市流通申请表；</w:t>
      </w:r>
    </w:p>
    <w:p w14:paraId="3F0D353D">
      <w:pPr>
        <w:spacing w:line="360" w:lineRule="auto"/>
        <w:rPr>
          <w:rFonts w:ascii="仿宋" w:hAnsi="仿宋" w:eastAsia="仿宋"/>
          <w:bCs/>
          <w:color w:val="000000"/>
          <w:sz w:val="28"/>
          <w:szCs w:val="28"/>
        </w:rPr>
      </w:pPr>
      <w:r>
        <w:rPr>
          <w:rFonts w:hint="eastAsia" w:ascii="仿宋" w:hAnsi="仿宋" w:eastAsia="仿宋"/>
          <w:bCs/>
          <w:color w:val="000000"/>
          <w:sz w:val="28"/>
          <w:szCs w:val="28"/>
        </w:rPr>
        <w:t>（三）股份结构表和限售股份明细表；</w:t>
      </w:r>
    </w:p>
    <w:p w14:paraId="0C1C1B43">
      <w:pPr>
        <w:spacing w:line="360" w:lineRule="auto"/>
        <w:rPr>
          <w:rFonts w:ascii="仿宋" w:hAnsi="仿宋" w:eastAsia="仿宋"/>
          <w:bCs/>
          <w:color w:val="000000"/>
          <w:sz w:val="28"/>
          <w:szCs w:val="28"/>
        </w:rPr>
      </w:pPr>
      <w:r>
        <w:rPr>
          <w:rFonts w:hint="eastAsia" w:ascii="仿宋" w:hAnsi="仿宋" w:eastAsia="仿宋"/>
          <w:bCs/>
          <w:color w:val="000000"/>
          <w:sz w:val="28"/>
          <w:szCs w:val="28"/>
        </w:rPr>
        <w:t>（四）《五矿证券有限公司关于广东天亿马信息产业股份有限公司部分首次公开发行前已发行股份解除限售并上市流通的核查意见》。</w:t>
      </w:r>
    </w:p>
    <w:p w14:paraId="08DA6EC4">
      <w:pPr>
        <w:spacing w:line="360" w:lineRule="auto"/>
        <w:ind w:firstLine="560" w:firstLineChars="200"/>
        <w:rPr>
          <w:rFonts w:ascii="宋体" w:hAnsi="宋体" w:cs="宋体"/>
          <w:kern w:val="0"/>
          <w:sz w:val="24"/>
          <w:szCs w:val="24"/>
          <w:lang w:bidi="ar"/>
        </w:rPr>
      </w:pPr>
      <w:r>
        <w:rPr>
          <w:rFonts w:hint="eastAsia" w:ascii="仿宋" w:hAnsi="仿宋" w:eastAsia="仿宋"/>
          <w:bCs/>
          <w:color w:val="000000"/>
          <w:sz w:val="28"/>
          <w:szCs w:val="28"/>
        </w:rPr>
        <w:t>特此公告。</w:t>
      </w:r>
    </w:p>
    <w:p w14:paraId="4D4139D5">
      <w:pPr>
        <w:spacing w:line="360" w:lineRule="auto"/>
        <w:jc w:val="right"/>
        <w:rPr>
          <w:rFonts w:ascii="仿宋" w:hAnsi="仿宋" w:eastAsia="仿宋"/>
          <w:bCs/>
          <w:color w:val="000000"/>
          <w:sz w:val="28"/>
          <w:szCs w:val="28"/>
        </w:rPr>
      </w:pPr>
      <w:r>
        <w:rPr>
          <w:rFonts w:hint="eastAsia" w:ascii="仿宋" w:hAnsi="仿宋" w:eastAsia="仿宋"/>
          <w:bCs/>
          <w:color w:val="000000"/>
          <w:sz w:val="28"/>
          <w:szCs w:val="28"/>
        </w:rPr>
        <w:t>广东天亿马信息产业股份有限公司</w:t>
      </w:r>
    </w:p>
    <w:p w14:paraId="49A716D3">
      <w:pPr>
        <w:spacing w:line="360" w:lineRule="auto"/>
        <w:jc w:val="right"/>
        <w:rPr>
          <w:rFonts w:ascii="仿宋" w:hAnsi="仿宋" w:eastAsia="仿宋"/>
          <w:bCs/>
          <w:color w:val="000000"/>
          <w:sz w:val="28"/>
          <w:szCs w:val="28"/>
        </w:rPr>
      </w:pPr>
      <w:r>
        <w:rPr>
          <w:rFonts w:hint="eastAsia" w:ascii="仿宋" w:hAnsi="仿宋" w:eastAsia="仿宋"/>
          <w:bCs/>
          <w:color w:val="000000"/>
          <w:sz w:val="28"/>
          <w:szCs w:val="28"/>
        </w:rPr>
        <w:t>董事会</w:t>
      </w:r>
    </w:p>
    <w:p w14:paraId="5F914455">
      <w:pPr>
        <w:wordWrap w:val="0"/>
        <w:spacing w:line="360" w:lineRule="auto"/>
        <w:jc w:val="right"/>
      </w:pPr>
      <w:r>
        <w:rPr>
          <w:rFonts w:hint="eastAsia" w:ascii="仿宋" w:hAnsi="仿宋" w:eastAsia="仿宋"/>
          <w:bCs/>
          <w:color w:val="000000"/>
          <w:sz w:val="28"/>
          <w:szCs w:val="28"/>
        </w:rPr>
        <w:t>2025年5月</w:t>
      </w:r>
      <w:r>
        <w:rPr>
          <w:rFonts w:hint="eastAsia" w:ascii="仿宋" w:hAnsi="仿宋" w:eastAsia="仿宋"/>
          <w:bCs/>
          <w:color w:val="000000"/>
          <w:sz w:val="28"/>
          <w:szCs w:val="28"/>
          <w:lang w:val="en-US" w:eastAsia="zh-CN"/>
        </w:rPr>
        <w:t>8</w:t>
      </w:r>
      <w:r>
        <w:rPr>
          <w:rFonts w:hint="eastAsia" w:ascii="仿宋" w:hAnsi="仿宋" w:eastAsia="仿宋"/>
          <w:bCs/>
          <w:color w:val="00000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PingFang SC">
    <w:altName w:val="宋体"/>
    <w:panose1 w:val="00000000000000000000"/>
    <w:charset w:val="86"/>
    <w:family w:val="auto"/>
    <w:pitch w:val="default"/>
    <w:sig w:usb0="00000000" w:usb1="00000000" w:usb2="00000017"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9B5"/>
    <w:rsid w:val="00025C7D"/>
    <w:rsid w:val="00092B71"/>
    <w:rsid w:val="000A2FC7"/>
    <w:rsid w:val="000B1A71"/>
    <w:rsid w:val="000B7998"/>
    <w:rsid w:val="000D18F1"/>
    <w:rsid w:val="000D548F"/>
    <w:rsid w:val="000F0611"/>
    <w:rsid w:val="000F0EF1"/>
    <w:rsid w:val="000F1AF3"/>
    <w:rsid w:val="000F1C92"/>
    <w:rsid w:val="00103765"/>
    <w:rsid w:val="001057E5"/>
    <w:rsid w:val="001070D4"/>
    <w:rsid w:val="00107ECC"/>
    <w:rsid w:val="001165C4"/>
    <w:rsid w:val="00122DEF"/>
    <w:rsid w:val="0012441B"/>
    <w:rsid w:val="00132DFB"/>
    <w:rsid w:val="0015280A"/>
    <w:rsid w:val="00152D28"/>
    <w:rsid w:val="00153BF9"/>
    <w:rsid w:val="0016401F"/>
    <w:rsid w:val="001744A2"/>
    <w:rsid w:val="0018030B"/>
    <w:rsid w:val="00181A7C"/>
    <w:rsid w:val="00184148"/>
    <w:rsid w:val="001A3C6D"/>
    <w:rsid w:val="001A6B1F"/>
    <w:rsid w:val="001A6B6D"/>
    <w:rsid w:val="001B1333"/>
    <w:rsid w:val="001B1814"/>
    <w:rsid w:val="001C7B5F"/>
    <w:rsid w:val="001D1336"/>
    <w:rsid w:val="001D34FB"/>
    <w:rsid w:val="001F5AFE"/>
    <w:rsid w:val="00206E36"/>
    <w:rsid w:val="0020739C"/>
    <w:rsid w:val="0023149A"/>
    <w:rsid w:val="00254E0F"/>
    <w:rsid w:val="0026093A"/>
    <w:rsid w:val="00284D8B"/>
    <w:rsid w:val="00292B1C"/>
    <w:rsid w:val="002948CF"/>
    <w:rsid w:val="002A6EE5"/>
    <w:rsid w:val="00317E2E"/>
    <w:rsid w:val="003200F6"/>
    <w:rsid w:val="003357C0"/>
    <w:rsid w:val="00346836"/>
    <w:rsid w:val="003531BB"/>
    <w:rsid w:val="00376904"/>
    <w:rsid w:val="00376A34"/>
    <w:rsid w:val="003849B5"/>
    <w:rsid w:val="003B7D98"/>
    <w:rsid w:val="003C5CAD"/>
    <w:rsid w:val="003D1FD4"/>
    <w:rsid w:val="003D2E7D"/>
    <w:rsid w:val="003D4E5A"/>
    <w:rsid w:val="003F3E77"/>
    <w:rsid w:val="00401142"/>
    <w:rsid w:val="004026CD"/>
    <w:rsid w:val="004214B6"/>
    <w:rsid w:val="00435EFB"/>
    <w:rsid w:val="00446318"/>
    <w:rsid w:val="00446B75"/>
    <w:rsid w:val="004542BA"/>
    <w:rsid w:val="00460FEB"/>
    <w:rsid w:val="00464733"/>
    <w:rsid w:val="0048039F"/>
    <w:rsid w:val="0048548C"/>
    <w:rsid w:val="00494088"/>
    <w:rsid w:val="004C04D8"/>
    <w:rsid w:val="004D0BB9"/>
    <w:rsid w:val="004D0E95"/>
    <w:rsid w:val="00516DF7"/>
    <w:rsid w:val="0052255E"/>
    <w:rsid w:val="00535078"/>
    <w:rsid w:val="00546EBA"/>
    <w:rsid w:val="0056364A"/>
    <w:rsid w:val="005823A5"/>
    <w:rsid w:val="00583C1E"/>
    <w:rsid w:val="00593B3F"/>
    <w:rsid w:val="005A1E20"/>
    <w:rsid w:val="005A7E0C"/>
    <w:rsid w:val="005B7CA3"/>
    <w:rsid w:val="005C6DBB"/>
    <w:rsid w:val="005C743B"/>
    <w:rsid w:val="005C79AD"/>
    <w:rsid w:val="005E6A19"/>
    <w:rsid w:val="005F4F74"/>
    <w:rsid w:val="005F7C88"/>
    <w:rsid w:val="006120F7"/>
    <w:rsid w:val="00631D50"/>
    <w:rsid w:val="00636BCB"/>
    <w:rsid w:val="00662C73"/>
    <w:rsid w:val="006D0436"/>
    <w:rsid w:val="006E546D"/>
    <w:rsid w:val="006E69B7"/>
    <w:rsid w:val="00706DEC"/>
    <w:rsid w:val="00743638"/>
    <w:rsid w:val="007551B2"/>
    <w:rsid w:val="00761E98"/>
    <w:rsid w:val="00763B8D"/>
    <w:rsid w:val="007825F0"/>
    <w:rsid w:val="0078465E"/>
    <w:rsid w:val="00784663"/>
    <w:rsid w:val="007933C0"/>
    <w:rsid w:val="007A2E81"/>
    <w:rsid w:val="007C52AD"/>
    <w:rsid w:val="007D1A3D"/>
    <w:rsid w:val="007D6386"/>
    <w:rsid w:val="007E5C14"/>
    <w:rsid w:val="00816956"/>
    <w:rsid w:val="008252EA"/>
    <w:rsid w:val="00827C79"/>
    <w:rsid w:val="008315A7"/>
    <w:rsid w:val="00831E54"/>
    <w:rsid w:val="00831F2D"/>
    <w:rsid w:val="0083672C"/>
    <w:rsid w:val="008378B1"/>
    <w:rsid w:val="00844B15"/>
    <w:rsid w:val="00844E57"/>
    <w:rsid w:val="008626B4"/>
    <w:rsid w:val="00893AFE"/>
    <w:rsid w:val="00893CBF"/>
    <w:rsid w:val="008A3BBF"/>
    <w:rsid w:val="008B051A"/>
    <w:rsid w:val="008B6BF9"/>
    <w:rsid w:val="008C3E68"/>
    <w:rsid w:val="008E28E6"/>
    <w:rsid w:val="008E550A"/>
    <w:rsid w:val="008F6E28"/>
    <w:rsid w:val="00903420"/>
    <w:rsid w:val="00907820"/>
    <w:rsid w:val="00931802"/>
    <w:rsid w:val="00937285"/>
    <w:rsid w:val="009453E1"/>
    <w:rsid w:val="00955211"/>
    <w:rsid w:val="009565F1"/>
    <w:rsid w:val="00956E1B"/>
    <w:rsid w:val="00966586"/>
    <w:rsid w:val="00970A22"/>
    <w:rsid w:val="00985E1F"/>
    <w:rsid w:val="009979C4"/>
    <w:rsid w:val="009B1B6B"/>
    <w:rsid w:val="009B4961"/>
    <w:rsid w:val="009B5F6B"/>
    <w:rsid w:val="009B63C8"/>
    <w:rsid w:val="009E7E06"/>
    <w:rsid w:val="009F21A5"/>
    <w:rsid w:val="009F3A6C"/>
    <w:rsid w:val="009F50CD"/>
    <w:rsid w:val="009F6340"/>
    <w:rsid w:val="00A243EF"/>
    <w:rsid w:val="00A30C2C"/>
    <w:rsid w:val="00A429FD"/>
    <w:rsid w:val="00A948D7"/>
    <w:rsid w:val="00A95B70"/>
    <w:rsid w:val="00AB30FF"/>
    <w:rsid w:val="00AD20AE"/>
    <w:rsid w:val="00AD6359"/>
    <w:rsid w:val="00AE29A9"/>
    <w:rsid w:val="00B0221E"/>
    <w:rsid w:val="00B073D7"/>
    <w:rsid w:val="00B10D4E"/>
    <w:rsid w:val="00B32283"/>
    <w:rsid w:val="00B42147"/>
    <w:rsid w:val="00B60512"/>
    <w:rsid w:val="00B6583A"/>
    <w:rsid w:val="00B73BD0"/>
    <w:rsid w:val="00B93F5A"/>
    <w:rsid w:val="00BA26C5"/>
    <w:rsid w:val="00BA500A"/>
    <w:rsid w:val="00BB3E86"/>
    <w:rsid w:val="00BE0F45"/>
    <w:rsid w:val="00C23B79"/>
    <w:rsid w:val="00C322B7"/>
    <w:rsid w:val="00C35CC3"/>
    <w:rsid w:val="00C71E65"/>
    <w:rsid w:val="00C76C35"/>
    <w:rsid w:val="00C81809"/>
    <w:rsid w:val="00C850E9"/>
    <w:rsid w:val="00CB596C"/>
    <w:rsid w:val="00CC08F6"/>
    <w:rsid w:val="00CC724F"/>
    <w:rsid w:val="00CD2143"/>
    <w:rsid w:val="00CD29BD"/>
    <w:rsid w:val="00CD414A"/>
    <w:rsid w:val="00CE4831"/>
    <w:rsid w:val="00CF66FC"/>
    <w:rsid w:val="00CF6A8C"/>
    <w:rsid w:val="00D12852"/>
    <w:rsid w:val="00D16D3B"/>
    <w:rsid w:val="00D24609"/>
    <w:rsid w:val="00D26293"/>
    <w:rsid w:val="00D30FD4"/>
    <w:rsid w:val="00D56F4A"/>
    <w:rsid w:val="00D91956"/>
    <w:rsid w:val="00D92D65"/>
    <w:rsid w:val="00D96261"/>
    <w:rsid w:val="00DC05F8"/>
    <w:rsid w:val="00DC1863"/>
    <w:rsid w:val="00DD0F70"/>
    <w:rsid w:val="00DD4193"/>
    <w:rsid w:val="00DE1D15"/>
    <w:rsid w:val="00DE7A36"/>
    <w:rsid w:val="00DF3775"/>
    <w:rsid w:val="00E12C72"/>
    <w:rsid w:val="00E2099D"/>
    <w:rsid w:val="00E22BBE"/>
    <w:rsid w:val="00E52370"/>
    <w:rsid w:val="00E657CB"/>
    <w:rsid w:val="00E842FC"/>
    <w:rsid w:val="00EA7A63"/>
    <w:rsid w:val="00EB75A0"/>
    <w:rsid w:val="00ED0DCA"/>
    <w:rsid w:val="00ED1E6C"/>
    <w:rsid w:val="00ED7E9B"/>
    <w:rsid w:val="00EE4A1E"/>
    <w:rsid w:val="00EE6634"/>
    <w:rsid w:val="00F04D34"/>
    <w:rsid w:val="00F10C2C"/>
    <w:rsid w:val="00F31598"/>
    <w:rsid w:val="00F315F9"/>
    <w:rsid w:val="00F4786C"/>
    <w:rsid w:val="00F550D2"/>
    <w:rsid w:val="00F6100E"/>
    <w:rsid w:val="00F8320F"/>
    <w:rsid w:val="00F937C0"/>
    <w:rsid w:val="00FA4587"/>
    <w:rsid w:val="00FB4AD6"/>
    <w:rsid w:val="00FC29D9"/>
    <w:rsid w:val="00FC3F03"/>
    <w:rsid w:val="00FD0372"/>
    <w:rsid w:val="00FE2FF3"/>
    <w:rsid w:val="06D24680"/>
    <w:rsid w:val="08254CFF"/>
    <w:rsid w:val="09864BCA"/>
    <w:rsid w:val="0AFA04AA"/>
    <w:rsid w:val="116051D3"/>
    <w:rsid w:val="12B74046"/>
    <w:rsid w:val="139A199E"/>
    <w:rsid w:val="15DA0777"/>
    <w:rsid w:val="16EA65D5"/>
    <w:rsid w:val="1A091CA8"/>
    <w:rsid w:val="20370574"/>
    <w:rsid w:val="255B6AB3"/>
    <w:rsid w:val="29E967EC"/>
    <w:rsid w:val="2A2D4A1E"/>
    <w:rsid w:val="2C82701B"/>
    <w:rsid w:val="2DCE72AA"/>
    <w:rsid w:val="30127BDC"/>
    <w:rsid w:val="302A5C70"/>
    <w:rsid w:val="394C0561"/>
    <w:rsid w:val="3B62588A"/>
    <w:rsid w:val="42FC38DD"/>
    <w:rsid w:val="48A56114"/>
    <w:rsid w:val="48ED7C10"/>
    <w:rsid w:val="49667651"/>
    <w:rsid w:val="4DBC754B"/>
    <w:rsid w:val="4E871EBA"/>
    <w:rsid w:val="4FFFAA5F"/>
    <w:rsid w:val="55BBF505"/>
    <w:rsid w:val="5743776C"/>
    <w:rsid w:val="59417793"/>
    <w:rsid w:val="5AE63D85"/>
    <w:rsid w:val="5D0D36E5"/>
    <w:rsid w:val="603F12DC"/>
    <w:rsid w:val="63224B4D"/>
    <w:rsid w:val="654E525A"/>
    <w:rsid w:val="669B6734"/>
    <w:rsid w:val="69D02B99"/>
    <w:rsid w:val="6A6FB8E2"/>
    <w:rsid w:val="6DF20D4C"/>
    <w:rsid w:val="6F5E8F64"/>
    <w:rsid w:val="70FD4566"/>
    <w:rsid w:val="717275C2"/>
    <w:rsid w:val="72E66DA3"/>
    <w:rsid w:val="73DEC826"/>
    <w:rsid w:val="754638F1"/>
    <w:rsid w:val="7A260E9F"/>
    <w:rsid w:val="7A805F15"/>
    <w:rsid w:val="7B0073DC"/>
    <w:rsid w:val="7D3F9E14"/>
    <w:rsid w:val="7E7B135B"/>
    <w:rsid w:val="7FDD5BB8"/>
    <w:rsid w:val="9BDF3D41"/>
    <w:rsid w:val="ADF71FCC"/>
    <w:rsid w:val="BFB31D32"/>
    <w:rsid w:val="C7FF362D"/>
    <w:rsid w:val="CF1FB8F7"/>
    <w:rsid w:val="DF9F83BF"/>
    <w:rsid w:val="E79EA70B"/>
    <w:rsid w:val="EEDF38FD"/>
    <w:rsid w:val="F6775374"/>
    <w:rsid w:val="F7EDA228"/>
    <w:rsid w:val="FB6682F4"/>
    <w:rsid w:val="FBDC1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rPr>
      <w:szCs w:val="24"/>
    </w:rPr>
  </w:style>
  <w:style w:type="character" w:customStyle="1" w:styleId="11">
    <w:name w:val="页眉 Char"/>
    <w:basedOn w:val="9"/>
    <w:link w:val="6"/>
    <w:qFormat/>
    <w:uiPriority w:val="99"/>
    <w:rPr>
      <w:rFonts w:ascii="Times New Roman" w:hAnsi="Times New Roman" w:eastAsia="宋体" w:cs="Times New Roman"/>
      <w:sz w:val="18"/>
      <w:szCs w:val="18"/>
    </w:rPr>
  </w:style>
  <w:style w:type="character" w:customStyle="1" w:styleId="12">
    <w:name w:val="页脚 Char"/>
    <w:basedOn w:val="9"/>
    <w:link w:val="5"/>
    <w:qFormat/>
    <w:uiPriority w:val="99"/>
    <w:rPr>
      <w:rFonts w:ascii="Times New Roman" w:hAnsi="Times New Roman" w:eastAsia="宋体" w:cs="Times New Roman"/>
      <w:sz w:val="18"/>
      <w:szCs w:val="18"/>
    </w:rPr>
  </w:style>
  <w:style w:type="character" w:customStyle="1" w:styleId="13">
    <w:name w:val="日期 Char"/>
    <w:basedOn w:val="9"/>
    <w:link w:val="3"/>
    <w:semiHidden/>
    <w:qFormat/>
    <w:uiPriority w:val="99"/>
    <w:rPr>
      <w:rFonts w:ascii="Times New Roman" w:hAnsi="Times New Roman" w:eastAsia="宋体" w:cs="Times New Roman"/>
      <w:szCs w:val="20"/>
    </w:rPr>
  </w:style>
  <w:style w:type="paragraph" w:customStyle="1" w:styleId="14">
    <w:name w:val="VI 正文格式"/>
    <w:basedOn w:val="1"/>
    <w:qFormat/>
    <w:uiPriority w:val="0"/>
    <w:pPr>
      <w:adjustRightInd w:val="0"/>
      <w:spacing w:beforeLines="30" w:afterLines="30" w:line="360" w:lineRule="auto"/>
      <w:ind w:firstLine="480" w:firstLineChars="200"/>
      <w:textAlignment w:val="baseline"/>
    </w:pPr>
    <w:rPr>
      <w:kern w:val="0"/>
      <w:sz w:val="24"/>
    </w:rPr>
  </w:style>
  <w:style w:type="character" w:customStyle="1" w:styleId="15">
    <w:name w:val="font11"/>
    <w:basedOn w:val="9"/>
    <w:qFormat/>
    <w:uiPriority w:val="0"/>
    <w:rPr>
      <w:rFonts w:hint="default" w:ascii="仿宋" w:hAnsi="仿宋" w:eastAsia="仿宋" w:cs="仿宋"/>
      <w:b/>
      <w:bCs/>
      <w:color w:val="000000"/>
      <w:sz w:val="32"/>
      <w:szCs w:val="32"/>
      <w:u w:val="none"/>
    </w:rPr>
  </w:style>
  <w:style w:type="character" w:customStyle="1" w:styleId="16">
    <w:name w:val="font41"/>
    <w:basedOn w:val="9"/>
    <w:qFormat/>
    <w:uiPriority w:val="0"/>
    <w:rPr>
      <w:rFonts w:hint="eastAsia" w:ascii="宋体" w:hAnsi="宋体" w:eastAsia="宋体" w:cs="宋体"/>
      <w:b/>
      <w:bCs/>
      <w:color w:val="000000"/>
      <w:sz w:val="32"/>
      <w:szCs w:val="32"/>
      <w:u w:val="none"/>
    </w:rPr>
  </w:style>
  <w:style w:type="character" w:customStyle="1" w:styleId="17">
    <w:name w:val="font71"/>
    <w:basedOn w:val="9"/>
    <w:qFormat/>
    <w:uiPriority w:val="0"/>
    <w:rPr>
      <w:rFonts w:ascii="PingFang SC" w:hAnsi="PingFang SC" w:eastAsia="PingFang SC" w:cs="PingFang SC"/>
      <w:b/>
      <w:bCs/>
      <w:color w:val="000000"/>
      <w:sz w:val="20"/>
      <w:szCs w:val="20"/>
      <w:u w:val="none"/>
    </w:rPr>
  </w:style>
  <w:style w:type="character" w:customStyle="1" w:styleId="18">
    <w:name w:val="font81"/>
    <w:basedOn w:val="9"/>
    <w:qFormat/>
    <w:uiPriority w:val="0"/>
    <w:rPr>
      <w:rFonts w:hint="eastAsia" w:ascii="PingFang SC" w:hAnsi="PingFang SC" w:eastAsia="PingFang SC" w:cs="PingFang SC"/>
      <w:color w:val="000000"/>
      <w:sz w:val="20"/>
      <w:szCs w:val="20"/>
      <w:u w:val="none"/>
    </w:rPr>
  </w:style>
  <w:style w:type="character" w:customStyle="1" w:styleId="19">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5443</Words>
  <Characters>6047</Characters>
  <Lines>41</Lines>
  <Paragraphs>11</Paragraphs>
  <TotalTime>0</TotalTime>
  <ScaleCrop>false</ScaleCrop>
  <LinksUpToDate>false</LinksUpToDate>
  <CharactersWithSpaces>6058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2023-11-22T07:57:00Z</dcterms:created>
  <dc:creator>hsq</dc:creator>
  <cp:lastModifiedBy>黄舒倩</cp:lastModifiedBy>
  <cp:lastPrinted>2025-04-30T02:43:00Z</cp:lastPrinted>
  <dcterms:modified xsi:type="dcterms:W3CDTF">2025-05-08T09:58:16Z</dcterms:modified>
  <cp:revision>198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3B195374DB9C21F311940968650C113B_43</vt:lpwstr>
  </property>
  <property fmtid="{D5CDD505-2E9C-101B-9397-08002B2CF9AE}" pid="4" name="KSOTemplateDocerSaveRecord">
    <vt:lpwstr>eyJoZGlkIjoiYjc3NTVmODk5OWI4YTU0YmU5MTlhYzJjMjBkNzFlNmEiLCJ1c2VySWQiOiIyNDMwNTgyMjAifQ==</vt:lpwstr>
  </property>
</Properties>
</file>