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17C83F">
      <w:pPr>
        <w:jc w:val="center"/>
        <w:rPr>
          <w:rFonts w:ascii="黑体" w:hAnsi="黑体" w:eastAsia="黑体" w:cs="Times New Roman"/>
          <w:b/>
          <w:bCs/>
          <w:spacing w:val="36"/>
          <w:sz w:val="40"/>
          <w:szCs w:val="40"/>
        </w:rPr>
      </w:pPr>
      <w:r>
        <w:rPr>
          <w:rFonts w:ascii="黑体" w:hAnsi="黑体" w:eastAsia="黑体" w:cs="Times New Roman"/>
          <w:b/>
          <w:bCs/>
          <w:spacing w:val="36"/>
          <w:sz w:val="40"/>
          <w:szCs w:val="40"/>
        </w:rPr>
        <w:t>五矿证券有限公司</w:t>
      </w:r>
    </w:p>
    <w:p w14:paraId="33A1FE3B">
      <w:pPr>
        <w:jc w:val="center"/>
        <w:rPr>
          <w:rFonts w:ascii="黑体" w:hAnsi="黑体" w:eastAsia="黑体" w:cs="Times New Roman"/>
          <w:b/>
          <w:bCs/>
          <w:spacing w:val="36"/>
          <w:sz w:val="40"/>
          <w:szCs w:val="40"/>
        </w:rPr>
      </w:pPr>
      <w:r>
        <w:rPr>
          <w:rFonts w:ascii="黑体" w:hAnsi="黑体" w:eastAsia="黑体" w:cs="Times New Roman"/>
          <w:b/>
          <w:bCs/>
          <w:spacing w:val="36"/>
          <w:sz w:val="40"/>
          <w:szCs w:val="40"/>
        </w:rPr>
        <w:t>关于广东天亿马信息产业股份有限公司</w:t>
      </w:r>
    </w:p>
    <w:p w14:paraId="4ECEA16E">
      <w:pPr>
        <w:jc w:val="center"/>
        <w:rPr>
          <w:rFonts w:ascii="黑体" w:hAnsi="黑体" w:eastAsia="黑体" w:cs="Times New Roman"/>
          <w:b/>
          <w:bCs/>
          <w:spacing w:val="36"/>
          <w:sz w:val="40"/>
          <w:szCs w:val="40"/>
        </w:rPr>
      </w:pPr>
      <w:r>
        <w:rPr>
          <w:rFonts w:ascii="黑体" w:hAnsi="黑体" w:eastAsia="黑体" w:cs="Times New Roman"/>
          <w:b/>
          <w:bCs/>
          <w:spacing w:val="36"/>
          <w:sz w:val="40"/>
          <w:szCs w:val="40"/>
        </w:rPr>
        <w:t>202</w:t>
      </w:r>
      <w:r>
        <w:rPr>
          <w:rFonts w:hint="eastAsia" w:ascii="黑体" w:hAnsi="黑体" w:eastAsia="黑体" w:cs="Times New Roman"/>
          <w:b/>
          <w:bCs/>
          <w:spacing w:val="36"/>
          <w:sz w:val="40"/>
          <w:szCs w:val="40"/>
          <w:lang w:val="en-US" w:eastAsia="zh-CN"/>
        </w:rPr>
        <w:t>4</w:t>
      </w:r>
      <w:r>
        <w:rPr>
          <w:rFonts w:ascii="黑体" w:hAnsi="黑体" w:eastAsia="黑体" w:cs="Times New Roman"/>
          <w:b/>
          <w:bCs/>
          <w:spacing w:val="36"/>
          <w:sz w:val="40"/>
          <w:szCs w:val="40"/>
        </w:rPr>
        <w:t>年度持续督导跟踪报告</w:t>
      </w:r>
    </w:p>
    <w:p w14:paraId="24AE02CE">
      <w:pPr>
        <w:jc w:val="center"/>
        <w:rPr>
          <w:rFonts w:ascii="黑体" w:hAnsi="黑体" w:eastAsia="黑体" w:cs="Times New Roman"/>
          <w:b/>
          <w:bCs/>
          <w:spacing w:val="36"/>
          <w:sz w:val="40"/>
          <w:szCs w:val="40"/>
        </w:rPr>
      </w:pPr>
    </w:p>
    <w:tbl>
      <w:tblPr>
        <w:tblStyle w:val="7"/>
        <w:tblW w:w="4999"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57" w:type="dxa"/>
          <w:left w:w="57" w:type="dxa"/>
          <w:bottom w:w="57" w:type="dxa"/>
          <w:right w:w="57" w:type="dxa"/>
        </w:tblCellMar>
      </w:tblPr>
      <w:tblGrid>
        <w:gridCol w:w="4599"/>
        <w:gridCol w:w="4586"/>
      </w:tblGrid>
      <w:tr w14:paraId="4DDFF08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503" w:type="pct"/>
            <w:vAlign w:val="center"/>
          </w:tcPr>
          <w:p w14:paraId="39B71F6B">
            <w:pPr>
              <w:rPr>
                <w:rFonts w:ascii="Times New Roman" w:hAnsi="Times New Roman" w:eastAsia="宋体" w:cs="Times New Roman"/>
                <w:sz w:val="24"/>
                <w:szCs w:val="24"/>
              </w:rPr>
            </w:pPr>
            <w:r>
              <w:rPr>
                <w:rFonts w:ascii="Times New Roman" w:hAnsi="Times New Roman" w:eastAsia="宋体" w:cs="Times New Roman"/>
                <w:spacing w:val="-2"/>
                <w:sz w:val="24"/>
                <w:szCs w:val="24"/>
              </w:rPr>
              <w:t>保荐人名称：五矿证券有限公司</w:t>
            </w:r>
          </w:p>
        </w:tc>
        <w:tc>
          <w:tcPr>
            <w:tcW w:w="2496" w:type="pct"/>
            <w:vAlign w:val="center"/>
          </w:tcPr>
          <w:p w14:paraId="64845F0B">
            <w:pPr>
              <w:rPr>
                <w:rFonts w:ascii="Times New Roman" w:hAnsi="Times New Roman" w:eastAsia="宋体" w:cs="Times New Roman"/>
                <w:sz w:val="24"/>
                <w:szCs w:val="24"/>
              </w:rPr>
            </w:pPr>
            <w:r>
              <w:rPr>
                <w:rFonts w:ascii="Times New Roman" w:hAnsi="Times New Roman" w:eastAsia="宋体" w:cs="Times New Roman"/>
                <w:spacing w:val="-2"/>
                <w:sz w:val="24"/>
                <w:szCs w:val="24"/>
              </w:rPr>
              <w:t>被保荐</w:t>
            </w:r>
            <w:r>
              <w:rPr>
                <w:rFonts w:ascii="Times New Roman" w:hAnsi="Times New Roman" w:eastAsia="宋体" w:cs="Times New Roman"/>
                <w:spacing w:val="-1"/>
                <w:sz w:val="24"/>
                <w:szCs w:val="24"/>
              </w:rPr>
              <w:t>公司简称：天亿马</w:t>
            </w:r>
          </w:p>
        </w:tc>
      </w:tr>
      <w:tr w14:paraId="765EA05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503" w:type="pct"/>
            <w:vAlign w:val="center"/>
          </w:tcPr>
          <w:p w14:paraId="16F5E294">
            <w:pPr>
              <w:rPr>
                <w:rFonts w:ascii="Times New Roman" w:hAnsi="Times New Roman" w:eastAsia="宋体" w:cs="Times New Roman"/>
                <w:sz w:val="24"/>
                <w:szCs w:val="24"/>
              </w:rPr>
            </w:pPr>
            <w:r>
              <w:rPr>
                <w:rFonts w:ascii="Times New Roman" w:hAnsi="Times New Roman" w:eastAsia="宋体" w:cs="Times New Roman"/>
                <w:spacing w:val="-2"/>
                <w:sz w:val="24"/>
                <w:szCs w:val="24"/>
              </w:rPr>
              <w:t>保荐代表</w:t>
            </w:r>
            <w:r>
              <w:rPr>
                <w:rFonts w:ascii="Times New Roman" w:hAnsi="Times New Roman" w:eastAsia="宋体" w:cs="Times New Roman"/>
                <w:spacing w:val="-1"/>
                <w:sz w:val="24"/>
                <w:szCs w:val="24"/>
              </w:rPr>
              <w:t>人姓名：温波</w:t>
            </w:r>
          </w:p>
        </w:tc>
        <w:tc>
          <w:tcPr>
            <w:tcW w:w="2496" w:type="pct"/>
            <w:vAlign w:val="center"/>
          </w:tcPr>
          <w:p w14:paraId="658730D2">
            <w:pPr>
              <w:rPr>
                <w:rFonts w:ascii="Times New Roman" w:hAnsi="Times New Roman" w:eastAsia="宋体" w:cs="Times New Roman"/>
                <w:sz w:val="24"/>
                <w:szCs w:val="24"/>
              </w:rPr>
            </w:pPr>
            <w:r>
              <w:rPr>
                <w:rFonts w:ascii="Times New Roman" w:hAnsi="Times New Roman" w:eastAsia="宋体" w:cs="Times New Roman"/>
                <w:spacing w:val="-8"/>
                <w:sz w:val="24"/>
                <w:szCs w:val="24"/>
              </w:rPr>
              <w:t>联</w:t>
            </w:r>
            <w:r>
              <w:rPr>
                <w:rFonts w:ascii="Times New Roman" w:hAnsi="Times New Roman" w:eastAsia="宋体" w:cs="Times New Roman"/>
                <w:spacing w:val="-6"/>
                <w:sz w:val="24"/>
                <w:szCs w:val="24"/>
              </w:rPr>
              <w:t>系电话：0755-23375555</w:t>
            </w:r>
          </w:p>
        </w:tc>
      </w:tr>
      <w:tr w14:paraId="36A3179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503" w:type="pct"/>
            <w:vAlign w:val="center"/>
          </w:tcPr>
          <w:p w14:paraId="62C20923">
            <w:pPr>
              <w:rPr>
                <w:rFonts w:ascii="Times New Roman" w:hAnsi="Times New Roman" w:eastAsia="宋体" w:cs="Times New Roman"/>
                <w:sz w:val="24"/>
                <w:szCs w:val="24"/>
              </w:rPr>
            </w:pPr>
            <w:r>
              <w:rPr>
                <w:rFonts w:ascii="Times New Roman" w:hAnsi="Times New Roman" w:eastAsia="宋体" w:cs="Times New Roman"/>
                <w:spacing w:val="-2"/>
                <w:sz w:val="24"/>
                <w:szCs w:val="24"/>
              </w:rPr>
              <w:t>保荐代表</w:t>
            </w:r>
            <w:r>
              <w:rPr>
                <w:rFonts w:ascii="Times New Roman" w:hAnsi="Times New Roman" w:eastAsia="宋体" w:cs="Times New Roman"/>
                <w:spacing w:val="-1"/>
                <w:sz w:val="24"/>
                <w:szCs w:val="24"/>
              </w:rPr>
              <w:t>人姓名：宋平</w:t>
            </w:r>
          </w:p>
        </w:tc>
        <w:tc>
          <w:tcPr>
            <w:tcW w:w="2496" w:type="pct"/>
            <w:vAlign w:val="center"/>
          </w:tcPr>
          <w:p w14:paraId="69431E19">
            <w:pPr>
              <w:rPr>
                <w:rFonts w:ascii="Times New Roman" w:hAnsi="Times New Roman" w:eastAsia="宋体" w:cs="Times New Roman"/>
                <w:sz w:val="24"/>
                <w:szCs w:val="24"/>
              </w:rPr>
            </w:pPr>
            <w:r>
              <w:rPr>
                <w:rFonts w:ascii="Times New Roman" w:hAnsi="Times New Roman" w:eastAsia="宋体" w:cs="Times New Roman"/>
                <w:spacing w:val="-8"/>
                <w:sz w:val="24"/>
                <w:szCs w:val="24"/>
              </w:rPr>
              <w:t>联</w:t>
            </w:r>
            <w:r>
              <w:rPr>
                <w:rFonts w:ascii="Times New Roman" w:hAnsi="Times New Roman" w:eastAsia="宋体" w:cs="Times New Roman"/>
                <w:spacing w:val="-6"/>
                <w:sz w:val="24"/>
                <w:szCs w:val="24"/>
              </w:rPr>
              <w:t>系电话：0755-23375555</w:t>
            </w:r>
          </w:p>
        </w:tc>
      </w:tr>
    </w:tbl>
    <w:p w14:paraId="195248AC">
      <w:pPr>
        <w:spacing w:before="120" w:beforeLines="50" w:line="360" w:lineRule="auto"/>
        <w:rPr>
          <w:rFonts w:ascii="Times New Roman" w:hAnsi="Times New Roman" w:eastAsia="宋体" w:cs="Times New Roman"/>
          <w:b/>
          <w:bCs/>
          <w:sz w:val="28"/>
          <w:szCs w:val="28"/>
        </w:rPr>
      </w:pPr>
      <w:r>
        <w:rPr>
          <w:rFonts w:ascii="Times New Roman" w:hAnsi="Times New Roman" w:eastAsia="宋体" w:cs="Times New Roman"/>
          <w:b/>
          <w:bCs/>
          <w:spacing w:val="11"/>
          <w:sz w:val="28"/>
          <w:szCs w:val="28"/>
        </w:rPr>
        <w:t>一</w:t>
      </w:r>
      <w:r>
        <w:rPr>
          <w:rFonts w:ascii="Times New Roman" w:hAnsi="Times New Roman" w:eastAsia="宋体" w:cs="Times New Roman"/>
          <w:b/>
          <w:bCs/>
          <w:spacing w:val="7"/>
          <w:sz w:val="28"/>
          <w:szCs w:val="28"/>
        </w:rPr>
        <w:t>、保荐工作概述</w:t>
      </w:r>
    </w:p>
    <w:p w14:paraId="734379DB">
      <w:pPr>
        <w:spacing w:line="96" w:lineRule="auto"/>
        <w:rPr>
          <w:rFonts w:ascii="Times New Roman" w:hAnsi="Times New Roman" w:eastAsia="宋体" w:cs="Times New Roman"/>
          <w:sz w:val="2"/>
        </w:rPr>
      </w:pPr>
    </w:p>
    <w:tbl>
      <w:tblPr>
        <w:tblStyle w:val="7"/>
        <w:tblW w:w="4999"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57" w:type="dxa"/>
          <w:left w:w="57" w:type="dxa"/>
          <w:bottom w:w="57" w:type="dxa"/>
          <w:right w:w="57" w:type="dxa"/>
        </w:tblCellMar>
      </w:tblPr>
      <w:tblGrid>
        <w:gridCol w:w="4551"/>
        <w:gridCol w:w="4634"/>
      </w:tblGrid>
      <w:tr w14:paraId="1F49814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2646666E">
            <w:pPr>
              <w:jc w:val="center"/>
              <w:rPr>
                <w:rFonts w:ascii="Times New Roman" w:hAnsi="Times New Roman" w:eastAsia="宋体" w:cs="Times New Roman"/>
                <w:b/>
                <w:bCs/>
                <w:spacing w:val="-2"/>
                <w:sz w:val="24"/>
                <w:szCs w:val="24"/>
              </w:rPr>
            </w:pPr>
            <w:r>
              <w:rPr>
                <w:rFonts w:ascii="Times New Roman" w:hAnsi="Times New Roman" w:eastAsia="宋体" w:cs="Times New Roman"/>
                <w:b/>
                <w:bCs/>
                <w:spacing w:val="-2"/>
                <w:sz w:val="24"/>
                <w:szCs w:val="24"/>
              </w:rPr>
              <w:t>项目</w:t>
            </w:r>
          </w:p>
        </w:tc>
        <w:tc>
          <w:tcPr>
            <w:tcW w:w="2522" w:type="pct"/>
            <w:vAlign w:val="center"/>
          </w:tcPr>
          <w:p w14:paraId="0AD14FB5">
            <w:pPr>
              <w:jc w:val="center"/>
              <w:rPr>
                <w:rFonts w:ascii="Times New Roman" w:hAnsi="Times New Roman" w:eastAsia="宋体" w:cs="Times New Roman"/>
                <w:b/>
                <w:bCs/>
                <w:spacing w:val="-2"/>
                <w:sz w:val="24"/>
                <w:szCs w:val="24"/>
              </w:rPr>
            </w:pPr>
            <w:r>
              <w:rPr>
                <w:rFonts w:ascii="Times New Roman" w:hAnsi="Times New Roman" w:eastAsia="宋体" w:cs="Times New Roman"/>
                <w:b/>
                <w:bCs/>
                <w:spacing w:val="-2"/>
                <w:sz w:val="24"/>
                <w:szCs w:val="24"/>
              </w:rPr>
              <w:t>工作内容</w:t>
            </w:r>
          </w:p>
        </w:tc>
      </w:tr>
      <w:tr w14:paraId="60CDBB2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4A8AB78F">
            <w:pPr>
              <w:rPr>
                <w:rFonts w:ascii="Times New Roman" w:hAnsi="Times New Roman" w:eastAsia="宋体" w:cs="Times New Roman"/>
                <w:sz w:val="24"/>
                <w:szCs w:val="24"/>
              </w:rPr>
            </w:pPr>
            <w:r>
              <w:rPr>
                <w:rFonts w:ascii="Times New Roman" w:hAnsi="Times New Roman" w:eastAsia="宋体" w:cs="Times New Roman"/>
                <w:spacing w:val="-2"/>
                <w:sz w:val="24"/>
                <w:szCs w:val="24"/>
              </w:rPr>
              <w:t>1.公司信息披露</w:t>
            </w:r>
            <w:r>
              <w:rPr>
                <w:rFonts w:ascii="Times New Roman" w:hAnsi="Times New Roman" w:eastAsia="宋体" w:cs="Times New Roman"/>
                <w:spacing w:val="-1"/>
                <w:sz w:val="24"/>
                <w:szCs w:val="24"/>
              </w:rPr>
              <w:t>审阅情况</w:t>
            </w:r>
          </w:p>
        </w:tc>
        <w:tc>
          <w:tcPr>
            <w:tcW w:w="2522" w:type="pct"/>
            <w:vAlign w:val="center"/>
          </w:tcPr>
          <w:p w14:paraId="7982630C">
            <w:pPr>
              <w:jc w:val="center"/>
              <w:rPr>
                <w:rFonts w:ascii="Times New Roman" w:hAnsi="Times New Roman" w:eastAsia="宋体" w:cs="Times New Roman"/>
                <w:sz w:val="24"/>
                <w:szCs w:val="24"/>
              </w:rPr>
            </w:pPr>
          </w:p>
        </w:tc>
      </w:tr>
      <w:tr w14:paraId="4F032E8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29ADAEF5">
            <w:pPr>
              <w:ind w:firstLine="256" w:firstLineChars="100"/>
              <w:rPr>
                <w:rFonts w:ascii="Times New Roman" w:hAnsi="Times New Roman" w:eastAsia="宋体" w:cs="Times New Roman"/>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5"/>
                <w:sz w:val="24"/>
                <w:szCs w:val="24"/>
              </w:rPr>
              <w:t>1</w:t>
            </w:r>
            <w:r>
              <w:rPr>
                <w:rFonts w:hint="eastAsia" w:ascii="Times New Roman" w:hAnsi="Times New Roman" w:eastAsia="宋体" w:cs="Times New Roman"/>
                <w:spacing w:val="5"/>
                <w:sz w:val="24"/>
                <w:szCs w:val="24"/>
              </w:rPr>
              <w:t>）</w:t>
            </w:r>
            <w:r>
              <w:rPr>
                <w:rFonts w:ascii="Times New Roman" w:hAnsi="Times New Roman" w:eastAsia="宋体" w:cs="Times New Roman"/>
                <w:spacing w:val="5"/>
                <w:sz w:val="24"/>
                <w:szCs w:val="24"/>
              </w:rPr>
              <w:t>是否及时审阅公司信息披露文件</w:t>
            </w:r>
          </w:p>
        </w:tc>
        <w:tc>
          <w:tcPr>
            <w:tcW w:w="2522" w:type="pct"/>
            <w:vAlign w:val="center"/>
          </w:tcPr>
          <w:p w14:paraId="04BF486C">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是</w:t>
            </w:r>
          </w:p>
        </w:tc>
      </w:tr>
      <w:tr w14:paraId="00B5F00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577BAD6D">
            <w:pPr>
              <w:ind w:firstLine="256" w:firstLineChars="100"/>
              <w:rPr>
                <w:rFonts w:ascii="Times New Roman" w:hAnsi="Times New Roman" w:eastAsia="宋体" w:cs="Times New Roman"/>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2</w:t>
            </w:r>
            <w:r>
              <w:rPr>
                <w:rFonts w:hint="eastAsia" w:ascii="Times New Roman" w:hAnsi="Times New Roman" w:eastAsia="宋体" w:cs="Times New Roman"/>
                <w:spacing w:val="8"/>
                <w:sz w:val="24"/>
                <w:szCs w:val="24"/>
              </w:rPr>
              <w:t>）</w:t>
            </w:r>
            <w:r>
              <w:rPr>
                <w:rFonts w:ascii="Times New Roman" w:hAnsi="Times New Roman" w:eastAsia="宋体" w:cs="Times New Roman"/>
                <w:spacing w:val="4"/>
                <w:sz w:val="24"/>
                <w:szCs w:val="24"/>
              </w:rPr>
              <w:t>未及时审阅公司信息披露文件的次数</w:t>
            </w:r>
          </w:p>
        </w:tc>
        <w:tc>
          <w:tcPr>
            <w:tcW w:w="2522" w:type="pct"/>
            <w:vAlign w:val="center"/>
          </w:tcPr>
          <w:p w14:paraId="710F7C51">
            <w:pPr>
              <w:jc w:val="center"/>
              <w:rPr>
                <w:rFonts w:ascii="Times New Roman" w:hAnsi="Times New Roman" w:eastAsia="宋体" w:cs="Times New Roman"/>
                <w:sz w:val="24"/>
                <w:szCs w:val="24"/>
              </w:rPr>
            </w:pPr>
            <w:r>
              <w:rPr>
                <w:rFonts w:ascii="Times New Roman" w:hAnsi="Times New Roman" w:eastAsia="宋体" w:cs="Times New Roman"/>
                <w:sz w:val="24"/>
                <w:szCs w:val="24"/>
              </w:rPr>
              <w:t>0</w:t>
            </w:r>
            <w:r>
              <w:rPr>
                <w:rFonts w:hint="eastAsia" w:ascii="Times New Roman" w:hAnsi="Times New Roman" w:eastAsia="宋体" w:cs="Times New Roman"/>
                <w:sz w:val="24"/>
                <w:szCs w:val="24"/>
              </w:rPr>
              <w:t>次</w:t>
            </w:r>
          </w:p>
        </w:tc>
      </w:tr>
      <w:tr w14:paraId="50A3670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0C45A51E">
            <w:pPr>
              <w:rPr>
                <w:rFonts w:ascii="Times New Roman" w:hAnsi="Times New Roman" w:eastAsia="宋体" w:cs="Times New Roman"/>
                <w:sz w:val="24"/>
                <w:szCs w:val="24"/>
              </w:rPr>
            </w:pPr>
            <w:r>
              <w:rPr>
                <w:rFonts w:ascii="Times New Roman" w:hAnsi="Times New Roman" w:eastAsia="宋体" w:cs="Times New Roman"/>
                <w:spacing w:val="-8"/>
                <w:sz w:val="24"/>
                <w:szCs w:val="24"/>
              </w:rPr>
              <w:t>2．督</w:t>
            </w:r>
            <w:r>
              <w:rPr>
                <w:rFonts w:ascii="Times New Roman" w:hAnsi="Times New Roman" w:eastAsia="宋体" w:cs="Times New Roman"/>
                <w:spacing w:val="-4"/>
                <w:sz w:val="24"/>
                <w:szCs w:val="24"/>
              </w:rPr>
              <w:t>导公司建立健全并有效执行规章制度的情况</w:t>
            </w:r>
          </w:p>
        </w:tc>
        <w:tc>
          <w:tcPr>
            <w:tcW w:w="2522" w:type="pct"/>
            <w:vAlign w:val="center"/>
          </w:tcPr>
          <w:p w14:paraId="4DBEE987">
            <w:pPr>
              <w:jc w:val="center"/>
              <w:rPr>
                <w:rFonts w:ascii="Times New Roman" w:hAnsi="Times New Roman" w:eastAsia="宋体" w:cs="Times New Roman"/>
                <w:sz w:val="24"/>
                <w:szCs w:val="24"/>
              </w:rPr>
            </w:pPr>
          </w:p>
        </w:tc>
      </w:tr>
      <w:tr w14:paraId="4B9983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636DCD31">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1</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是否督导公司建立健全规章制度</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包括但不限于防止关联方占用公司资源的制度、募集资金管理制度、内控制度、内部审计制度、关联交易制度</w:t>
            </w:r>
            <w:r>
              <w:rPr>
                <w:rFonts w:hint="eastAsia" w:ascii="Times New Roman" w:hAnsi="Times New Roman" w:eastAsia="宋体" w:cs="Times New Roman"/>
                <w:spacing w:val="8"/>
                <w:sz w:val="24"/>
                <w:szCs w:val="24"/>
              </w:rPr>
              <w:t>）</w:t>
            </w:r>
          </w:p>
        </w:tc>
        <w:tc>
          <w:tcPr>
            <w:tcW w:w="2522" w:type="pct"/>
            <w:vAlign w:val="center"/>
          </w:tcPr>
          <w:p w14:paraId="67047189">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是</w:t>
            </w:r>
          </w:p>
        </w:tc>
      </w:tr>
      <w:tr w14:paraId="2EA6FBE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2F74B6DC">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2</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公司是否有效执行相关规章制度</w:t>
            </w:r>
          </w:p>
        </w:tc>
        <w:tc>
          <w:tcPr>
            <w:tcW w:w="2522" w:type="pct"/>
            <w:vAlign w:val="center"/>
          </w:tcPr>
          <w:p w14:paraId="6588822F">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是</w:t>
            </w:r>
          </w:p>
        </w:tc>
      </w:tr>
      <w:tr w14:paraId="256FFC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0E5CF9E9">
            <w:pPr>
              <w:rPr>
                <w:rFonts w:ascii="Times New Roman" w:hAnsi="Times New Roman" w:eastAsia="宋体" w:cs="Times New Roman"/>
                <w:sz w:val="24"/>
                <w:szCs w:val="24"/>
              </w:rPr>
            </w:pPr>
            <w:r>
              <w:rPr>
                <w:rFonts w:ascii="Times New Roman" w:hAnsi="Times New Roman" w:eastAsia="宋体" w:cs="Times New Roman"/>
                <w:spacing w:val="-1"/>
                <w:sz w:val="24"/>
                <w:szCs w:val="24"/>
              </w:rPr>
              <w:t>3.募集资金监督</w:t>
            </w:r>
            <w:r>
              <w:rPr>
                <w:rFonts w:ascii="Times New Roman" w:hAnsi="Times New Roman" w:eastAsia="宋体" w:cs="Times New Roman"/>
                <w:sz w:val="24"/>
                <w:szCs w:val="24"/>
              </w:rPr>
              <w:t>情况</w:t>
            </w:r>
          </w:p>
        </w:tc>
        <w:tc>
          <w:tcPr>
            <w:tcW w:w="2522" w:type="pct"/>
            <w:vAlign w:val="center"/>
          </w:tcPr>
          <w:p w14:paraId="385DEA82">
            <w:pPr>
              <w:jc w:val="center"/>
              <w:rPr>
                <w:rFonts w:ascii="Times New Roman" w:hAnsi="Times New Roman" w:eastAsia="宋体" w:cs="Times New Roman"/>
                <w:sz w:val="24"/>
                <w:szCs w:val="24"/>
              </w:rPr>
            </w:pPr>
          </w:p>
        </w:tc>
      </w:tr>
      <w:tr w14:paraId="405DCF8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3D102273">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1</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查询公司募集资金专户次数</w:t>
            </w:r>
          </w:p>
        </w:tc>
        <w:tc>
          <w:tcPr>
            <w:tcW w:w="2522" w:type="pct"/>
            <w:vAlign w:val="center"/>
          </w:tcPr>
          <w:p w14:paraId="24869220">
            <w:pPr>
              <w:ind w:firstLine="480" w:firstLineChars="200"/>
              <w:jc w:val="both"/>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rPr>
              <w:t>每月取得募集资金专户的对账单；每半年对公司募集资金专户明细进行现场核查</w:t>
            </w:r>
            <w:r>
              <w:rPr>
                <w:rFonts w:hint="eastAsia" w:ascii="Times New Roman" w:hAnsi="Times New Roman" w:eastAsia="宋体" w:cs="Times New Roman"/>
                <w:sz w:val="24"/>
                <w:szCs w:val="24"/>
                <w:lang w:eastAsia="zh-CN"/>
              </w:rPr>
              <w:t>。</w:t>
            </w:r>
          </w:p>
        </w:tc>
      </w:tr>
      <w:tr w14:paraId="585FC99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365EED00">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2</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公司募集资金项目进展是否与信息披露文件一致</w:t>
            </w:r>
          </w:p>
        </w:tc>
        <w:tc>
          <w:tcPr>
            <w:tcW w:w="2522" w:type="pct"/>
            <w:vAlign w:val="center"/>
          </w:tcPr>
          <w:p w14:paraId="630B129B">
            <w:pPr>
              <w:ind w:firstLine="480" w:firstLineChars="200"/>
              <w:jc w:val="both"/>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rPr>
              <w:t>公司募集资金投资项目与招股说明书中披露的项目进度存在差异</w:t>
            </w:r>
            <w:r>
              <w:rPr>
                <w:rFonts w:hint="eastAsia" w:ascii="Times New Roman" w:hAnsi="Times New Roman" w:eastAsia="宋体" w:cs="Times New Roman"/>
                <w:sz w:val="24"/>
                <w:szCs w:val="24"/>
                <w:lang w:eastAsia="zh-CN"/>
              </w:rPr>
              <w:t>：</w:t>
            </w:r>
          </w:p>
          <w:p w14:paraId="7A608E17">
            <w:pPr>
              <w:numPr>
                <w:ilvl w:val="0"/>
                <w:numId w:val="1"/>
              </w:numPr>
              <w:ind w:firstLine="480" w:firstLineChars="200"/>
              <w:jc w:val="both"/>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rPr>
              <w:t>深圳综合运营中心项目</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公司于2023年8月2日召开第三届董事会第十四次会议和第三届监事会第十二次会议，并于2023年8月21日召开2023年第三次临时股东大会，审议通过了《关于变更募投项目实施主体、实施地点及部分募集资金用途的议案》，将原募投</w:t>
            </w:r>
            <w:r>
              <w:rPr>
                <w:rFonts w:hint="eastAsia" w:ascii="Times New Roman" w:hAnsi="Times New Roman" w:eastAsia="宋体" w:cs="Times New Roman"/>
                <w:sz w:val="24"/>
                <w:szCs w:val="24"/>
                <w:lang w:eastAsia="zh-CN"/>
              </w:rPr>
              <w:t>项目</w:t>
            </w:r>
            <w:r>
              <w:rPr>
                <w:rFonts w:hint="eastAsia" w:ascii="Times New Roman" w:hAnsi="Times New Roman" w:eastAsia="宋体" w:cs="Times New Roman"/>
                <w:sz w:val="24"/>
                <w:szCs w:val="24"/>
              </w:rPr>
              <w:t>“大数据应用技术中心建设项目”扩展升级为“深圳综合运营中心项目”。公司于2024年8月28日召开了第三届董事会第二十四次会议和第三届监事会第二十二次会议审议通过《关于部分募集资金投资项目延期的议案》，对项目进度规划进行调整，将“深圳综合运营中心项目”达到预定可使用状态时间由2024年8月25日延长至2025年8月24日</w:t>
            </w:r>
            <w:r>
              <w:rPr>
                <w:rFonts w:hint="eastAsia" w:ascii="Times New Roman" w:hAnsi="Times New Roman" w:eastAsia="宋体" w:cs="Times New Roman"/>
                <w:sz w:val="24"/>
                <w:szCs w:val="24"/>
                <w:lang w:eastAsia="zh-CN"/>
              </w:rPr>
              <w:t>。公司监事会就该事项发表了同意意见。</w:t>
            </w:r>
          </w:p>
          <w:p w14:paraId="29E9AF15">
            <w:pPr>
              <w:numPr>
                <w:ilvl w:val="0"/>
                <w:numId w:val="1"/>
              </w:numPr>
              <w:ind w:firstLine="480" w:firstLineChars="200"/>
              <w:jc w:val="both"/>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终止“智慧城市综合解决方案升级项目”并</w:t>
            </w:r>
            <w:r>
              <w:rPr>
                <w:rFonts w:hint="eastAsia" w:ascii="Times New Roman" w:hAnsi="Times New Roman" w:eastAsia="宋体" w:cs="Times New Roman"/>
                <w:sz w:val="24"/>
                <w:szCs w:val="24"/>
                <w:lang w:eastAsia="zh-CN"/>
              </w:rPr>
              <w:t>变更</w:t>
            </w:r>
            <w:r>
              <w:rPr>
                <w:rFonts w:hint="eastAsia" w:ascii="Times New Roman" w:hAnsi="Times New Roman" w:eastAsia="宋体" w:cs="Times New Roman"/>
                <w:sz w:val="24"/>
                <w:szCs w:val="24"/>
                <w:lang w:val="en-US" w:eastAsia="zh-CN"/>
              </w:rPr>
              <w:t>募投项目为“</w:t>
            </w:r>
            <w:r>
              <w:rPr>
                <w:rFonts w:hint="eastAsia" w:ascii="Times New Roman" w:hAnsi="Times New Roman" w:eastAsia="宋体" w:cs="Times New Roman"/>
                <w:sz w:val="24"/>
                <w:szCs w:val="24"/>
              </w:rPr>
              <w:t>算力集群服务项目</w:t>
            </w:r>
            <w:r>
              <w:rPr>
                <w:rFonts w:hint="eastAsia"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rPr>
              <w:t>2024年12月11日</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公司</w:t>
            </w:r>
            <w:r>
              <w:rPr>
                <w:rFonts w:hint="eastAsia" w:ascii="Times New Roman" w:hAnsi="Times New Roman" w:eastAsia="宋体" w:cs="Times New Roman"/>
                <w:sz w:val="24"/>
                <w:szCs w:val="24"/>
              </w:rPr>
              <w:t>召开了第三届董事会第二十六次会议和第三届监事会第二十四次会议，并于2024年12月27日召开2024年第四次临时股东会，审议通过了《关于变更部分募集资金用途的议案》，同意终止原募投项目“智慧城市综合解决方案升级项目”，将其部分募集资金11,716.00万元变更用于实施“算力集群服务项目”，剩余募集资金及其孳息将根据公司未来经营需要，适时投入其他项目建设或其他用途</w:t>
            </w:r>
            <w:r>
              <w:rPr>
                <w:rFonts w:hint="eastAsia" w:ascii="Times New Roman" w:hAnsi="Times New Roman" w:eastAsia="宋体" w:cs="Times New Roman"/>
                <w:sz w:val="24"/>
                <w:szCs w:val="24"/>
                <w:lang w:eastAsia="zh-CN"/>
              </w:rPr>
              <w:t>。公司监事会就该事项发表了同意意见。</w:t>
            </w:r>
          </w:p>
          <w:p w14:paraId="57D43E66">
            <w:pPr>
              <w:ind w:firstLine="480" w:firstLineChars="200"/>
              <w:jc w:val="both"/>
              <w:rPr>
                <w:rFonts w:ascii="Times New Roman" w:hAnsi="Times New Roman" w:eastAsia="宋体" w:cs="Times New Roman"/>
                <w:sz w:val="24"/>
                <w:szCs w:val="24"/>
              </w:rPr>
            </w:pPr>
            <w:r>
              <w:rPr>
                <w:rFonts w:hint="eastAsia" w:ascii="Times New Roman" w:hAnsi="Times New Roman" w:eastAsia="宋体" w:cs="Times New Roman"/>
                <w:sz w:val="24"/>
                <w:szCs w:val="24"/>
              </w:rPr>
              <w:t>保荐机构已提示公司关注内外部形势的变化，关注募集资金使用和募投项目实施进度。</w:t>
            </w:r>
          </w:p>
        </w:tc>
      </w:tr>
      <w:tr w14:paraId="4F98E1E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5AFACC0A">
            <w:pPr>
              <w:rPr>
                <w:rFonts w:ascii="Times New Roman" w:hAnsi="Times New Roman" w:eastAsia="宋体" w:cs="Times New Roman"/>
                <w:sz w:val="24"/>
                <w:szCs w:val="24"/>
              </w:rPr>
            </w:pPr>
            <w:r>
              <w:rPr>
                <w:rFonts w:ascii="Times New Roman" w:hAnsi="Times New Roman" w:eastAsia="宋体" w:cs="Times New Roman"/>
                <w:spacing w:val="-1"/>
                <w:sz w:val="24"/>
                <w:szCs w:val="24"/>
              </w:rPr>
              <w:t>4.公</w:t>
            </w:r>
            <w:r>
              <w:rPr>
                <w:rFonts w:ascii="Times New Roman" w:hAnsi="Times New Roman" w:eastAsia="宋体" w:cs="Times New Roman"/>
                <w:sz w:val="24"/>
                <w:szCs w:val="24"/>
              </w:rPr>
              <w:t>司治理督导情况</w:t>
            </w:r>
          </w:p>
        </w:tc>
        <w:tc>
          <w:tcPr>
            <w:tcW w:w="2522" w:type="pct"/>
            <w:vAlign w:val="center"/>
          </w:tcPr>
          <w:p w14:paraId="5452F87B">
            <w:pPr>
              <w:jc w:val="center"/>
              <w:rPr>
                <w:rFonts w:ascii="Times New Roman" w:hAnsi="Times New Roman" w:eastAsia="宋体" w:cs="Times New Roman"/>
                <w:sz w:val="24"/>
                <w:szCs w:val="24"/>
              </w:rPr>
            </w:pPr>
          </w:p>
        </w:tc>
      </w:tr>
      <w:tr w14:paraId="16C8CCA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782F3879">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1</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列席公司股东大会次数</w:t>
            </w:r>
          </w:p>
        </w:tc>
        <w:tc>
          <w:tcPr>
            <w:tcW w:w="2522" w:type="pct"/>
            <w:vAlign w:val="center"/>
          </w:tcPr>
          <w:p w14:paraId="44E2BAFC">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未出席，已审阅会议议案</w:t>
            </w:r>
          </w:p>
        </w:tc>
      </w:tr>
      <w:tr w14:paraId="01E3283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771A6D55">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2</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列席公司董事会次数</w:t>
            </w:r>
          </w:p>
        </w:tc>
        <w:tc>
          <w:tcPr>
            <w:tcW w:w="2522" w:type="pct"/>
            <w:vAlign w:val="center"/>
          </w:tcPr>
          <w:p w14:paraId="61A0385E">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未出席，已审阅会议议案</w:t>
            </w:r>
          </w:p>
        </w:tc>
      </w:tr>
      <w:tr w14:paraId="7BD1F09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29FBF503">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3</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列席公司监事会次数</w:t>
            </w:r>
          </w:p>
        </w:tc>
        <w:tc>
          <w:tcPr>
            <w:tcW w:w="2522" w:type="pct"/>
            <w:vAlign w:val="center"/>
          </w:tcPr>
          <w:p w14:paraId="1EF20D8E">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未出席，已审阅会议议案</w:t>
            </w:r>
          </w:p>
        </w:tc>
      </w:tr>
      <w:tr w14:paraId="471B14A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4EDFC4D8">
            <w:pPr>
              <w:rPr>
                <w:rFonts w:ascii="Times New Roman" w:hAnsi="Times New Roman" w:eastAsia="宋体" w:cs="Times New Roman"/>
                <w:sz w:val="24"/>
                <w:szCs w:val="24"/>
              </w:rPr>
            </w:pPr>
            <w:r>
              <w:rPr>
                <w:rFonts w:ascii="Times New Roman" w:hAnsi="Times New Roman" w:eastAsia="宋体" w:cs="Times New Roman"/>
                <w:spacing w:val="-1"/>
                <w:sz w:val="24"/>
                <w:szCs w:val="24"/>
              </w:rPr>
              <w:t>5.现场检查情况</w:t>
            </w:r>
          </w:p>
        </w:tc>
        <w:tc>
          <w:tcPr>
            <w:tcW w:w="2522" w:type="pct"/>
            <w:vAlign w:val="center"/>
          </w:tcPr>
          <w:p w14:paraId="16EB2108">
            <w:pPr>
              <w:jc w:val="center"/>
              <w:rPr>
                <w:rFonts w:ascii="Times New Roman" w:hAnsi="Times New Roman" w:eastAsia="宋体" w:cs="Times New Roman"/>
                <w:sz w:val="24"/>
                <w:szCs w:val="24"/>
              </w:rPr>
            </w:pPr>
          </w:p>
        </w:tc>
      </w:tr>
      <w:tr w14:paraId="3EF7C24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7C261E5D">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1</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现场检查次数</w:t>
            </w:r>
          </w:p>
        </w:tc>
        <w:tc>
          <w:tcPr>
            <w:tcW w:w="2522" w:type="pct"/>
            <w:vAlign w:val="center"/>
          </w:tcPr>
          <w:p w14:paraId="4D06602C">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1次</w:t>
            </w:r>
          </w:p>
        </w:tc>
      </w:tr>
      <w:tr w14:paraId="639C4EC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64346E70">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2</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现场检查报告是否按照本所规定报送</w:t>
            </w:r>
          </w:p>
        </w:tc>
        <w:tc>
          <w:tcPr>
            <w:tcW w:w="2522" w:type="pct"/>
            <w:vAlign w:val="center"/>
          </w:tcPr>
          <w:p w14:paraId="52D33334">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是</w:t>
            </w:r>
          </w:p>
        </w:tc>
      </w:tr>
      <w:tr w14:paraId="7E37A2A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00B5511F">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3</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现场检查发现的主要问题及整改情况</w:t>
            </w:r>
          </w:p>
        </w:tc>
        <w:tc>
          <w:tcPr>
            <w:tcW w:w="2522" w:type="pct"/>
            <w:vAlign w:val="center"/>
          </w:tcPr>
          <w:p w14:paraId="72ADDB17">
            <w:pPr>
              <w:keepNext w:val="0"/>
              <w:keepLines w:val="0"/>
              <w:pageBreakBefore w:val="0"/>
              <w:widowControl/>
              <w:kinsoku w:val="0"/>
              <w:wordWrap/>
              <w:overflowPunct/>
              <w:topLinePunct w:val="0"/>
              <w:autoSpaceDE w:val="0"/>
              <w:autoSpaceDN w:val="0"/>
              <w:bidi w:val="0"/>
              <w:adjustRightInd w:val="0"/>
              <w:snapToGrid w:val="0"/>
              <w:ind w:firstLine="480" w:firstLineChars="200"/>
              <w:jc w:val="both"/>
              <w:textAlignment w:val="baseline"/>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关于募集资金投资项目的实施进展与招股说明书中披露的项目进度存在差异，保荐机构将持续关注公司募集资金使用情况，并督促上市公司持续关注募投项目的实施进度，若募投项目存在延期风险或其他计划，上市公司应当及时启动论证和审议程序并履行披露义务。</w:t>
            </w:r>
          </w:p>
        </w:tc>
      </w:tr>
      <w:tr w14:paraId="7EF492D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092A5062">
            <w:pPr>
              <w:rPr>
                <w:rFonts w:ascii="Times New Roman" w:hAnsi="Times New Roman" w:eastAsia="宋体" w:cs="Times New Roman"/>
                <w:sz w:val="24"/>
                <w:szCs w:val="24"/>
              </w:rPr>
            </w:pPr>
            <w:r>
              <w:rPr>
                <w:rFonts w:ascii="Times New Roman" w:hAnsi="Times New Roman" w:eastAsia="宋体" w:cs="Times New Roman"/>
                <w:spacing w:val="-1"/>
                <w:sz w:val="24"/>
                <w:szCs w:val="24"/>
              </w:rPr>
              <w:t>6.发表专项</w:t>
            </w:r>
            <w:r>
              <w:rPr>
                <w:rFonts w:ascii="Times New Roman" w:hAnsi="Times New Roman" w:eastAsia="宋体" w:cs="Times New Roman"/>
                <w:sz w:val="24"/>
                <w:szCs w:val="24"/>
              </w:rPr>
              <w:t>意见情况</w:t>
            </w:r>
          </w:p>
        </w:tc>
        <w:tc>
          <w:tcPr>
            <w:tcW w:w="2522" w:type="pct"/>
            <w:vAlign w:val="center"/>
          </w:tcPr>
          <w:p w14:paraId="244DF1C6">
            <w:pPr>
              <w:jc w:val="center"/>
              <w:rPr>
                <w:rFonts w:ascii="Times New Roman" w:hAnsi="Times New Roman" w:eastAsia="宋体" w:cs="Times New Roman"/>
                <w:sz w:val="24"/>
                <w:szCs w:val="24"/>
              </w:rPr>
            </w:pPr>
          </w:p>
        </w:tc>
      </w:tr>
      <w:tr w14:paraId="26F0F24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726C4D90">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1</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发表专项意见次数</w:t>
            </w:r>
          </w:p>
        </w:tc>
        <w:tc>
          <w:tcPr>
            <w:tcW w:w="2522" w:type="pct"/>
            <w:vAlign w:val="center"/>
          </w:tcPr>
          <w:p w14:paraId="195A2BD8">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9</w:t>
            </w:r>
            <w:r>
              <w:rPr>
                <w:rFonts w:hint="eastAsia" w:ascii="Times New Roman" w:hAnsi="Times New Roman" w:eastAsia="宋体" w:cs="Times New Roman"/>
                <w:sz w:val="24"/>
                <w:szCs w:val="24"/>
              </w:rPr>
              <w:t>次</w:t>
            </w:r>
          </w:p>
        </w:tc>
      </w:tr>
      <w:tr w14:paraId="6BF1229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2B04F608">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2</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发表非同意意见所涉问题及结论意见</w:t>
            </w:r>
          </w:p>
        </w:tc>
        <w:tc>
          <w:tcPr>
            <w:tcW w:w="2522" w:type="pct"/>
            <w:vAlign w:val="center"/>
          </w:tcPr>
          <w:p w14:paraId="4A9FF1A8">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不适用</w:t>
            </w:r>
          </w:p>
        </w:tc>
      </w:tr>
      <w:tr w14:paraId="5D9A33F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64398950">
            <w:pPr>
              <w:rPr>
                <w:rFonts w:ascii="Times New Roman" w:hAnsi="Times New Roman" w:eastAsia="宋体" w:cs="Times New Roman"/>
                <w:sz w:val="24"/>
                <w:szCs w:val="24"/>
              </w:rPr>
            </w:pPr>
            <w:r>
              <w:rPr>
                <w:rFonts w:ascii="Times New Roman" w:hAnsi="Times New Roman" w:eastAsia="宋体" w:cs="Times New Roman"/>
                <w:spacing w:val="8"/>
                <w:sz w:val="24"/>
                <w:szCs w:val="24"/>
              </w:rPr>
              <w:t>7.向</w:t>
            </w:r>
            <w:r>
              <w:rPr>
                <w:rFonts w:ascii="Times New Roman" w:hAnsi="Times New Roman" w:eastAsia="宋体" w:cs="Times New Roman"/>
                <w:spacing w:val="4"/>
                <w:sz w:val="24"/>
                <w:szCs w:val="24"/>
              </w:rPr>
              <w:t>本所报告情况</w:t>
            </w:r>
            <w:r>
              <w:rPr>
                <w:rFonts w:hint="eastAsia" w:ascii="Times New Roman" w:hAnsi="Times New Roman" w:eastAsia="宋体" w:cs="Times New Roman"/>
                <w:spacing w:val="4"/>
                <w:sz w:val="24"/>
                <w:szCs w:val="24"/>
              </w:rPr>
              <w:t>（</w:t>
            </w:r>
            <w:r>
              <w:rPr>
                <w:rFonts w:ascii="Times New Roman" w:hAnsi="Times New Roman" w:eastAsia="宋体" w:cs="Times New Roman"/>
                <w:spacing w:val="4"/>
                <w:sz w:val="24"/>
                <w:szCs w:val="24"/>
              </w:rPr>
              <w:t>现场检查报告除外</w:t>
            </w:r>
            <w:r>
              <w:rPr>
                <w:rFonts w:hint="eastAsia" w:ascii="Times New Roman" w:hAnsi="Times New Roman" w:eastAsia="宋体" w:cs="Times New Roman"/>
                <w:spacing w:val="4"/>
                <w:sz w:val="24"/>
                <w:szCs w:val="24"/>
              </w:rPr>
              <w:t>）</w:t>
            </w:r>
          </w:p>
        </w:tc>
        <w:tc>
          <w:tcPr>
            <w:tcW w:w="2522" w:type="pct"/>
            <w:vAlign w:val="center"/>
          </w:tcPr>
          <w:p w14:paraId="66C53C12">
            <w:pPr>
              <w:jc w:val="center"/>
              <w:rPr>
                <w:rFonts w:ascii="Times New Roman" w:hAnsi="Times New Roman" w:eastAsia="宋体" w:cs="Times New Roman"/>
                <w:sz w:val="24"/>
                <w:szCs w:val="24"/>
              </w:rPr>
            </w:pPr>
          </w:p>
        </w:tc>
      </w:tr>
      <w:tr w14:paraId="7BB8B8C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542FFBEA">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1</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向本所报告的次数</w:t>
            </w:r>
          </w:p>
        </w:tc>
        <w:tc>
          <w:tcPr>
            <w:tcW w:w="2522" w:type="pct"/>
            <w:vAlign w:val="center"/>
          </w:tcPr>
          <w:p w14:paraId="28ED6A2B">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0次</w:t>
            </w:r>
          </w:p>
        </w:tc>
      </w:tr>
      <w:tr w14:paraId="2091871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78366642">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2</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报告事项的主要内容</w:t>
            </w:r>
          </w:p>
        </w:tc>
        <w:tc>
          <w:tcPr>
            <w:tcW w:w="2522" w:type="pct"/>
            <w:vAlign w:val="center"/>
          </w:tcPr>
          <w:p w14:paraId="1656FC84">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不适用</w:t>
            </w:r>
          </w:p>
        </w:tc>
      </w:tr>
      <w:tr w14:paraId="78D9BE1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5FBCD810">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3</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报告事项的进展或者整改情况</w:t>
            </w:r>
          </w:p>
        </w:tc>
        <w:tc>
          <w:tcPr>
            <w:tcW w:w="2522" w:type="pct"/>
            <w:vAlign w:val="center"/>
          </w:tcPr>
          <w:p w14:paraId="66E7DF1D">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不适用</w:t>
            </w:r>
          </w:p>
        </w:tc>
      </w:tr>
      <w:tr w14:paraId="056F105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3C8486DF">
            <w:pPr>
              <w:rPr>
                <w:rFonts w:ascii="Times New Roman" w:hAnsi="Times New Roman" w:eastAsia="宋体" w:cs="Times New Roman"/>
                <w:sz w:val="24"/>
                <w:szCs w:val="24"/>
              </w:rPr>
            </w:pPr>
            <w:r>
              <w:rPr>
                <w:rFonts w:ascii="Times New Roman" w:hAnsi="Times New Roman" w:eastAsia="宋体" w:cs="Times New Roman"/>
                <w:spacing w:val="-1"/>
                <w:sz w:val="24"/>
                <w:szCs w:val="24"/>
              </w:rPr>
              <w:t>8.关注职</w:t>
            </w:r>
            <w:r>
              <w:rPr>
                <w:rFonts w:ascii="Times New Roman" w:hAnsi="Times New Roman" w:eastAsia="宋体" w:cs="Times New Roman"/>
                <w:sz w:val="24"/>
                <w:szCs w:val="24"/>
              </w:rPr>
              <w:t>责的履行情况</w:t>
            </w:r>
          </w:p>
        </w:tc>
        <w:tc>
          <w:tcPr>
            <w:tcW w:w="2522" w:type="pct"/>
            <w:vAlign w:val="center"/>
          </w:tcPr>
          <w:p w14:paraId="55C71AD4">
            <w:pPr>
              <w:jc w:val="center"/>
              <w:rPr>
                <w:rFonts w:ascii="Times New Roman" w:hAnsi="Times New Roman" w:eastAsia="宋体" w:cs="Times New Roman"/>
                <w:sz w:val="24"/>
                <w:szCs w:val="24"/>
              </w:rPr>
            </w:pPr>
          </w:p>
        </w:tc>
      </w:tr>
      <w:tr w14:paraId="1211C9B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1937248D">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1</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是否存在需要关注的事项</w:t>
            </w:r>
          </w:p>
        </w:tc>
        <w:tc>
          <w:tcPr>
            <w:tcW w:w="2522" w:type="pct"/>
            <w:vAlign w:val="center"/>
          </w:tcPr>
          <w:p w14:paraId="35F5529C">
            <w:pPr>
              <w:jc w:val="center"/>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是</w:t>
            </w:r>
          </w:p>
        </w:tc>
      </w:tr>
      <w:tr w14:paraId="0BE0E98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56F7C31C">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2</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关注事项的主要内容</w:t>
            </w:r>
          </w:p>
        </w:tc>
        <w:tc>
          <w:tcPr>
            <w:tcW w:w="2522" w:type="pct"/>
            <w:vAlign w:val="center"/>
          </w:tcPr>
          <w:p w14:paraId="2DBCD1B7">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募集资金项目进展情况</w:t>
            </w:r>
          </w:p>
        </w:tc>
      </w:tr>
      <w:tr w14:paraId="7157930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0C93128E">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3</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关注事项的进展或者整改情况</w:t>
            </w:r>
          </w:p>
        </w:tc>
        <w:tc>
          <w:tcPr>
            <w:tcW w:w="2522" w:type="pct"/>
            <w:vAlign w:val="center"/>
          </w:tcPr>
          <w:p w14:paraId="7C04E63B">
            <w:pPr>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1）深圳综合运营中心项目：公司于2024年8月28日召开了第三届董事会第二十四次会议和第三届监事会第二十二次会议审议通过《关于部分募集资金投资项目延期的议案》，对项目进度规划进行调整，将“深圳综合运营中心项目”达到预定可使用状态时间由2024年8月25日延长至2025年8月24日。</w:t>
            </w:r>
            <w:r>
              <w:rPr>
                <w:rFonts w:hint="eastAsia" w:ascii="Times New Roman" w:hAnsi="Times New Roman" w:eastAsia="宋体" w:cs="Times New Roman"/>
                <w:sz w:val="24"/>
                <w:szCs w:val="24"/>
                <w:lang w:eastAsia="zh-CN"/>
              </w:rPr>
              <w:t>公司监事会就该事项发表了同意意见。截至2024年</w:t>
            </w:r>
            <w:r>
              <w:rPr>
                <w:rFonts w:hint="eastAsia" w:ascii="Times New Roman" w:hAnsi="Times New Roman" w:eastAsia="宋体" w:cs="Times New Roman"/>
                <w:sz w:val="24"/>
                <w:szCs w:val="24"/>
                <w:lang w:val="en-US" w:eastAsia="zh-CN"/>
              </w:rPr>
              <w:t>12</w:t>
            </w:r>
            <w:r>
              <w:rPr>
                <w:rFonts w:hint="eastAsia" w:ascii="Times New Roman" w:hAnsi="Times New Roman" w:eastAsia="宋体" w:cs="Times New Roman"/>
                <w:sz w:val="24"/>
                <w:szCs w:val="24"/>
                <w:lang w:eastAsia="zh-CN"/>
              </w:rPr>
              <w:t>月31日，募投项目“深圳综合运营中心项目”合计投入募集资金</w:t>
            </w:r>
            <w:r>
              <w:rPr>
                <w:rFonts w:hint="eastAsia" w:ascii="Times New Roman" w:hAnsi="Times New Roman" w:eastAsia="宋体" w:cs="Times New Roman"/>
                <w:sz w:val="24"/>
                <w:szCs w:val="24"/>
                <w:lang w:val="en-US" w:eastAsia="zh-CN"/>
              </w:rPr>
              <w:t>7,398.22</w:t>
            </w:r>
            <w:r>
              <w:rPr>
                <w:rFonts w:hint="eastAsia" w:ascii="Times New Roman" w:hAnsi="Times New Roman" w:eastAsia="宋体" w:cs="Times New Roman"/>
                <w:sz w:val="24"/>
                <w:szCs w:val="24"/>
                <w:lang w:eastAsia="zh-CN"/>
              </w:rPr>
              <w:t>万元。</w:t>
            </w:r>
          </w:p>
          <w:p w14:paraId="2A38B4DF">
            <w:pPr>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终止</w:t>
            </w:r>
            <w:r>
              <w:rPr>
                <w:rFonts w:hint="eastAsia" w:ascii="Times New Roman" w:hAnsi="Times New Roman" w:eastAsia="宋体" w:cs="Times New Roman"/>
                <w:sz w:val="24"/>
                <w:szCs w:val="24"/>
              </w:rPr>
              <w:t>“智慧城市综合解决方案升级项目”并</w:t>
            </w:r>
            <w:r>
              <w:rPr>
                <w:rFonts w:hint="eastAsia" w:ascii="Times New Roman" w:hAnsi="Times New Roman" w:eastAsia="宋体" w:cs="Times New Roman"/>
                <w:sz w:val="24"/>
                <w:szCs w:val="24"/>
                <w:lang w:eastAsia="zh-CN"/>
              </w:rPr>
              <w:t>变更</w:t>
            </w:r>
            <w:r>
              <w:rPr>
                <w:rFonts w:hint="eastAsia" w:ascii="Times New Roman" w:hAnsi="Times New Roman" w:eastAsia="宋体" w:cs="Times New Roman"/>
                <w:sz w:val="24"/>
                <w:szCs w:val="24"/>
                <w:lang w:val="en-US" w:eastAsia="zh-CN"/>
              </w:rPr>
              <w:t>募投项目</w:t>
            </w:r>
            <w:r>
              <w:rPr>
                <w:rFonts w:hint="eastAsia" w:ascii="Times New Roman" w:hAnsi="Times New Roman" w:eastAsia="宋体" w:cs="Times New Roman"/>
                <w:sz w:val="24"/>
                <w:szCs w:val="24"/>
              </w:rPr>
              <w:t>为“算力集群服务项目”：2024年12月11日，公司召开了第三届董事会第二十六次会议和第三届监事会第二十四次会议，并于2024年12月27日召开2024年第四次临时股东会，审议通过了《关于变更部分募集资金用途的议案》，同意终止原募投项目“智慧城市综合解决方案升级项目”，将其部分募集资金11,716.00万元变更用于实施“算力集群服务项目”，剩余募集资金及其孳息将根据公司未来经营需要，适时投入其他项目建设或其他用途。</w:t>
            </w:r>
            <w:r>
              <w:rPr>
                <w:rFonts w:hint="eastAsia" w:ascii="Times New Roman" w:hAnsi="Times New Roman" w:eastAsia="宋体" w:cs="Times New Roman"/>
                <w:sz w:val="24"/>
                <w:szCs w:val="24"/>
                <w:lang w:eastAsia="zh-CN"/>
              </w:rPr>
              <w:t>公司监事会就该事项发表了同意意见。截至2024年</w:t>
            </w:r>
            <w:r>
              <w:rPr>
                <w:rFonts w:hint="eastAsia" w:ascii="Times New Roman" w:hAnsi="Times New Roman" w:eastAsia="宋体" w:cs="Times New Roman"/>
                <w:sz w:val="24"/>
                <w:szCs w:val="24"/>
                <w:lang w:val="en-US" w:eastAsia="zh-CN"/>
              </w:rPr>
              <w:t>12</w:t>
            </w:r>
            <w:r>
              <w:rPr>
                <w:rFonts w:hint="eastAsia" w:ascii="Times New Roman" w:hAnsi="Times New Roman" w:eastAsia="宋体" w:cs="Times New Roman"/>
                <w:sz w:val="24"/>
                <w:szCs w:val="24"/>
                <w:lang w:eastAsia="zh-CN"/>
              </w:rPr>
              <w:t>月31日，募投项目“</w:t>
            </w:r>
            <w:r>
              <w:rPr>
                <w:rFonts w:hint="eastAsia" w:ascii="Times New Roman" w:hAnsi="Times New Roman" w:eastAsia="宋体" w:cs="Times New Roman"/>
                <w:sz w:val="24"/>
                <w:szCs w:val="24"/>
              </w:rPr>
              <w:t>算力集群服务项目</w:t>
            </w:r>
            <w:r>
              <w:rPr>
                <w:rFonts w:hint="eastAsia" w:ascii="Times New Roman" w:hAnsi="Times New Roman" w:eastAsia="宋体" w:cs="Times New Roman"/>
                <w:sz w:val="24"/>
                <w:szCs w:val="24"/>
                <w:lang w:eastAsia="zh-CN"/>
              </w:rPr>
              <w:t>”合计投入募集资金</w:t>
            </w:r>
            <w:r>
              <w:rPr>
                <w:rFonts w:hint="eastAsia" w:ascii="Times New Roman" w:hAnsi="Times New Roman" w:eastAsia="宋体" w:cs="Times New Roman"/>
                <w:sz w:val="24"/>
                <w:szCs w:val="24"/>
                <w:lang w:val="en-US" w:eastAsia="zh-CN"/>
              </w:rPr>
              <w:t>9,975.00</w:t>
            </w:r>
            <w:r>
              <w:rPr>
                <w:rFonts w:hint="eastAsia" w:ascii="Times New Roman" w:hAnsi="Times New Roman" w:eastAsia="宋体" w:cs="Times New Roman"/>
                <w:sz w:val="24"/>
                <w:szCs w:val="24"/>
                <w:lang w:eastAsia="zh-CN"/>
              </w:rPr>
              <w:t>万元。</w:t>
            </w:r>
          </w:p>
        </w:tc>
      </w:tr>
      <w:tr w14:paraId="771E2E5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616108EC">
            <w:pPr>
              <w:rPr>
                <w:rFonts w:ascii="Times New Roman" w:hAnsi="Times New Roman" w:eastAsia="宋体" w:cs="Times New Roman"/>
                <w:sz w:val="24"/>
                <w:szCs w:val="24"/>
              </w:rPr>
            </w:pPr>
            <w:r>
              <w:rPr>
                <w:rFonts w:ascii="Times New Roman" w:hAnsi="Times New Roman" w:eastAsia="宋体" w:cs="Times New Roman"/>
                <w:spacing w:val="-1"/>
                <w:sz w:val="24"/>
                <w:szCs w:val="24"/>
              </w:rPr>
              <w:t>9.保</w:t>
            </w:r>
            <w:r>
              <w:rPr>
                <w:rFonts w:ascii="Times New Roman" w:hAnsi="Times New Roman" w:eastAsia="宋体" w:cs="Times New Roman"/>
                <w:sz w:val="24"/>
                <w:szCs w:val="24"/>
              </w:rPr>
              <w:t>荐业务工作底稿记录、保管是否合规</w:t>
            </w:r>
          </w:p>
        </w:tc>
        <w:tc>
          <w:tcPr>
            <w:tcW w:w="2522" w:type="pct"/>
            <w:vAlign w:val="center"/>
          </w:tcPr>
          <w:p w14:paraId="5E8E58E8">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是</w:t>
            </w:r>
          </w:p>
        </w:tc>
      </w:tr>
      <w:tr w14:paraId="70DEE2E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2A0CF2ED">
            <w:pPr>
              <w:rPr>
                <w:rFonts w:ascii="Times New Roman" w:hAnsi="Times New Roman" w:eastAsia="宋体" w:cs="Times New Roman"/>
                <w:sz w:val="24"/>
                <w:szCs w:val="24"/>
              </w:rPr>
            </w:pPr>
            <w:r>
              <w:rPr>
                <w:rFonts w:ascii="Times New Roman" w:hAnsi="Times New Roman" w:eastAsia="宋体" w:cs="Times New Roman"/>
                <w:spacing w:val="-2"/>
                <w:sz w:val="24"/>
                <w:szCs w:val="24"/>
              </w:rPr>
              <w:t>10.对上市公司</w:t>
            </w:r>
            <w:r>
              <w:rPr>
                <w:rFonts w:ascii="Times New Roman" w:hAnsi="Times New Roman" w:eastAsia="宋体" w:cs="Times New Roman"/>
                <w:spacing w:val="-1"/>
                <w:sz w:val="24"/>
                <w:szCs w:val="24"/>
              </w:rPr>
              <w:t>培训情况</w:t>
            </w:r>
          </w:p>
        </w:tc>
        <w:tc>
          <w:tcPr>
            <w:tcW w:w="2522" w:type="pct"/>
            <w:vAlign w:val="center"/>
          </w:tcPr>
          <w:p w14:paraId="4A572273">
            <w:pPr>
              <w:jc w:val="center"/>
              <w:rPr>
                <w:rFonts w:ascii="Times New Roman" w:hAnsi="Times New Roman" w:eastAsia="宋体" w:cs="Times New Roman"/>
                <w:sz w:val="24"/>
                <w:szCs w:val="24"/>
              </w:rPr>
            </w:pPr>
          </w:p>
        </w:tc>
      </w:tr>
      <w:tr w14:paraId="247E468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0D744044">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1</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培训次数</w:t>
            </w:r>
          </w:p>
        </w:tc>
        <w:tc>
          <w:tcPr>
            <w:tcW w:w="2522" w:type="pct"/>
            <w:vAlign w:val="center"/>
          </w:tcPr>
          <w:p w14:paraId="49937242">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1次</w:t>
            </w:r>
          </w:p>
        </w:tc>
      </w:tr>
      <w:tr w14:paraId="40C0723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75E0F989">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2</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培训日期</w:t>
            </w:r>
          </w:p>
        </w:tc>
        <w:tc>
          <w:tcPr>
            <w:tcW w:w="2522" w:type="pct"/>
            <w:vAlign w:val="center"/>
          </w:tcPr>
          <w:p w14:paraId="739FF883">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202</w:t>
            </w:r>
            <w:r>
              <w:rPr>
                <w:rFonts w:hint="eastAsia" w:ascii="Times New Roman" w:hAnsi="Times New Roman" w:eastAsia="宋体" w:cs="Times New Roman"/>
                <w:sz w:val="24"/>
                <w:szCs w:val="24"/>
                <w:lang w:val="en-US" w:eastAsia="zh-CN"/>
              </w:rPr>
              <w:t>4</w:t>
            </w:r>
            <w:r>
              <w:rPr>
                <w:rFonts w:hint="eastAsia" w:ascii="Times New Roman" w:hAnsi="Times New Roman" w:eastAsia="宋体" w:cs="Times New Roman"/>
                <w:sz w:val="24"/>
                <w:szCs w:val="24"/>
              </w:rPr>
              <w:t>年12月</w:t>
            </w:r>
            <w:r>
              <w:rPr>
                <w:rFonts w:hint="eastAsia" w:ascii="Times New Roman" w:hAnsi="Times New Roman" w:eastAsia="宋体" w:cs="Times New Roman"/>
                <w:sz w:val="24"/>
                <w:szCs w:val="24"/>
                <w:lang w:val="en-US" w:eastAsia="zh-CN"/>
              </w:rPr>
              <w:t>23</w:t>
            </w:r>
            <w:r>
              <w:rPr>
                <w:rFonts w:hint="eastAsia" w:ascii="Times New Roman" w:hAnsi="Times New Roman" w:eastAsia="宋体" w:cs="Times New Roman"/>
                <w:sz w:val="24"/>
                <w:szCs w:val="24"/>
              </w:rPr>
              <w:t>日</w:t>
            </w:r>
          </w:p>
        </w:tc>
      </w:tr>
      <w:tr w14:paraId="1A12BCC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73496345">
            <w:pPr>
              <w:ind w:firstLine="256" w:firstLineChars="100"/>
              <w:rPr>
                <w:rFonts w:ascii="Times New Roman" w:hAnsi="Times New Roman" w:eastAsia="宋体" w:cs="Times New Roman"/>
                <w:spacing w:val="8"/>
                <w:sz w:val="24"/>
                <w:szCs w:val="24"/>
              </w:rPr>
            </w:pP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3</w:t>
            </w:r>
            <w:r>
              <w:rPr>
                <w:rFonts w:hint="eastAsia" w:ascii="Times New Roman" w:hAnsi="Times New Roman" w:eastAsia="宋体" w:cs="Times New Roman"/>
                <w:spacing w:val="8"/>
                <w:sz w:val="24"/>
                <w:szCs w:val="24"/>
              </w:rPr>
              <w:t>）</w:t>
            </w:r>
            <w:r>
              <w:rPr>
                <w:rFonts w:ascii="Times New Roman" w:hAnsi="Times New Roman" w:eastAsia="宋体" w:cs="Times New Roman"/>
                <w:spacing w:val="8"/>
                <w:sz w:val="24"/>
                <w:szCs w:val="24"/>
              </w:rPr>
              <w:t>培训的主要内容</w:t>
            </w:r>
          </w:p>
        </w:tc>
        <w:tc>
          <w:tcPr>
            <w:tcW w:w="2522" w:type="pct"/>
            <w:vAlign w:val="center"/>
          </w:tcPr>
          <w:p w14:paraId="49B8FD73">
            <w:pPr>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本次培训</w:t>
            </w:r>
            <w:r>
              <w:rPr>
                <w:rFonts w:hint="eastAsia" w:ascii="Times New Roman" w:hAnsi="Times New Roman" w:eastAsia="宋体" w:cs="Times New Roman"/>
                <w:sz w:val="24"/>
                <w:szCs w:val="24"/>
              </w:rPr>
              <w:t>包括募集资金管理与使用的基本规定及违规案例分享、董监高勤勉义务和合规要点，重点介绍了募集资金存储及违规案例分享、募集资金使用及违规案例分享、上市公司董监高在信息披露方面及股票交易方面的合规要点</w:t>
            </w:r>
            <w:r>
              <w:rPr>
                <w:rFonts w:hint="eastAsia" w:ascii="Times New Roman" w:hAnsi="Times New Roman" w:eastAsia="宋体" w:cs="Times New Roman"/>
                <w:sz w:val="24"/>
                <w:szCs w:val="24"/>
                <w:lang w:eastAsia="zh-CN"/>
              </w:rPr>
              <w:t>。</w:t>
            </w:r>
          </w:p>
        </w:tc>
      </w:tr>
      <w:tr w14:paraId="6364614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57" w:type="dxa"/>
            <w:left w:w="57" w:type="dxa"/>
            <w:bottom w:w="57" w:type="dxa"/>
            <w:right w:w="57" w:type="dxa"/>
          </w:tblCellMar>
        </w:tblPrEx>
        <w:trPr>
          <w:trHeight w:val="567" w:hRule="atLeast"/>
        </w:trPr>
        <w:tc>
          <w:tcPr>
            <w:tcW w:w="2477" w:type="pct"/>
            <w:vAlign w:val="center"/>
          </w:tcPr>
          <w:p w14:paraId="685FFA1E">
            <w:pPr>
              <w:rPr>
                <w:rFonts w:ascii="Times New Roman" w:hAnsi="Times New Roman" w:eastAsia="宋体" w:cs="Times New Roman"/>
                <w:sz w:val="24"/>
                <w:szCs w:val="24"/>
              </w:rPr>
            </w:pPr>
            <w:r>
              <w:rPr>
                <w:rFonts w:ascii="Times New Roman" w:hAnsi="Times New Roman" w:eastAsia="宋体" w:cs="Times New Roman"/>
                <w:spacing w:val="-2"/>
                <w:sz w:val="24"/>
                <w:szCs w:val="24"/>
              </w:rPr>
              <w:t>11.其</w:t>
            </w:r>
            <w:r>
              <w:rPr>
                <w:rFonts w:ascii="Times New Roman" w:hAnsi="Times New Roman" w:eastAsia="宋体" w:cs="Times New Roman"/>
                <w:spacing w:val="-1"/>
                <w:sz w:val="24"/>
                <w:szCs w:val="24"/>
              </w:rPr>
              <w:t>他需要说明的保荐工作情况</w:t>
            </w:r>
          </w:p>
        </w:tc>
        <w:tc>
          <w:tcPr>
            <w:tcW w:w="2522" w:type="pct"/>
            <w:vAlign w:val="center"/>
          </w:tcPr>
          <w:p w14:paraId="1263FC6A">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无</w:t>
            </w:r>
          </w:p>
        </w:tc>
      </w:tr>
    </w:tbl>
    <w:p w14:paraId="4A25BF18">
      <w:pPr>
        <w:spacing w:before="120" w:beforeLines="50" w:line="360" w:lineRule="auto"/>
        <w:rPr>
          <w:rFonts w:ascii="Times New Roman" w:hAnsi="Times New Roman" w:eastAsia="宋体" w:cs="Times New Roman"/>
          <w:b/>
          <w:bCs/>
          <w:spacing w:val="11"/>
          <w:sz w:val="28"/>
          <w:szCs w:val="28"/>
        </w:rPr>
      </w:pPr>
      <w:r>
        <w:rPr>
          <w:rFonts w:ascii="Times New Roman" w:hAnsi="Times New Roman" w:eastAsia="宋体" w:cs="Times New Roman"/>
          <w:b/>
          <w:bCs/>
          <w:spacing w:val="11"/>
          <w:sz w:val="28"/>
          <w:szCs w:val="28"/>
        </w:rPr>
        <w:t>二、保荐人发现公司存在的问题及采取的措施</w:t>
      </w:r>
    </w:p>
    <w:p w14:paraId="01873B3A">
      <w:pPr>
        <w:spacing w:line="96" w:lineRule="auto"/>
        <w:rPr>
          <w:rFonts w:ascii="Times New Roman" w:hAnsi="Times New Roman" w:eastAsia="宋体" w:cs="Times New Roman"/>
          <w:sz w:val="2"/>
        </w:rPr>
      </w:pPr>
    </w:p>
    <w:tbl>
      <w:tblPr>
        <w:tblStyle w:val="7"/>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57" w:type="dxa"/>
          <w:left w:w="57" w:type="dxa"/>
          <w:bottom w:w="57" w:type="dxa"/>
          <w:right w:w="57" w:type="dxa"/>
        </w:tblCellMar>
      </w:tblPr>
      <w:tblGrid>
        <w:gridCol w:w="2619"/>
        <w:gridCol w:w="3396"/>
        <w:gridCol w:w="3166"/>
      </w:tblGrid>
      <w:tr w14:paraId="112F3D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67" w:hRule="atLeast"/>
        </w:trPr>
        <w:tc>
          <w:tcPr>
            <w:tcW w:w="1426" w:type="pct"/>
            <w:tcBorders>
              <w:tl2br w:val="nil"/>
              <w:tr2bl w:val="nil"/>
            </w:tcBorders>
            <w:vAlign w:val="center"/>
          </w:tcPr>
          <w:p w14:paraId="7091AEB2">
            <w:pPr>
              <w:jc w:val="center"/>
              <w:rPr>
                <w:rFonts w:ascii="Times New Roman" w:hAnsi="Times New Roman" w:eastAsia="宋体" w:cs="Times New Roman"/>
                <w:b/>
                <w:bCs/>
                <w:spacing w:val="-5"/>
                <w:sz w:val="24"/>
                <w:szCs w:val="24"/>
              </w:rPr>
            </w:pPr>
            <w:r>
              <w:rPr>
                <w:rFonts w:ascii="Times New Roman" w:hAnsi="Times New Roman" w:eastAsia="宋体" w:cs="Times New Roman"/>
                <w:b/>
                <w:bCs/>
                <w:spacing w:val="-5"/>
                <w:sz w:val="24"/>
                <w:szCs w:val="24"/>
              </w:rPr>
              <w:t>事项</w:t>
            </w:r>
          </w:p>
        </w:tc>
        <w:tc>
          <w:tcPr>
            <w:tcW w:w="1849" w:type="pct"/>
            <w:tcBorders>
              <w:tl2br w:val="nil"/>
              <w:tr2bl w:val="nil"/>
            </w:tcBorders>
            <w:vAlign w:val="center"/>
          </w:tcPr>
          <w:p w14:paraId="4CEBDE0C">
            <w:pPr>
              <w:jc w:val="center"/>
              <w:rPr>
                <w:rFonts w:ascii="Times New Roman" w:hAnsi="Times New Roman" w:eastAsia="宋体" w:cs="Times New Roman"/>
                <w:b/>
                <w:bCs/>
                <w:spacing w:val="-5"/>
                <w:sz w:val="24"/>
                <w:szCs w:val="24"/>
              </w:rPr>
            </w:pPr>
            <w:r>
              <w:rPr>
                <w:rFonts w:ascii="Times New Roman" w:hAnsi="Times New Roman" w:eastAsia="宋体" w:cs="Times New Roman"/>
                <w:b/>
                <w:bCs/>
                <w:spacing w:val="-5"/>
                <w:sz w:val="24"/>
                <w:szCs w:val="24"/>
              </w:rPr>
              <w:t>存在的问题</w:t>
            </w:r>
          </w:p>
        </w:tc>
        <w:tc>
          <w:tcPr>
            <w:tcW w:w="1724" w:type="pct"/>
            <w:tcBorders>
              <w:tl2br w:val="nil"/>
              <w:tr2bl w:val="nil"/>
            </w:tcBorders>
            <w:vAlign w:val="center"/>
          </w:tcPr>
          <w:p w14:paraId="5A6587C9">
            <w:pPr>
              <w:jc w:val="center"/>
              <w:rPr>
                <w:rFonts w:ascii="Times New Roman" w:hAnsi="Times New Roman" w:eastAsia="宋体" w:cs="Times New Roman"/>
                <w:b/>
                <w:bCs/>
                <w:spacing w:val="-5"/>
                <w:sz w:val="24"/>
                <w:szCs w:val="24"/>
              </w:rPr>
            </w:pPr>
            <w:r>
              <w:rPr>
                <w:rFonts w:ascii="Times New Roman" w:hAnsi="Times New Roman" w:eastAsia="宋体" w:cs="Times New Roman"/>
                <w:b/>
                <w:bCs/>
                <w:spacing w:val="-5"/>
                <w:sz w:val="24"/>
                <w:szCs w:val="24"/>
              </w:rPr>
              <w:t>采取的措施</w:t>
            </w:r>
          </w:p>
        </w:tc>
      </w:tr>
      <w:tr w14:paraId="5390D3D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67" w:hRule="atLeast"/>
        </w:trPr>
        <w:tc>
          <w:tcPr>
            <w:tcW w:w="1426" w:type="pct"/>
            <w:tcBorders>
              <w:tl2br w:val="nil"/>
              <w:tr2bl w:val="nil"/>
            </w:tcBorders>
            <w:vAlign w:val="center"/>
          </w:tcPr>
          <w:p w14:paraId="69007060">
            <w:pPr>
              <w:rPr>
                <w:rFonts w:ascii="Times New Roman" w:hAnsi="Times New Roman" w:eastAsia="宋体" w:cs="Times New Roman"/>
                <w:sz w:val="24"/>
                <w:szCs w:val="24"/>
              </w:rPr>
            </w:pPr>
            <w:r>
              <w:rPr>
                <w:rFonts w:ascii="Times New Roman" w:hAnsi="Times New Roman" w:eastAsia="宋体" w:cs="Times New Roman"/>
                <w:spacing w:val="-5"/>
                <w:sz w:val="24"/>
                <w:szCs w:val="24"/>
              </w:rPr>
              <w:t>1</w:t>
            </w:r>
            <w:r>
              <w:rPr>
                <w:rFonts w:ascii="Times New Roman" w:hAnsi="Times New Roman" w:eastAsia="宋体" w:cs="Times New Roman"/>
                <w:spacing w:val="-3"/>
                <w:sz w:val="24"/>
                <w:szCs w:val="24"/>
              </w:rPr>
              <w:t>.信息披露</w:t>
            </w:r>
          </w:p>
        </w:tc>
        <w:tc>
          <w:tcPr>
            <w:tcW w:w="1849" w:type="pct"/>
            <w:tcBorders>
              <w:tl2br w:val="nil"/>
              <w:tr2bl w:val="nil"/>
            </w:tcBorders>
            <w:vAlign w:val="center"/>
          </w:tcPr>
          <w:p w14:paraId="35BBFD9C">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无</w:t>
            </w:r>
          </w:p>
        </w:tc>
        <w:tc>
          <w:tcPr>
            <w:tcW w:w="1724" w:type="pct"/>
            <w:tcBorders>
              <w:tl2br w:val="nil"/>
              <w:tr2bl w:val="nil"/>
            </w:tcBorders>
            <w:vAlign w:val="center"/>
          </w:tcPr>
          <w:p w14:paraId="066A7ACE">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不适用</w:t>
            </w:r>
          </w:p>
        </w:tc>
      </w:tr>
      <w:tr w14:paraId="62653F5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67" w:hRule="atLeast"/>
        </w:trPr>
        <w:tc>
          <w:tcPr>
            <w:tcW w:w="1426" w:type="pct"/>
            <w:tcBorders>
              <w:tl2br w:val="nil"/>
              <w:tr2bl w:val="nil"/>
            </w:tcBorders>
            <w:vAlign w:val="center"/>
          </w:tcPr>
          <w:p w14:paraId="0428E051">
            <w:pPr>
              <w:rPr>
                <w:rFonts w:ascii="Times New Roman" w:hAnsi="Times New Roman" w:eastAsia="宋体" w:cs="Times New Roman"/>
                <w:sz w:val="24"/>
                <w:szCs w:val="24"/>
              </w:rPr>
            </w:pPr>
            <w:r>
              <w:rPr>
                <w:rFonts w:ascii="Times New Roman" w:hAnsi="Times New Roman" w:eastAsia="宋体" w:cs="Times New Roman"/>
                <w:spacing w:val="-1"/>
                <w:sz w:val="24"/>
                <w:szCs w:val="24"/>
              </w:rPr>
              <w:t>2.公司内部</w:t>
            </w:r>
            <w:r>
              <w:rPr>
                <w:rFonts w:ascii="Times New Roman" w:hAnsi="Times New Roman" w:eastAsia="宋体" w:cs="Times New Roman"/>
                <w:sz w:val="24"/>
                <w:szCs w:val="24"/>
              </w:rPr>
              <w:t>制度的建立和执行</w:t>
            </w:r>
          </w:p>
        </w:tc>
        <w:tc>
          <w:tcPr>
            <w:tcW w:w="1849" w:type="pct"/>
            <w:tcBorders>
              <w:tl2br w:val="nil"/>
              <w:tr2bl w:val="nil"/>
            </w:tcBorders>
            <w:vAlign w:val="center"/>
          </w:tcPr>
          <w:p w14:paraId="1F5F6C15">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无</w:t>
            </w:r>
          </w:p>
        </w:tc>
        <w:tc>
          <w:tcPr>
            <w:tcW w:w="1724" w:type="pct"/>
            <w:tcBorders>
              <w:tl2br w:val="nil"/>
              <w:tr2bl w:val="nil"/>
            </w:tcBorders>
            <w:vAlign w:val="center"/>
          </w:tcPr>
          <w:p w14:paraId="327FDEAA">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不适用</w:t>
            </w:r>
          </w:p>
        </w:tc>
      </w:tr>
      <w:tr w14:paraId="60A933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67" w:hRule="atLeast"/>
        </w:trPr>
        <w:tc>
          <w:tcPr>
            <w:tcW w:w="1426" w:type="pct"/>
            <w:tcBorders>
              <w:tl2br w:val="nil"/>
              <w:tr2bl w:val="nil"/>
            </w:tcBorders>
            <w:vAlign w:val="center"/>
          </w:tcPr>
          <w:p w14:paraId="06017ABB">
            <w:pPr>
              <w:rPr>
                <w:rFonts w:ascii="Times New Roman" w:hAnsi="Times New Roman" w:eastAsia="宋体" w:cs="Times New Roman"/>
                <w:sz w:val="24"/>
                <w:szCs w:val="24"/>
              </w:rPr>
            </w:pPr>
            <w:r>
              <w:rPr>
                <w:rFonts w:ascii="Times New Roman" w:hAnsi="Times New Roman" w:eastAsia="宋体" w:cs="Times New Roman"/>
                <w:spacing w:val="-15"/>
                <w:sz w:val="24"/>
                <w:szCs w:val="24"/>
              </w:rPr>
              <w:t>3</w:t>
            </w:r>
            <w:r>
              <w:rPr>
                <w:rFonts w:ascii="Times New Roman" w:hAnsi="Times New Roman" w:eastAsia="宋体" w:cs="Times New Roman"/>
                <w:spacing w:val="-14"/>
                <w:sz w:val="24"/>
                <w:szCs w:val="24"/>
              </w:rPr>
              <w:t>．“三会”运作</w:t>
            </w:r>
          </w:p>
        </w:tc>
        <w:tc>
          <w:tcPr>
            <w:tcW w:w="1849" w:type="pct"/>
            <w:tcBorders>
              <w:tl2br w:val="nil"/>
              <w:tr2bl w:val="nil"/>
            </w:tcBorders>
            <w:vAlign w:val="center"/>
          </w:tcPr>
          <w:p w14:paraId="42BB6776">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无</w:t>
            </w:r>
          </w:p>
        </w:tc>
        <w:tc>
          <w:tcPr>
            <w:tcW w:w="1724" w:type="pct"/>
            <w:tcBorders>
              <w:tl2br w:val="nil"/>
              <w:tr2bl w:val="nil"/>
            </w:tcBorders>
            <w:vAlign w:val="center"/>
          </w:tcPr>
          <w:p w14:paraId="5E6D735B">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不适用</w:t>
            </w:r>
          </w:p>
        </w:tc>
      </w:tr>
      <w:tr w14:paraId="7BC539A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67" w:hRule="atLeast"/>
        </w:trPr>
        <w:tc>
          <w:tcPr>
            <w:tcW w:w="1426" w:type="pct"/>
            <w:tcBorders>
              <w:tl2br w:val="nil"/>
              <w:tr2bl w:val="nil"/>
            </w:tcBorders>
            <w:vAlign w:val="center"/>
          </w:tcPr>
          <w:p w14:paraId="039C4CFA">
            <w:pPr>
              <w:rPr>
                <w:rFonts w:ascii="Times New Roman" w:hAnsi="Times New Roman" w:eastAsia="宋体" w:cs="Times New Roman"/>
                <w:sz w:val="24"/>
                <w:szCs w:val="24"/>
              </w:rPr>
            </w:pPr>
            <w:r>
              <w:rPr>
                <w:rFonts w:ascii="Times New Roman" w:hAnsi="Times New Roman" w:eastAsia="宋体" w:cs="Times New Roman"/>
                <w:spacing w:val="-1"/>
                <w:sz w:val="24"/>
                <w:szCs w:val="24"/>
              </w:rPr>
              <w:t>4.控</w:t>
            </w:r>
            <w:r>
              <w:rPr>
                <w:rFonts w:ascii="Times New Roman" w:hAnsi="Times New Roman" w:eastAsia="宋体" w:cs="Times New Roman"/>
                <w:sz w:val="24"/>
                <w:szCs w:val="24"/>
              </w:rPr>
              <w:t>股股东及实际控制人变动</w:t>
            </w:r>
          </w:p>
        </w:tc>
        <w:tc>
          <w:tcPr>
            <w:tcW w:w="1849" w:type="pct"/>
            <w:tcBorders>
              <w:tl2br w:val="nil"/>
              <w:tr2bl w:val="nil"/>
            </w:tcBorders>
            <w:vAlign w:val="center"/>
          </w:tcPr>
          <w:p w14:paraId="2F9E2FED">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无</w:t>
            </w:r>
          </w:p>
        </w:tc>
        <w:tc>
          <w:tcPr>
            <w:tcW w:w="1724" w:type="pct"/>
            <w:tcBorders>
              <w:tl2br w:val="nil"/>
              <w:tr2bl w:val="nil"/>
            </w:tcBorders>
            <w:vAlign w:val="center"/>
          </w:tcPr>
          <w:p w14:paraId="630BB505">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不适用</w:t>
            </w:r>
          </w:p>
        </w:tc>
      </w:tr>
      <w:tr w14:paraId="5D0911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67" w:hRule="atLeast"/>
        </w:trPr>
        <w:tc>
          <w:tcPr>
            <w:tcW w:w="1426" w:type="pct"/>
            <w:tcBorders>
              <w:tl2br w:val="nil"/>
              <w:tr2bl w:val="nil"/>
            </w:tcBorders>
            <w:vAlign w:val="center"/>
          </w:tcPr>
          <w:p w14:paraId="0B047D21">
            <w:pPr>
              <w:rPr>
                <w:rFonts w:ascii="Times New Roman" w:hAnsi="Times New Roman" w:eastAsia="宋体" w:cs="Times New Roman"/>
                <w:sz w:val="24"/>
                <w:szCs w:val="24"/>
              </w:rPr>
            </w:pPr>
            <w:r>
              <w:rPr>
                <w:rFonts w:ascii="Times New Roman" w:hAnsi="Times New Roman" w:eastAsia="宋体" w:cs="Times New Roman"/>
                <w:spacing w:val="-1"/>
                <w:sz w:val="24"/>
                <w:szCs w:val="24"/>
              </w:rPr>
              <w:t>5.募集资金存放</w:t>
            </w:r>
            <w:r>
              <w:rPr>
                <w:rFonts w:ascii="Times New Roman" w:hAnsi="Times New Roman" w:eastAsia="宋体" w:cs="Times New Roman"/>
                <w:sz w:val="24"/>
                <w:szCs w:val="24"/>
              </w:rPr>
              <w:t>及使用</w:t>
            </w:r>
          </w:p>
        </w:tc>
        <w:tc>
          <w:tcPr>
            <w:tcW w:w="3573" w:type="pct"/>
            <w:gridSpan w:val="2"/>
            <w:tcBorders>
              <w:tl2br w:val="nil"/>
              <w:tr2bl w:val="nil"/>
            </w:tcBorders>
            <w:vAlign w:val="center"/>
          </w:tcPr>
          <w:p w14:paraId="10A95D86">
            <w:pPr>
              <w:jc w:val="both"/>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参见下文“四、其他事项”之“3．其他需要报告的重大事项”。</w:t>
            </w:r>
          </w:p>
        </w:tc>
      </w:tr>
      <w:tr w14:paraId="354D1CB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67" w:hRule="atLeast"/>
        </w:trPr>
        <w:tc>
          <w:tcPr>
            <w:tcW w:w="1426" w:type="pct"/>
            <w:tcBorders>
              <w:tl2br w:val="nil"/>
              <w:tr2bl w:val="nil"/>
            </w:tcBorders>
            <w:vAlign w:val="center"/>
          </w:tcPr>
          <w:p w14:paraId="1C8384A9">
            <w:pPr>
              <w:rPr>
                <w:rFonts w:ascii="Times New Roman" w:hAnsi="Times New Roman" w:eastAsia="宋体" w:cs="Times New Roman"/>
                <w:sz w:val="24"/>
                <w:szCs w:val="24"/>
              </w:rPr>
            </w:pPr>
            <w:r>
              <w:rPr>
                <w:rFonts w:ascii="Times New Roman" w:hAnsi="Times New Roman" w:eastAsia="宋体" w:cs="Times New Roman"/>
                <w:spacing w:val="-1"/>
                <w:sz w:val="24"/>
                <w:szCs w:val="24"/>
              </w:rPr>
              <w:t>6.关联交易</w:t>
            </w:r>
          </w:p>
        </w:tc>
        <w:tc>
          <w:tcPr>
            <w:tcW w:w="1849" w:type="pct"/>
            <w:tcBorders>
              <w:tl2br w:val="nil"/>
              <w:tr2bl w:val="nil"/>
            </w:tcBorders>
            <w:vAlign w:val="center"/>
          </w:tcPr>
          <w:p w14:paraId="354630F5">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无</w:t>
            </w:r>
          </w:p>
        </w:tc>
        <w:tc>
          <w:tcPr>
            <w:tcW w:w="1724" w:type="pct"/>
            <w:tcBorders>
              <w:tl2br w:val="nil"/>
              <w:tr2bl w:val="nil"/>
            </w:tcBorders>
            <w:vAlign w:val="center"/>
          </w:tcPr>
          <w:p w14:paraId="7147ABDC">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不适用</w:t>
            </w:r>
          </w:p>
        </w:tc>
      </w:tr>
      <w:tr w14:paraId="095A9D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67" w:hRule="atLeast"/>
        </w:trPr>
        <w:tc>
          <w:tcPr>
            <w:tcW w:w="1426" w:type="pct"/>
            <w:tcBorders>
              <w:tl2br w:val="nil"/>
              <w:tr2bl w:val="nil"/>
            </w:tcBorders>
            <w:vAlign w:val="center"/>
          </w:tcPr>
          <w:p w14:paraId="3238D3A0">
            <w:pPr>
              <w:rPr>
                <w:rFonts w:ascii="Times New Roman" w:hAnsi="Times New Roman" w:eastAsia="宋体" w:cs="Times New Roman"/>
                <w:sz w:val="24"/>
                <w:szCs w:val="24"/>
              </w:rPr>
            </w:pPr>
            <w:r>
              <w:rPr>
                <w:rFonts w:ascii="Times New Roman" w:hAnsi="Times New Roman" w:eastAsia="宋体" w:cs="Times New Roman"/>
                <w:spacing w:val="-2"/>
                <w:sz w:val="24"/>
                <w:szCs w:val="24"/>
              </w:rPr>
              <w:t>7.对</w:t>
            </w:r>
            <w:r>
              <w:rPr>
                <w:rFonts w:ascii="Times New Roman" w:hAnsi="Times New Roman" w:eastAsia="宋体" w:cs="Times New Roman"/>
                <w:spacing w:val="-1"/>
                <w:sz w:val="24"/>
                <w:szCs w:val="24"/>
              </w:rPr>
              <w:t>外担保</w:t>
            </w:r>
          </w:p>
        </w:tc>
        <w:tc>
          <w:tcPr>
            <w:tcW w:w="1849" w:type="pct"/>
            <w:tcBorders>
              <w:tl2br w:val="nil"/>
              <w:tr2bl w:val="nil"/>
            </w:tcBorders>
            <w:vAlign w:val="center"/>
          </w:tcPr>
          <w:p w14:paraId="28065676">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无</w:t>
            </w:r>
          </w:p>
        </w:tc>
        <w:tc>
          <w:tcPr>
            <w:tcW w:w="1724" w:type="pct"/>
            <w:tcBorders>
              <w:tl2br w:val="nil"/>
              <w:tr2bl w:val="nil"/>
            </w:tcBorders>
            <w:vAlign w:val="center"/>
          </w:tcPr>
          <w:p w14:paraId="461FBC68">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不适用</w:t>
            </w:r>
          </w:p>
        </w:tc>
      </w:tr>
      <w:tr w14:paraId="6BED403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67" w:hRule="atLeast"/>
        </w:trPr>
        <w:tc>
          <w:tcPr>
            <w:tcW w:w="1426" w:type="pct"/>
            <w:tcBorders>
              <w:tl2br w:val="nil"/>
              <w:tr2bl w:val="nil"/>
            </w:tcBorders>
            <w:vAlign w:val="center"/>
          </w:tcPr>
          <w:p w14:paraId="727E6D5B">
            <w:pPr>
              <w:rPr>
                <w:rFonts w:ascii="Times New Roman" w:hAnsi="Times New Roman" w:eastAsia="宋体" w:cs="Times New Roman"/>
                <w:sz w:val="24"/>
                <w:szCs w:val="24"/>
              </w:rPr>
            </w:pPr>
            <w:r>
              <w:rPr>
                <w:rFonts w:ascii="Times New Roman" w:hAnsi="Times New Roman" w:eastAsia="宋体" w:cs="Times New Roman"/>
                <w:spacing w:val="-1"/>
                <w:sz w:val="24"/>
                <w:szCs w:val="24"/>
              </w:rPr>
              <w:t>8.购买、</w:t>
            </w:r>
            <w:r>
              <w:rPr>
                <w:rFonts w:ascii="Times New Roman" w:hAnsi="Times New Roman" w:eastAsia="宋体" w:cs="Times New Roman"/>
                <w:sz w:val="24"/>
                <w:szCs w:val="24"/>
              </w:rPr>
              <w:t>出售资产</w:t>
            </w:r>
          </w:p>
        </w:tc>
        <w:tc>
          <w:tcPr>
            <w:tcW w:w="1849" w:type="pct"/>
            <w:tcBorders>
              <w:tl2br w:val="nil"/>
              <w:tr2bl w:val="nil"/>
            </w:tcBorders>
            <w:vAlign w:val="center"/>
          </w:tcPr>
          <w:p w14:paraId="06BA8996">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无</w:t>
            </w:r>
          </w:p>
        </w:tc>
        <w:tc>
          <w:tcPr>
            <w:tcW w:w="1724" w:type="pct"/>
            <w:tcBorders>
              <w:tl2br w:val="nil"/>
              <w:tr2bl w:val="nil"/>
            </w:tcBorders>
            <w:vAlign w:val="center"/>
          </w:tcPr>
          <w:p w14:paraId="6ED3E3CA">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不适用</w:t>
            </w:r>
          </w:p>
        </w:tc>
      </w:tr>
      <w:tr w14:paraId="5335C0F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67" w:hRule="atLeast"/>
        </w:trPr>
        <w:tc>
          <w:tcPr>
            <w:tcW w:w="1426" w:type="pct"/>
            <w:tcBorders>
              <w:tl2br w:val="nil"/>
              <w:tr2bl w:val="nil"/>
            </w:tcBorders>
            <w:vAlign w:val="center"/>
          </w:tcPr>
          <w:p w14:paraId="1C794B40">
            <w:pPr>
              <w:rPr>
                <w:rFonts w:ascii="Times New Roman" w:hAnsi="Times New Roman" w:eastAsia="宋体" w:cs="Times New Roman"/>
                <w:sz w:val="24"/>
                <w:szCs w:val="24"/>
              </w:rPr>
            </w:pPr>
            <w:r>
              <w:rPr>
                <w:rFonts w:ascii="Times New Roman" w:hAnsi="Times New Roman" w:eastAsia="宋体" w:cs="Times New Roman"/>
                <w:spacing w:val="7"/>
                <w:sz w:val="24"/>
                <w:szCs w:val="24"/>
              </w:rPr>
              <w:t>9.其他业务类别重要事项</w:t>
            </w:r>
            <w:r>
              <w:rPr>
                <w:rFonts w:hint="eastAsia" w:ascii="Times New Roman" w:hAnsi="Times New Roman" w:eastAsia="宋体" w:cs="Times New Roman"/>
                <w:spacing w:val="7"/>
                <w:sz w:val="24"/>
                <w:szCs w:val="24"/>
              </w:rPr>
              <w:t>（</w:t>
            </w:r>
            <w:r>
              <w:rPr>
                <w:rFonts w:ascii="Times New Roman" w:hAnsi="Times New Roman" w:eastAsia="宋体" w:cs="Times New Roman"/>
                <w:spacing w:val="7"/>
                <w:sz w:val="24"/>
                <w:szCs w:val="24"/>
              </w:rPr>
              <w:t>包括对</w:t>
            </w:r>
            <w:r>
              <w:rPr>
                <w:rFonts w:ascii="Times New Roman" w:hAnsi="Times New Roman" w:eastAsia="宋体" w:cs="Times New Roman"/>
                <w:spacing w:val="6"/>
                <w:sz w:val="24"/>
                <w:szCs w:val="24"/>
              </w:rPr>
              <w:t>外</w:t>
            </w:r>
            <w:r>
              <w:rPr>
                <w:rFonts w:ascii="Times New Roman" w:hAnsi="Times New Roman" w:eastAsia="宋体" w:cs="Times New Roman"/>
                <w:spacing w:val="1"/>
                <w:sz w:val="24"/>
                <w:szCs w:val="24"/>
              </w:rPr>
              <w:t>投资、风险投资、</w:t>
            </w:r>
            <w:r>
              <w:rPr>
                <w:rFonts w:ascii="Times New Roman" w:hAnsi="Times New Roman" w:eastAsia="宋体" w:cs="Times New Roman"/>
                <w:sz w:val="24"/>
                <w:szCs w:val="24"/>
              </w:rPr>
              <w:t>委托理财、财务资</w:t>
            </w:r>
            <w:r>
              <w:rPr>
                <w:rFonts w:ascii="Times New Roman" w:hAnsi="Times New Roman" w:eastAsia="宋体" w:cs="Times New Roman"/>
                <w:spacing w:val="-2"/>
                <w:sz w:val="24"/>
                <w:szCs w:val="24"/>
              </w:rPr>
              <w:t>助、</w:t>
            </w:r>
            <w:r>
              <w:rPr>
                <w:rFonts w:ascii="Times New Roman" w:hAnsi="Times New Roman" w:eastAsia="宋体" w:cs="Times New Roman"/>
                <w:spacing w:val="-1"/>
                <w:sz w:val="24"/>
                <w:szCs w:val="24"/>
              </w:rPr>
              <w:t>套期保值等</w:t>
            </w:r>
            <w:r>
              <w:rPr>
                <w:rFonts w:hint="eastAsia" w:ascii="Times New Roman" w:hAnsi="Times New Roman" w:eastAsia="宋体" w:cs="Times New Roman"/>
                <w:spacing w:val="-1"/>
                <w:sz w:val="24"/>
                <w:szCs w:val="24"/>
              </w:rPr>
              <w:t>）</w:t>
            </w:r>
          </w:p>
        </w:tc>
        <w:tc>
          <w:tcPr>
            <w:tcW w:w="1849" w:type="pct"/>
            <w:tcBorders>
              <w:tl2br w:val="nil"/>
              <w:tr2bl w:val="nil"/>
            </w:tcBorders>
            <w:vAlign w:val="center"/>
          </w:tcPr>
          <w:p w14:paraId="6F92B83B">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无</w:t>
            </w:r>
          </w:p>
        </w:tc>
        <w:tc>
          <w:tcPr>
            <w:tcW w:w="1724" w:type="pct"/>
            <w:tcBorders>
              <w:tl2br w:val="nil"/>
              <w:tr2bl w:val="nil"/>
            </w:tcBorders>
            <w:vAlign w:val="center"/>
          </w:tcPr>
          <w:p w14:paraId="20B4E7B2">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不适用</w:t>
            </w:r>
          </w:p>
        </w:tc>
      </w:tr>
      <w:tr w14:paraId="62C5E7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67" w:hRule="atLeast"/>
        </w:trPr>
        <w:tc>
          <w:tcPr>
            <w:tcW w:w="1426" w:type="pct"/>
            <w:tcBorders>
              <w:tl2br w:val="nil"/>
              <w:tr2bl w:val="nil"/>
            </w:tcBorders>
            <w:vAlign w:val="center"/>
          </w:tcPr>
          <w:p w14:paraId="1C7D2B7C">
            <w:pPr>
              <w:rPr>
                <w:rFonts w:ascii="Times New Roman" w:hAnsi="Times New Roman" w:eastAsia="宋体" w:cs="Times New Roman"/>
                <w:sz w:val="24"/>
                <w:szCs w:val="24"/>
              </w:rPr>
            </w:pPr>
            <w:r>
              <w:rPr>
                <w:rFonts w:ascii="Times New Roman" w:hAnsi="Times New Roman" w:eastAsia="宋体" w:cs="Times New Roman"/>
                <w:spacing w:val="-1"/>
                <w:sz w:val="24"/>
                <w:szCs w:val="24"/>
              </w:rPr>
              <w:t>10</w:t>
            </w:r>
            <w:r>
              <w:rPr>
                <w:rFonts w:ascii="Times New Roman" w:hAnsi="Times New Roman" w:eastAsia="宋体" w:cs="Times New Roman"/>
                <w:sz w:val="24"/>
                <w:szCs w:val="24"/>
              </w:rPr>
              <w:t>．发行人或者其聘请的证券服务机</w:t>
            </w:r>
            <w:r>
              <w:rPr>
                <w:rFonts w:ascii="Times New Roman" w:hAnsi="Times New Roman" w:eastAsia="宋体" w:cs="Times New Roman"/>
                <w:spacing w:val="-1"/>
                <w:sz w:val="24"/>
                <w:szCs w:val="24"/>
              </w:rPr>
              <w:t>构配合保荐工作的情况</w:t>
            </w:r>
          </w:p>
        </w:tc>
        <w:tc>
          <w:tcPr>
            <w:tcW w:w="1849" w:type="pct"/>
            <w:tcBorders>
              <w:tl2br w:val="nil"/>
              <w:tr2bl w:val="nil"/>
            </w:tcBorders>
            <w:vAlign w:val="center"/>
          </w:tcPr>
          <w:p w14:paraId="2A527D9D">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无</w:t>
            </w:r>
          </w:p>
        </w:tc>
        <w:tc>
          <w:tcPr>
            <w:tcW w:w="1724" w:type="pct"/>
            <w:tcBorders>
              <w:tl2br w:val="nil"/>
              <w:tr2bl w:val="nil"/>
            </w:tcBorders>
            <w:vAlign w:val="center"/>
          </w:tcPr>
          <w:p w14:paraId="508CBAA2">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不适用</w:t>
            </w:r>
          </w:p>
        </w:tc>
      </w:tr>
      <w:tr w14:paraId="0495BA7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67" w:hRule="atLeast"/>
        </w:trPr>
        <w:tc>
          <w:tcPr>
            <w:tcW w:w="1426" w:type="pct"/>
            <w:tcBorders>
              <w:tl2br w:val="nil"/>
              <w:tr2bl w:val="nil"/>
            </w:tcBorders>
            <w:vAlign w:val="center"/>
          </w:tcPr>
          <w:p w14:paraId="5587A1E5">
            <w:pPr>
              <w:rPr>
                <w:rFonts w:ascii="Times New Roman" w:hAnsi="Times New Roman" w:eastAsia="宋体" w:cs="Times New Roman"/>
                <w:sz w:val="24"/>
                <w:szCs w:val="24"/>
              </w:rPr>
            </w:pPr>
            <w:r>
              <w:rPr>
                <w:rFonts w:ascii="Times New Roman" w:hAnsi="Times New Roman" w:eastAsia="宋体" w:cs="Times New Roman"/>
                <w:spacing w:val="3"/>
                <w:sz w:val="24"/>
                <w:szCs w:val="24"/>
              </w:rPr>
              <w:t>11.其他</w:t>
            </w:r>
            <w:r>
              <w:rPr>
                <w:rFonts w:hint="eastAsia" w:ascii="Times New Roman" w:hAnsi="Times New Roman" w:eastAsia="宋体" w:cs="Times New Roman"/>
                <w:spacing w:val="3"/>
                <w:sz w:val="24"/>
                <w:szCs w:val="24"/>
              </w:rPr>
              <w:t>（</w:t>
            </w:r>
            <w:r>
              <w:rPr>
                <w:rFonts w:ascii="Times New Roman" w:hAnsi="Times New Roman" w:eastAsia="宋体" w:cs="Times New Roman"/>
                <w:spacing w:val="3"/>
                <w:sz w:val="24"/>
                <w:szCs w:val="24"/>
              </w:rPr>
              <w:t>包括经营环境、业务发展</w:t>
            </w:r>
            <w:r>
              <w:rPr>
                <w:rFonts w:ascii="Times New Roman" w:hAnsi="Times New Roman" w:eastAsia="宋体" w:cs="Times New Roman"/>
                <w:sz w:val="24"/>
                <w:szCs w:val="24"/>
              </w:rPr>
              <w:t>、</w:t>
            </w:r>
            <w:r>
              <w:rPr>
                <w:rFonts w:ascii="Times New Roman" w:hAnsi="Times New Roman" w:eastAsia="宋体" w:cs="Times New Roman"/>
                <w:spacing w:val="1"/>
                <w:sz w:val="24"/>
                <w:szCs w:val="24"/>
              </w:rPr>
              <w:t>财务状况</w:t>
            </w:r>
            <w:r>
              <w:rPr>
                <w:rFonts w:ascii="Times New Roman" w:hAnsi="Times New Roman" w:eastAsia="宋体" w:cs="Times New Roman"/>
                <w:sz w:val="24"/>
                <w:szCs w:val="24"/>
              </w:rPr>
              <w:t>、管理状况、核心技术等方</w:t>
            </w:r>
            <w:r>
              <w:rPr>
                <w:rFonts w:ascii="Times New Roman" w:hAnsi="Times New Roman" w:eastAsia="宋体" w:cs="Times New Roman"/>
                <w:spacing w:val="-4"/>
                <w:sz w:val="24"/>
                <w:szCs w:val="24"/>
              </w:rPr>
              <w:t>面的</w:t>
            </w:r>
            <w:r>
              <w:rPr>
                <w:rFonts w:ascii="Times New Roman" w:hAnsi="Times New Roman" w:eastAsia="宋体" w:cs="Times New Roman"/>
                <w:spacing w:val="-3"/>
                <w:sz w:val="24"/>
                <w:szCs w:val="24"/>
              </w:rPr>
              <w:t>重</w:t>
            </w:r>
            <w:r>
              <w:rPr>
                <w:rFonts w:ascii="Times New Roman" w:hAnsi="Times New Roman" w:eastAsia="宋体" w:cs="Times New Roman"/>
                <w:spacing w:val="-2"/>
                <w:sz w:val="24"/>
                <w:szCs w:val="24"/>
              </w:rPr>
              <w:t>大变化情况</w:t>
            </w:r>
            <w:r>
              <w:rPr>
                <w:rFonts w:hint="eastAsia" w:ascii="Times New Roman" w:hAnsi="Times New Roman" w:eastAsia="宋体" w:cs="Times New Roman"/>
                <w:spacing w:val="-2"/>
                <w:sz w:val="24"/>
                <w:szCs w:val="24"/>
              </w:rPr>
              <w:t>）</w:t>
            </w:r>
          </w:p>
        </w:tc>
        <w:tc>
          <w:tcPr>
            <w:tcW w:w="1849" w:type="pct"/>
            <w:tcBorders>
              <w:tl2br w:val="nil"/>
              <w:tr2bl w:val="nil"/>
            </w:tcBorders>
            <w:vAlign w:val="center"/>
          </w:tcPr>
          <w:p w14:paraId="55314762">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无</w:t>
            </w:r>
          </w:p>
        </w:tc>
        <w:tc>
          <w:tcPr>
            <w:tcW w:w="1724" w:type="pct"/>
            <w:tcBorders>
              <w:tl2br w:val="nil"/>
              <w:tr2bl w:val="nil"/>
            </w:tcBorders>
            <w:vAlign w:val="center"/>
          </w:tcPr>
          <w:p w14:paraId="0CC0C319">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不适用</w:t>
            </w:r>
          </w:p>
        </w:tc>
      </w:tr>
    </w:tbl>
    <w:p w14:paraId="692807EF">
      <w:pPr>
        <w:spacing w:before="120" w:beforeLines="50" w:line="360" w:lineRule="auto"/>
        <w:rPr>
          <w:rFonts w:ascii="Times New Roman" w:hAnsi="Times New Roman" w:eastAsia="宋体" w:cs="Times New Roman"/>
          <w:b/>
          <w:bCs/>
          <w:spacing w:val="11"/>
          <w:sz w:val="28"/>
          <w:szCs w:val="28"/>
        </w:rPr>
      </w:pPr>
      <w:r>
        <w:rPr>
          <w:rFonts w:ascii="Times New Roman" w:hAnsi="Times New Roman" w:eastAsia="宋体" w:cs="Times New Roman"/>
          <w:b/>
          <w:bCs/>
          <w:spacing w:val="11"/>
          <w:sz w:val="28"/>
          <w:szCs w:val="28"/>
        </w:rPr>
        <w:t>三、公司及股东承诺事项履行情况</w:t>
      </w:r>
    </w:p>
    <w:p w14:paraId="1F7A9FDB">
      <w:pPr>
        <w:spacing w:line="101" w:lineRule="auto"/>
        <w:rPr>
          <w:rFonts w:ascii="Times New Roman" w:hAnsi="Times New Roman" w:eastAsia="宋体" w:cs="Times New Roman"/>
          <w:sz w:val="2"/>
        </w:rPr>
      </w:pPr>
    </w:p>
    <w:tbl>
      <w:tblPr>
        <w:tblStyle w:val="7"/>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57" w:type="dxa"/>
          <w:left w:w="57" w:type="dxa"/>
          <w:bottom w:w="57" w:type="dxa"/>
          <w:right w:w="57" w:type="dxa"/>
        </w:tblCellMar>
      </w:tblPr>
      <w:tblGrid>
        <w:gridCol w:w="3032"/>
        <w:gridCol w:w="4399"/>
        <w:gridCol w:w="1750"/>
      </w:tblGrid>
      <w:tr w14:paraId="44CB14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707" w:hRule="atLeast"/>
        </w:trPr>
        <w:tc>
          <w:tcPr>
            <w:tcW w:w="1651" w:type="pct"/>
            <w:tcBorders>
              <w:tl2br w:val="nil"/>
              <w:tr2bl w:val="nil"/>
            </w:tcBorders>
            <w:vAlign w:val="center"/>
          </w:tcPr>
          <w:p w14:paraId="0BB5D84B">
            <w:pPr>
              <w:jc w:val="center"/>
              <w:rPr>
                <w:rFonts w:ascii="Times New Roman" w:hAnsi="Times New Roman" w:eastAsia="宋体" w:cs="Times New Roman"/>
                <w:b/>
                <w:bCs/>
                <w:spacing w:val="-15"/>
                <w:sz w:val="24"/>
                <w:szCs w:val="24"/>
              </w:rPr>
            </w:pPr>
            <w:r>
              <w:rPr>
                <w:rFonts w:ascii="Times New Roman" w:hAnsi="Times New Roman" w:eastAsia="宋体" w:cs="Times New Roman"/>
                <w:b/>
                <w:bCs/>
                <w:spacing w:val="-15"/>
                <w:sz w:val="24"/>
                <w:szCs w:val="24"/>
              </w:rPr>
              <w:t>公司及股东承诺事项</w:t>
            </w:r>
          </w:p>
        </w:tc>
        <w:tc>
          <w:tcPr>
            <w:tcW w:w="2395" w:type="pct"/>
            <w:tcBorders>
              <w:tl2br w:val="nil"/>
              <w:tr2bl w:val="nil"/>
            </w:tcBorders>
            <w:vAlign w:val="center"/>
          </w:tcPr>
          <w:p w14:paraId="7F260E8F">
            <w:pPr>
              <w:jc w:val="center"/>
              <w:rPr>
                <w:rFonts w:ascii="Times New Roman" w:hAnsi="Times New Roman" w:eastAsia="宋体" w:cs="Times New Roman"/>
                <w:b/>
                <w:bCs/>
                <w:spacing w:val="-15"/>
                <w:sz w:val="24"/>
                <w:szCs w:val="24"/>
              </w:rPr>
            </w:pPr>
            <w:r>
              <w:rPr>
                <w:rFonts w:ascii="Times New Roman" w:hAnsi="Times New Roman" w:eastAsia="宋体" w:cs="Times New Roman"/>
                <w:b/>
                <w:bCs/>
                <w:spacing w:val="-15"/>
                <w:sz w:val="24"/>
                <w:szCs w:val="24"/>
              </w:rPr>
              <w:t>是否履行承诺</w:t>
            </w:r>
          </w:p>
        </w:tc>
        <w:tc>
          <w:tcPr>
            <w:tcW w:w="953" w:type="pct"/>
            <w:tcBorders>
              <w:tl2br w:val="nil"/>
              <w:tr2bl w:val="nil"/>
            </w:tcBorders>
            <w:vAlign w:val="center"/>
          </w:tcPr>
          <w:p w14:paraId="7889948A">
            <w:pPr>
              <w:jc w:val="center"/>
              <w:rPr>
                <w:rFonts w:ascii="Times New Roman" w:hAnsi="Times New Roman" w:eastAsia="宋体" w:cs="Times New Roman"/>
                <w:b/>
                <w:bCs/>
                <w:spacing w:val="-15"/>
                <w:sz w:val="24"/>
                <w:szCs w:val="24"/>
              </w:rPr>
            </w:pPr>
            <w:r>
              <w:rPr>
                <w:rFonts w:ascii="Times New Roman" w:hAnsi="Times New Roman" w:eastAsia="宋体" w:cs="Times New Roman"/>
                <w:b/>
                <w:bCs/>
                <w:spacing w:val="-15"/>
                <w:sz w:val="24"/>
                <w:szCs w:val="24"/>
              </w:rPr>
              <w:t>未履行承诺的原因及解决措施</w:t>
            </w:r>
          </w:p>
        </w:tc>
      </w:tr>
      <w:tr w14:paraId="1E65F02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68" w:hRule="atLeast"/>
        </w:trPr>
        <w:tc>
          <w:tcPr>
            <w:tcW w:w="1651" w:type="pct"/>
            <w:tcBorders>
              <w:tl2br w:val="nil"/>
              <w:tr2bl w:val="nil"/>
            </w:tcBorders>
            <w:vAlign w:val="center"/>
          </w:tcPr>
          <w:p w14:paraId="1A07ABE7">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公司股东关于股份限售安排、自愿锁定股份、延长锁定期限相关承诺</w:t>
            </w:r>
          </w:p>
        </w:tc>
        <w:tc>
          <w:tcPr>
            <w:tcW w:w="2395" w:type="pct"/>
            <w:tcBorders>
              <w:tl2br w:val="nil"/>
              <w:tr2bl w:val="nil"/>
            </w:tcBorders>
            <w:vAlign w:val="center"/>
          </w:tcPr>
          <w:p w14:paraId="64E0DB4D">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09251CE1">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r w14:paraId="64769D6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45" w:hRule="atLeast"/>
        </w:trPr>
        <w:tc>
          <w:tcPr>
            <w:tcW w:w="1651" w:type="pct"/>
            <w:tcBorders>
              <w:tl2br w:val="nil"/>
              <w:tr2bl w:val="nil"/>
            </w:tcBorders>
            <w:vAlign w:val="center"/>
          </w:tcPr>
          <w:p w14:paraId="2984951D">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股东持股及减持意向承诺</w:t>
            </w:r>
          </w:p>
        </w:tc>
        <w:tc>
          <w:tcPr>
            <w:tcW w:w="2395" w:type="pct"/>
            <w:tcBorders>
              <w:tl2br w:val="nil"/>
              <w:tr2bl w:val="nil"/>
            </w:tcBorders>
            <w:vAlign w:val="center"/>
          </w:tcPr>
          <w:p w14:paraId="4D78611C">
            <w:pPr>
              <w:jc w:val="center"/>
              <w:rPr>
                <w:rFonts w:hint="eastAsia" w:ascii="Times New Roman" w:hAnsi="Times New Roman" w:eastAsia="宋体" w:cs="Times New Roman"/>
                <w:spacing w:val="-15"/>
                <w:sz w:val="24"/>
                <w:szCs w:val="24"/>
                <w:lang w:eastAsia="zh-CN"/>
              </w:rPr>
            </w:pPr>
            <w:r>
              <w:rPr>
                <w:rFonts w:hint="eastAsia" w:ascii="Times New Roman" w:hAnsi="Times New Roman" w:eastAsia="宋体" w:cs="Times New Roman"/>
                <w:spacing w:val="-15"/>
                <w:sz w:val="24"/>
                <w:szCs w:val="24"/>
                <w:lang w:eastAsia="zh-CN"/>
              </w:rPr>
              <w:t>是</w:t>
            </w:r>
          </w:p>
        </w:tc>
        <w:tc>
          <w:tcPr>
            <w:tcW w:w="953" w:type="pct"/>
            <w:tcBorders>
              <w:tl2br w:val="nil"/>
              <w:tr2bl w:val="nil"/>
            </w:tcBorders>
            <w:vAlign w:val="center"/>
          </w:tcPr>
          <w:p w14:paraId="29FD8222">
            <w:pPr>
              <w:jc w:val="center"/>
              <w:rPr>
                <w:rFonts w:hint="default" w:ascii="Times New Roman" w:hAnsi="Times New Roman" w:eastAsia="宋体" w:cs="Times New Roman"/>
                <w:spacing w:val="-15"/>
                <w:sz w:val="24"/>
                <w:szCs w:val="24"/>
                <w:lang w:val="en-US" w:eastAsia="zh-CN"/>
              </w:rPr>
            </w:pPr>
            <w:r>
              <w:rPr>
                <w:rFonts w:hint="eastAsia" w:ascii="Times New Roman" w:hAnsi="Times New Roman" w:eastAsia="宋体" w:cs="Times New Roman"/>
                <w:spacing w:val="-15"/>
                <w:sz w:val="24"/>
                <w:szCs w:val="24"/>
                <w:lang w:val="en-US" w:eastAsia="zh-CN"/>
              </w:rPr>
              <w:t>不适用</w:t>
            </w:r>
          </w:p>
        </w:tc>
      </w:tr>
      <w:tr w14:paraId="5E49F6E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45" w:hRule="atLeast"/>
        </w:trPr>
        <w:tc>
          <w:tcPr>
            <w:tcW w:w="1651" w:type="pct"/>
            <w:tcBorders>
              <w:tl2br w:val="nil"/>
              <w:tr2bl w:val="nil"/>
            </w:tcBorders>
            <w:vAlign w:val="center"/>
          </w:tcPr>
          <w:p w14:paraId="72C3B211">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稳定股价的承诺</w:t>
            </w:r>
          </w:p>
        </w:tc>
        <w:tc>
          <w:tcPr>
            <w:tcW w:w="2395" w:type="pct"/>
            <w:tcBorders>
              <w:tl2br w:val="nil"/>
              <w:tr2bl w:val="nil"/>
            </w:tcBorders>
            <w:vAlign w:val="center"/>
          </w:tcPr>
          <w:p w14:paraId="44135BF5">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60B231A0">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r w14:paraId="348BEF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45" w:hRule="atLeast"/>
        </w:trPr>
        <w:tc>
          <w:tcPr>
            <w:tcW w:w="1651" w:type="pct"/>
            <w:tcBorders>
              <w:tl2br w:val="nil"/>
              <w:tr2bl w:val="nil"/>
            </w:tcBorders>
            <w:vAlign w:val="center"/>
          </w:tcPr>
          <w:p w14:paraId="2E13CB1F">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股份回购和股份买回的承诺</w:t>
            </w:r>
          </w:p>
        </w:tc>
        <w:tc>
          <w:tcPr>
            <w:tcW w:w="2395" w:type="pct"/>
            <w:tcBorders>
              <w:tl2br w:val="nil"/>
              <w:tr2bl w:val="nil"/>
            </w:tcBorders>
            <w:vAlign w:val="center"/>
          </w:tcPr>
          <w:p w14:paraId="30B0D5DD">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0AF04DE0">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r w14:paraId="73C19BE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45" w:hRule="atLeast"/>
        </w:trPr>
        <w:tc>
          <w:tcPr>
            <w:tcW w:w="1651" w:type="pct"/>
            <w:tcBorders>
              <w:tl2br w:val="nil"/>
              <w:tr2bl w:val="nil"/>
            </w:tcBorders>
            <w:vAlign w:val="center"/>
          </w:tcPr>
          <w:p w14:paraId="42F91EE9">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对欺诈发行上市的股份回购和股份买回承诺</w:t>
            </w:r>
          </w:p>
        </w:tc>
        <w:tc>
          <w:tcPr>
            <w:tcW w:w="2395" w:type="pct"/>
            <w:tcBorders>
              <w:tl2br w:val="nil"/>
              <w:tr2bl w:val="nil"/>
            </w:tcBorders>
            <w:vAlign w:val="center"/>
          </w:tcPr>
          <w:p w14:paraId="1ADF4CDB">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2D323C90">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r w14:paraId="4060B6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45" w:hRule="atLeast"/>
        </w:trPr>
        <w:tc>
          <w:tcPr>
            <w:tcW w:w="1651" w:type="pct"/>
            <w:tcBorders>
              <w:tl2br w:val="nil"/>
              <w:tr2bl w:val="nil"/>
            </w:tcBorders>
            <w:vAlign w:val="center"/>
          </w:tcPr>
          <w:p w14:paraId="12EAA57B">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填补被摊薄即期回报的承诺</w:t>
            </w:r>
          </w:p>
        </w:tc>
        <w:tc>
          <w:tcPr>
            <w:tcW w:w="2395" w:type="pct"/>
            <w:tcBorders>
              <w:tl2br w:val="nil"/>
              <w:tr2bl w:val="nil"/>
            </w:tcBorders>
            <w:vAlign w:val="center"/>
          </w:tcPr>
          <w:p w14:paraId="5AC7C54C">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6236BD9A">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r w14:paraId="31479B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69" w:hRule="atLeast"/>
        </w:trPr>
        <w:tc>
          <w:tcPr>
            <w:tcW w:w="1651" w:type="pct"/>
            <w:tcBorders>
              <w:tl2br w:val="nil"/>
              <w:tr2bl w:val="nil"/>
            </w:tcBorders>
            <w:vAlign w:val="center"/>
          </w:tcPr>
          <w:p w14:paraId="4FE53F2F">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利润分配政策的承诺</w:t>
            </w:r>
          </w:p>
        </w:tc>
        <w:tc>
          <w:tcPr>
            <w:tcW w:w="2395" w:type="pct"/>
            <w:tcBorders>
              <w:tl2br w:val="nil"/>
              <w:tr2bl w:val="nil"/>
            </w:tcBorders>
            <w:vAlign w:val="center"/>
          </w:tcPr>
          <w:p w14:paraId="398DE411">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73C71C5D">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r w14:paraId="3365C3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69" w:hRule="atLeast"/>
        </w:trPr>
        <w:tc>
          <w:tcPr>
            <w:tcW w:w="1651" w:type="pct"/>
            <w:tcBorders>
              <w:tl2br w:val="nil"/>
              <w:tr2bl w:val="nil"/>
            </w:tcBorders>
            <w:vAlign w:val="center"/>
          </w:tcPr>
          <w:p w14:paraId="3512F25C">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依法承担赔偿责任的承诺</w:t>
            </w:r>
          </w:p>
        </w:tc>
        <w:tc>
          <w:tcPr>
            <w:tcW w:w="2395" w:type="pct"/>
            <w:tcBorders>
              <w:tl2br w:val="nil"/>
              <w:tr2bl w:val="nil"/>
            </w:tcBorders>
            <w:vAlign w:val="center"/>
          </w:tcPr>
          <w:p w14:paraId="2AAE13A6">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0D158891">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r w14:paraId="7DF999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69" w:hRule="atLeast"/>
        </w:trPr>
        <w:tc>
          <w:tcPr>
            <w:tcW w:w="1651" w:type="pct"/>
            <w:tcBorders>
              <w:tl2br w:val="nil"/>
              <w:tr2bl w:val="nil"/>
            </w:tcBorders>
            <w:vAlign w:val="center"/>
          </w:tcPr>
          <w:p w14:paraId="3E24ADEB">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关于未能履行承诺时的约束措施的承诺</w:t>
            </w:r>
          </w:p>
        </w:tc>
        <w:tc>
          <w:tcPr>
            <w:tcW w:w="2395" w:type="pct"/>
            <w:tcBorders>
              <w:tl2br w:val="nil"/>
              <w:tr2bl w:val="nil"/>
            </w:tcBorders>
            <w:vAlign w:val="center"/>
          </w:tcPr>
          <w:p w14:paraId="5B9850E3">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7785A6C4">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r w14:paraId="262E4BF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69" w:hRule="atLeast"/>
        </w:trPr>
        <w:tc>
          <w:tcPr>
            <w:tcW w:w="1651" w:type="pct"/>
            <w:tcBorders>
              <w:tl2br w:val="nil"/>
              <w:tr2bl w:val="nil"/>
            </w:tcBorders>
            <w:vAlign w:val="center"/>
          </w:tcPr>
          <w:p w14:paraId="419AA613">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关于股东信息披露的承诺</w:t>
            </w:r>
          </w:p>
        </w:tc>
        <w:tc>
          <w:tcPr>
            <w:tcW w:w="2395" w:type="pct"/>
            <w:tcBorders>
              <w:tl2br w:val="nil"/>
              <w:tr2bl w:val="nil"/>
            </w:tcBorders>
            <w:vAlign w:val="center"/>
          </w:tcPr>
          <w:p w14:paraId="3DDF1914">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36E66C8B">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r w14:paraId="136EDD2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69" w:hRule="atLeast"/>
        </w:trPr>
        <w:tc>
          <w:tcPr>
            <w:tcW w:w="1651" w:type="pct"/>
            <w:tcBorders>
              <w:tl2br w:val="nil"/>
              <w:tr2bl w:val="nil"/>
            </w:tcBorders>
            <w:vAlign w:val="center"/>
          </w:tcPr>
          <w:p w14:paraId="24DBEDB7">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关于消除或避免同业竞争的承诺函</w:t>
            </w:r>
          </w:p>
        </w:tc>
        <w:tc>
          <w:tcPr>
            <w:tcW w:w="2395" w:type="pct"/>
            <w:tcBorders>
              <w:tl2br w:val="nil"/>
              <w:tr2bl w:val="nil"/>
            </w:tcBorders>
            <w:vAlign w:val="center"/>
          </w:tcPr>
          <w:p w14:paraId="46A7C52A">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4F32285D">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r w14:paraId="65E0A82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69" w:hRule="atLeast"/>
        </w:trPr>
        <w:tc>
          <w:tcPr>
            <w:tcW w:w="1651" w:type="pct"/>
            <w:tcBorders>
              <w:tl2br w:val="nil"/>
              <w:tr2bl w:val="nil"/>
            </w:tcBorders>
            <w:vAlign w:val="center"/>
          </w:tcPr>
          <w:p w14:paraId="21284D39">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关于规范和减少关联交易的承诺</w:t>
            </w:r>
          </w:p>
        </w:tc>
        <w:tc>
          <w:tcPr>
            <w:tcW w:w="2395" w:type="pct"/>
            <w:tcBorders>
              <w:tl2br w:val="nil"/>
              <w:tr2bl w:val="nil"/>
            </w:tcBorders>
            <w:vAlign w:val="center"/>
          </w:tcPr>
          <w:p w14:paraId="241E63DF">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2D80EC94">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r w14:paraId="2237B3E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69" w:hRule="atLeast"/>
        </w:trPr>
        <w:tc>
          <w:tcPr>
            <w:tcW w:w="1651" w:type="pct"/>
            <w:tcBorders>
              <w:tl2br w:val="nil"/>
              <w:tr2bl w:val="nil"/>
            </w:tcBorders>
            <w:vAlign w:val="center"/>
          </w:tcPr>
          <w:p w14:paraId="0E5120C0">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关于社会保险与住房公积金相关事宜的承诺</w:t>
            </w:r>
          </w:p>
        </w:tc>
        <w:tc>
          <w:tcPr>
            <w:tcW w:w="2395" w:type="pct"/>
            <w:tcBorders>
              <w:tl2br w:val="nil"/>
              <w:tr2bl w:val="nil"/>
            </w:tcBorders>
            <w:vAlign w:val="center"/>
          </w:tcPr>
          <w:p w14:paraId="2BB58336">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2FB759DA">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r w14:paraId="52EEC9D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69" w:hRule="atLeast"/>
        </w:trPr>
        <w:tc>
          <w:tcPr>
            <w:tcW w:w="1651" w:type="pct"/>
            <w:tcBorders>
              <w:tl2br w:val="nil"/>
              <w:tr2bl w:val="nil"/>
            </w:tcBorders>
            <w:vAlign w:val="center"/>
          </w:tcPr>
          <w:p w14:paraId="6E8DC1CC">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关于股份权属的承诺</w:t>
            </w:r>
          </w:p>
        </w:tc>
        <w:tc>
          <w:tcPr>
            <w:tcW w:w="2395" w:type="pct"/>
            <w:tcBorders>
              <w:tl2br w:val="nil"/>
              <w:tr2bl w:val="nil"/>
            </w:tcBorders>
            <w:vAlign w:val="center"/>
          </w:tcPr>
          <w:p w14:paraId="002F2A8F">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72F2D1D6">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r w14:paraId="18887EA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69" w:hRule="atLeast"/>
        </w:trPr>
        <w:tc>
          <w:tcPr>
            <w:tcW w:w="1651" w:type="pct"/>
            <w:tcBorders>
              <w:tl2br w:val="nil"/>
              <w:tr2bl w:val="nil"/>
            </w:tcBorders>
            <w:vAlign w:val="center"/>
          </w:tcPr>
          <w:p w14:paraId="7C9EDC7F">
            <w:pPr>
              <w:pStyle w:val="10"/>
              <w:numPr>
                <w:ilvl w:val="0"/>
                <w:numId w:val="2"/>
              </w:numPr>
              <w:ind w:firstLineChars="0"/>
              <w:rPr>
                <w:rFonts w:ascii="Times New Roman" w:hAnsi="Times New Roman" w:eastAsia="宋体" w:cs="Times New Roman"/>
                <w:spacing w:val="0"/>
                <w:sz w:val="24"/>
                <w:szCs w:val="24"/>
              </w:rPr>
            </w:pPr>
            <w:r>
              <w:rPr>
                <w:rFonts w:hint="eastAsia" w:ascii="Times New Roman" w:hAnsi="Times New Roman" w:eastAsia="宋体" w:cs="Times New Roman"/>
                <w:spacing w:val="0"/>
                <w:sz w:val="24"/>
                <w:szCs w:val="24"/>
              </w:rPr>
              <w:t>关于在天亿马技术申请保密资质期间以及取得资质的有效期内相关承诺</w:t>
            </w:r>
          </w:p>
        </w:tc>
        <w:tc>
          <w:tcPr>
            <w:tcW w:w="2395" w:type="pct"/>
            <w:tcBorders>
              <w:tl2br w:val="nil"/>
              <w:tr2bl w:val="nil"/>
            </w:tcBorders>
            <w:vAlign w:val="center"/>
          </w:tcPr>
          <w:p w14:paraId="7142A3B3">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是</w:t>
            </w:r>
          </w:p>
        </w:tc>
        <w:tc>
          <w:tcPr>
            <w:tcW w:w="953" w:type="pct"/>
            <w:tcBorders>
              <w:tl2br w:val="nil"/>
              <w:tr2bl w:val="nil"/>
            </w:tcBorders>
            <w:vAlign w:val="center"/>
          </w:tcPr>
          <w:p w14:paraId="71837076">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不适用</w:t>
            </w:r>
          </w:p>
        </w:tc>
      </w:tr>
    </w:tbl>
    <w:p w14:paraId="2CF309FE">
      <w:pPr>
        <w:spacing w:before="120" w:beforeLines="50" w:line="360" w:lineRule="auto"/>
        <w:rPr>
          <w:rFonts w:ascii="Times New Roman" w:hAnsi="Times New Roman" w:eastAsia="宋体" w:cs="Times New Roman"/>
          <w:b/>
          <w:bCs/>
          <w:spacing w:val="11"/>
          <w:sz w:val="28"/>
          <w:szCs w:val="28"/>
        </w:rPr>
      </w:pPr>
      <w:r>
        <w:rPr>
          <w:rFonts w:ascii="Times New Roman" w:hAnsi="Times New Roman" w:eastAsia="宋体" w:cs="Times New Roman"/>
          <w:b/>
          <w:bCs/>
          <w:spacing w:val="11"/>
          <w:sz w:val="28"/>
          <w:szCs w:val="28"/>
        </w:rPr>
        <w:t>四、其他事项</w:t>
      </w:r>
    </w:p>
    <w:p w14:paraId="609F56F9">
      <w:pPr>
        <w:spacing w:line="83" w:lineRule="auto"/>
        <w:rPr>
          <w:rFonts w:ascii="Times New Roman" w:hAnsi="Times New Roman" w:eastAsia="宋体" w:cs="Times New Roman"/>
          <w:sz w:val="2"/>
        </w:rPr>
      </w:pPr>
    </w:p>
    <w:tbl>
      <w:tblPr>
        <w:tblStyle w:val="7"/>
        <w:tblW w:w="4999"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57" w:type="dxa"/>
          <w:left w:w="57" w:type="dxa"/>
          <w:bottom w:w="57" w:type="dxa"/>
          <w:right w:w="57" w:type="dxa"/>
        </w:tblCellMar>
      </w:tblPr>
      <w:tblGrid>
        <w:gridCol w:w="4689"/>
        <w:gridCol w:w="4496"/>
      </w:tblGrid>
      <w:tr w14:paraId="197FD6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07" w:hRule="atLeast"/>
        </w:trPr>
        <w:tc>
          <w:tcPr>
            <w:tcW w:w="2552" w:type="pct"/>
            <w:tcBorders>
              <w:tl2br w:val="nil"/>
              <w:tr2bl w:val="nil"/>
            </w:tcBorders>
            <w:vAlign w:val="center"/>
          </w:tcPr>
          <w:p w14:paraId="5F177169">
            <w:pPr>
              <w:jc w:val="center"/>
              <w:rPr>
                <w:rFonts w:ascii="Times New Roman" w:hAnsi="Times New Roman" w:eastAsia="宋体" w:cs="Times New Roman"/>
                <w:b/>
                <w:bCs/>
                <w:spacing w:val="-15"/>
                <w:sz w:val="24"/>
                <w:szCs w:val="24"/>
              </w:rPr>
            </w:pPr>
            <w:r>
              <w:rPr>
                <w:rFonts w:ascii="Times New Roman" w:hAnsi="Times New Roman" w:eastAsia="宋体" w:cs="Times New Roman"/>
                <w:b/>
                <w:bCs/>
                <w:spacing w:val="-15"/>
                <w:sz w:val="24"/>
                <w:szCs w:val="24"/>
              </w:rPr>
              <w:t>报告事项</w:t>
            </w:r>
          </w:p>
        </w:tc>
        <w:tc>
          <w:tcPr>
            <w:tcW w:w="2447" w:type="pct"/>
            <w:tcBorders>
              <w:tl2br w:val="nil"/>
              <w:tr2bl w:val="nil"/>
            </w:tcBorders>
            <w:vAlign w:val="center"/>
          </w:tcPr>
          <w:p w14:paraId="7EB97D89">
            <w:pPr>
              <w:jc w:val="center"/>
              <w:rPr>
                <w:rFonts w:ascii="Times New Roman" w:hAnsi="Times New Roman" w:eastAsia="宋体" w:cs="Times New Roman"/>
                <w:b/>
                <w:bCs/>
                <w:spacing w:val="-15"/>
                <w:sz w:val="24"/>
                <w:szCs w:val="24"/>
              </w:rPr>
            </w:pPr>
            <w:r>
              <w:rPr>
                <w:rFonts w:ascii="Times New Roman" w:hAnsi="Times New Roman" w:eastAsia="宋体" w:cs="Times New Roman"/>
                <w:b/>
                <w:bCs/>
                <w:spacing w:val="-15"/>
                <w:sz w:val="24"/>
                <w:szCs w:val="24"/>
              </w:rPr>
              <w:t>说明</w:t>
            </w:r>
          </w:p>
        </w:tc>
      </w:tr>
      <w:tr w14:paraId="52004B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02" w:hRule="atLeast"/>
        </w:trPr>
        <w:tc>
          <w:tcPr>
            <w:tcW w:w="2552" w:type="pct"/>
            <w:tcBorders>
              <w:tl2br w:val="nil"/>
              <w:tr2bl w:val="nil"/>
            </w:tcBorders>
            <w:vAlign w:val="center"/>
          </w:tcPr>
          <w:p w14:paraId="07A5F2A4">
            <w:pPr>
              <w:rPr>
                <w:rFonts w:ascii="Times New Roman" w:hAnsi="Times New Roman" w:eastAsia="宋体" w:cs="Times New Roman"/>
                <w:spacing w:val="-15"/>
                <w:sz w:val="24"/>
                <w:szCs w:val="24"/>
              </w:rPr>
            </w:pPr>
            <w:r>
              <w:rPr>
                <w:rFonts w:ascii="Times New Roman" w:hAnsi="Times New Roman" w:eastAsia="宋体" w:cs="Times New Roman"/>
                <w:spacing w:val="-15"/>
                <w:sz w:val="24"/>
                <w:szCs w:val="24"/>
              </w:rPr>
              <w:t>1.保荐代表人变更及其理由</w:t>
            </w:r>
          </w:p>
        </w:tc>
        <w:tc>
          <w:tcPr>
            <w:tcW w:w="2447" w:type="pct"/>
            <w:tcBorders>
              <w:tl2br w:val="nil"/>
              <w:tr2bl w:val="nil"/>
            </w:tcBorders>
            <w:vAlign w:val="center"/>
          </w:tcPr>
          <w:p w14:paraId="2EFEC70C">
            <w:pPr>
              <w:jc w:val="center"/>
              <w:rPr>
                <w:rFonts w:ascii="Times New Roman" w:hAnsi="Times New Roman" w:eastAsia="宋体" w:cs="Times New Roman"/>
                <w:spacing w:val="-15"/>
                <w:sz w:val="24"/>
                <w:szCs w:val="24"/>
              </w:rPr>
            </w:pPr>
            <w:r>
              <w:rPr>
                <w:rFonts w:hint="eastAsia" w:ascii="Times New Roman" w:hAnsi="Times New Roman" w:eastAsia="宋体" w:cs="Times New Roman"/>
                <w:spacing w:val="-15"/>
                <w:sz w:val="24"/>
                <w:szCs w:val="24"/>
              </w:rPr>
              <w:t>无</w:t>
            </w:r>
          </w:p>
        </w:tc>
      </w:tr>
      <w:tr w14:paraId="47EBB93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628" w:hRule="atLeast"/>
        </w:trPr>
        <w:tc>
          <w:tcPr>
            <w:tcW w:w="2552" w:type="pct"/>
            <w:tcBorders>
              <w:tl2br w:val="nil"/>
              <w:tr2bl w:val="nil"/>
            </w:tcBorders>
            <w:vAlign w:val="center"/>
          </w:tcPr>
          <w:p w14:paraId="0C936525">
            <w:pPr>
              <w:rPr>
                <w:rFonts w:ascii="Times New Roman" w:hAnsi="Times New Roman" w:eastAsia="宋体" w:cs="Times New Roman"/>
                <w:spacing w:val="-15"/>
                <w:sz w:val="24"/>
                <w:szCs w:val="24"/>
              </w:rPr>
            </w:pPr>
            <w:r>
              <w:rPr>
                <w:rFonts w:ascii="Times New Roman" w:hAnsi="Times New Roman" w:eastAsia="宋体" w:cs="Times New Roman"/>
                <w:spacing w:val="-15"/>
                <w:sz w:val="24"/>
                <w:szCs w:val="24"/>
              </w:rPr>
              <w:t>2.报告期内中国证监会和本所对保荐人或者其保荐的公司采取监管措施的事项及整改情况</w:t>
            </w:r>
          </w:p>
        </w:tc>
        <w:tc>
          <w:tcPr>
            <w:tcW w:w="2447" w:type="pct"/>
            <w:tcBorders>
              <w:tl2br w:val="nil"/>
              <w:tr2bl w:val="nil"/>
            </w:tcBorders>
            <w:vAlign w:val="center"/>
          </w:tcPr>
          <w:p w14:paraId="46912868">
            <w:pPr>
              <w:jc w:val="center"/>
              <w:rPr>
                <w:rFonts w:hint="default" w:ascii="Times New Roman" w:hAnsi="Times New Roman" w:eastAsia="宋体" w:cs="Times New Roman"/>
                <w:spacing w:val="-15"/>
                <w:sz w:val="24"/>
                <w:szCs w:val="24"/>
                <w:lang w:val="en-US" w:eastAsia="zh-CN"/>
              </w:rPr>
            </w:pPr>
            <w:r>
              <w:rPr>
                <w:rFonts w:hint="eastAsia" w:ascii="Times New Roman" w:hAnsi="Times New Roman" w:eastAsia="宋体" w:cs="Times New Roman"/>
                <w:spacing w:val="0"/>
                <w:sz w:val="24"/>
                <w:szCs w:val="24"/>
                <w:lang w:val="en-US" w:eastAsia="zh-CN"/>
              </w:rPr>
              <w:t>无</w:t>
            </w:r>
          </w:p>
        </w:tc>
      </w:tr>
      <w:tr w14:paraId="0FDD47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24" w:hRule="atLeast"/>
        </w:trPr>
        <w:tc>
          <w:tcPr>
            <w:tcW w:w="2552" w:type="pct"/>
            <w:tcBorders>
              <w:tl2br w:val="nil"/>
              <w:tr2bl w:val="nil"/>
            </w:tcBorders>
            <w:vAlign w:val="center"/>
          </w:tcPr>
          <w:p w14:paraId="31448B06">
            <w:pPr>
              <w:rPr>
                <w:rFonts w:ascii="Times New Roman" w:hAnsi="Times New Roman" w:eastAsia="宋体" w:cs="Times New Roman"/>
                <w:spacing w:val="-15"/>
                <w:sz w:val="24"/>
                <w:szCs w:val="24"/>
              </w:rPr>
            </w:pPr>
            <w:r>
              <w:rPr>
                <w:rFonts w:ascii="Times New Roman" w:hAnsi="Times New Roman" w:eastAsia="宋体" w:cs="Times New Roman"/>
                <w:spacing w:val="-15"/>
                <w:sz w:val="24"/>
                <w:szCs w:val="24"/>
              </w:rPr>
              <w:t>3.其他需要报告的重大事项</w:t>
            </w:r>
          </w:p>
        </w:tc>
        <w:tc>
          <w:tcPr>
            <w:tcW w:w="2447" w:type="pct"/>
            <w:tcBorders>
              <w:tl2br w:val="nil"/>
              <w:tr2bl w:val="nil"/>
            </w:tcBorders>
            <w:vAlign w:val="center"/>
          </w:tcPr>
          <w:p w14:paraId="52E69A20">
            <w:pPr>
              <w:ind w:firstLine="480" w:firstLineChars="20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关于募集资金投资项目：</w:t>
            </w:r>
          </w:p>
          <w:p w14:paraId="428113D5">
            <w:pPr>
              <w:numPr>
                <w:ilvl w:val="0"/>
                <w:numId w:val="3"/>
              </w:numPr>
              <w:ind w:firstLine="480" w:firstLineChars="200"/>
              <w:jc w:val="both"/>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深圳综合运营中心项目：</w:t>
            </w:r>
            <w:r>
              <w:rPr>
                <w:rFonts w:hint="eastAsia" w:ascii="Times New Roman" w:hAnsi="Times New Roman" w:eastAsia="宋体" w:cs="Times New Roman"/>
                <w:sz w:val="24"/>
                <w:szCs w:val="24"/>
              </w:rPr>
              <w:t>公司于2023年8月2日召开第三届董事会第十四次会议和第三届监事会第十二次会议，并于2023年8月21日召开2023年第三次临时股东大会，审议通过了《关于变更募投项目实施主体、实施地点及部分募集资金用途的议案》，将原募投项</w:t>
            </w:r>
            <w:r>
              <w:rPr>
                <w:rFonts w:hint="eastAsia" w:ascii="Times New Roman" w:hAnsi="Times New Roman" w:eastAsia="宋体" w:cs="Times New Roman"/>
                <w:sz w:val="24"/>
                <w:szCs w:val="24"/>
                <w:lang w:eastAsia="zh-CN"/>
              </w:rPr>
              <w:t>目</w:t>
            </w:r>
            <w:bookmarkStart w:id="0" w:name="_GoBack"/>
            <w:bookmarkEnd w:id="0"/>
            <w:r>
              <w:rPr>
                <w:rFonts w:hint="eastAsia" w:ascii="Times New Roman" w:hAnsi="Times New Roman" w:eastAsia="宋体" w:cs="Times New Roman"/>
                <w:sz w:val="24"/>
                <w:szCs w:val="24"/>
              </w:rPr>
              <w:t>“大数据应用技术中心建设项目”扩展升级为“深圳综合运营中心项目”。公司于2024年8月28日召开了第三届董事会第二十四次会议和第三届监事会第二十二次会议审议通过《关于部分募集资金投资项目延期的议案》，对项目进度规划进行调整，将“深圳综合运营中心项目”达到预定可使用状态时间由2024年8月25日延长至2025年8月24日</w:t>
            </w:r>
            <w:r>
              <w:rPr>
                <w:rFonts w:hint="eastAsia" w:ascii="Times New Roman" w:hAnsi="Times New Roman" w:eastAsia="宋体" w:cs="Times New Roman"/>
                <w:sz w:val="24"/>
                <w:szCs w:val="24"/>
                <w:lang w:eastAsia="zh-CN"/>
              </w:rPr>
              <w:t>。公司监事会就该事项发表了同意意见。截至2024年</w:t>
            </w:r>
            <w:r>
              <w:rPr>
                <w:rFonts w:hint="eastAsia" w:ascii="Times New Roman" w:hAnsi="Times New Roman" w:eastAsia="宋体" w:cs="Times New Roman"/>
                <w:sz w:val="24"/>
                <w:szCs w:val="24"/>
                <w:lang w:val="en-US" w:eastAsia="zh-CN"/>
              </w:rPr>
              <w:t>12</w:t>
            </w:r>
            <w:r>
              <w:rPr>
                <w:rFonts w:hint="eastAsia" w:ascii="Times New Roman" w:hAnsi="Times New Roman" w:eastAsia="宋体" w:cs="Times New Roman"/>
                <w:sz w:val="24"/>
                <w:szCs w:val="24"/>
                <w:lang w:eastAsia="zh-CN"/>
              </w:rPr>
              <w:t>月31日，募投项目“深圳综合运营中心项目”合计投入募集资金</w:t>
            </w:r>
            <w:r>
              <w:rPr>
                <w:rFonts w:hint="eastAsia" w:ascii="Times New Roman" w:hAnsi="Times New Roman" w:eastAsia="宋体" w:cs="Times New Roman"/>
                <w:sz w:val="24"/>
                <w:szCs w:val="24"/>
                <w:lang w:val="en-US" w:eastAsia="zh-CN"/>
              </w:rPr>
              <w:t>7,398.22</w:t>
            </w:r>
            <w:r>
              <w:rPr>
                <w:rFonts w:hint="eastAsia" w:ascii="Times New Roman" w:hAnsi="Times New Roman" w:eastAsia="宋体" w:cs="Times New Roman"/>
                <w:sz w:val="24"/>
                <w:szCs w:val="24"/>
                <w:lang w:eastAsia="zh-CN"/>
              </w:rPr>
              <w:t>万元。</w:t>
            </w:r>
          </w:p>
          <w:p w14:paraId="1EE2ABB1">
            <w:pPr>
              <w:numPr>
                <w:ilvl w:val="0"/>
                <w:numId w:val="3"/>
              </w:numPr>
              <w:ind w:firstLine="480" w:firstLineChars="200"/>
              <w:jc w:val="both"/>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终止</w:t>
            </w:r>
            <w:r>
              <w:rPr>
                <w:rFonts w:hint="eastAsia" w:ascii="Times New Roman" w:hAnsi="Times New Roman" w:eastAsia="宋体" w:cs="Times New Roman"/>
                <w:sz w:val="24"/>
                <w:szCs w:val="24"/>
              </w:rPr>
              <w:t>“智慧城市综合解决方案升级项目”并</w:t>
            </w:r>
            <w:r>
              <w:rPr>
                <w:rFonts w:hint="eastAsia" w:ascii="Times New Roman" w:hAnsi="Times New Roman" w:eastAsia="宋体" w:cs="Times New Roman"/>
                <w:sz w:val="24"/>
                <w:szCs w:val="24"/>
                <w:lang w:eastAsia="zh-CN"/>
              </w:rPr>
              <w:t>变更</w:t>
            </w:r>
            <w:r>
              <w:rPr>
                <w:rFonts w:hint="eastAsia" w:ascii="Times New Roman" w:hAnsi="Times New Roman" w:eastAsia="宋体" w:cs="Times New Roman"/>
                <w:sz w:val="24"/>
                <w:szCs w:val="24"/>
                <w:lang w:val="en-US" w:eastAsia="zh-CN"/>
              </w:rPr>
              <w:t>募投项目</w:t>
            </w:r>
            <w:r>
              <w:rPr>
                <w:rFonts w:hint="eastAsia" w:ascii="Times New Roman" w:hAnsi="Times New Roman" w:eastAsia="宋体" w:cs="Times New Roman"/>
                <w:sz w:val="24"/>
                <w:szCs w:val="24"/>
              </w:rPr>
              <w:t>为“算力集群服务项目”：2024年12月11日，公司召开了第三届董事会第二十六次会议和第三届监事会第二十四次会议，并于2024年12月27日召开2024年第四次临时股东会，审议通过了《关于变更部分募集资金用途的议案》，同意终止原募投项目“智慧城市综合解决方案升级项目”，将其部分募集资金11,716.00万元变更用于实施“算力集群服务项目”，剩余募集资金及其孳息将根据公司未来经营需要，适时投入其他项目建设或其他用途。</w:t>
            </w:r>
            <w:r>
              <w:rPr>
                <w:rFonts w:hint="eastAsia" w:ascii="Times New Roman" w:hAnsi="Times New Roman" w:eastAsia="宋体" w:cs="Times New Roman"/>
                <w:sz w:val="24"/>
                <w:szCs w:val="24"/>
                <w:lang w:eastAsia="zh-CN"/>
              </w:rPr>
              <w:t>公司监事会就该事项发表了同意意见。截至2024年</w:t>
            </w:r>
            <w:r>
              <w:rPr>
                <w:rFonts w:hint="eastAsia" w:ascii="Times New Roman" w:hAnsi="Times New Roman" w:eastAsia="宋体" w:cs="Times New Roman"/>
                <w:sz w:val="24"/>
                <w:szCs w:val="24"/>
                <w:lang w:val="en-US" w:eastAsia="zh-CN"/>
              </w:rPr>
              <w:t>12</w:t>
            </w:r>
            <w:r>
              <w:rPr>
                <w:rFonts w:hint="eastAsia" w:ascii="Times New Roman" w:hAnsi="Times New Roman" w:eastAsia="宋体" w:cs="Times New Roman"/>
                <w:sz w:val="24"/>
                <w:szCs w:val="24"/>
                <w:lang w:eastAsia="zh-CN"/>
              </w:rPr>
              <w:t>月31日，募投项目“</w:t>
            </w:r>
            <w:r>
              <w:rPr>
                <w:rFonts w:hint="eastAsia" w:ascii="Times New Roman" w:hAnsi="Times New Roman" w:eastAsia="宋体" w:cs="Times New Roman"/>
                <w:sz w:val="24"/>
                <w:szCs w:val="24"/>
              </w:rPr>
              <w:t>算力集群服务项目</w:t>
            </w:r>
            <w:r>
              <w:rPr>
                <w:rFonts w:hint="eastAsia" w:ascii="Times New Roman" w:hAnsi="Times New Roman" w:eastAsia="宋体" w:cs="Times New Roman"/>
                <w:sz w:val="24"/>
                <w:szCs w:val="24"/>
                <w:lang w:eastAsia="zh-CN"/>
              </w:rPr>
              <w:t>”合计投入募集资金</w:t>
            </w:r>
            <w:r>
              <w:rPr>
                <w:rFonts w:hint="eastAsia" w:ascii="Times New Roman" w:hAnsi="Times New Roman" w:eastAsia="宋体" w:cs="Times New Roman"/>
                <w:sz w:val="24"/>
                <w:szCs w:val="24"/>
                <w:lang w:val="en-US" w:eastAsia="zh-CN"/>
              </w:rPr>
              <w:t>9,975.00</w:t>
            </w:r>
            <w:r>
              <w:rPr>
                <w:rFonts w:hint="eastAsia" w:ascii="Times New Roman" w:hAnsi="Times New Roman" w:eastAsia="宋体" w:cs="Times New Roman"/>
                <w:sz w:val="24"/>
                <w:szCs w:val="24"/>
                <w:lang w:eastAsia="zh-CN"/>
              </w:rPr>
              <w:t>万元。</w:t>
            </w:r>
          </w:p>
          <w:p w14:paraId="51EDC77A">
            <w:pPr>
              <w:ind w:firstLine="480" w:firstLineChars="200"/>
              <w:jc w:val="both"/>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rPr>
              <w:t>保荐机构已督促公司严格遵守《上市公司监管指引第2号—上市公司募集资金管理和使用的监管要求》《深圳证券交易所上市公司自律监管指引第2号——创业板上市公司规范运作》和公司《募集资金使用管理办法》的相关要求，持续监督募投项目后续的实际执行情况并及时披露相关进展变动情况。若项目可行性发生重大变化或出现不能执行的情况，公司须及时予以变更并履行信息披露义务。</w:t>
            </w:r>
          </w:p>
        </w:tc>
      </w:tr>
    </w:tbl>
    <w:p w14:paraId="3B908FB3">
      <w:pPr>
        <w:spacing w:line="296" w:lineRule="auto"/>
        <w:rPr>
          <w:rFonts w:ascii="Times New Roman" w:hAnsi="Times New Roman" w:eastAsia="宋体" w:cs="Times New Roman"/>
        </w:rPr>
      </w:pPr>
    </w:p>
    <w:p w14:paraId="0A856F46">
      <w:pPr>
        <w:spacing w:line="297" w:lineRule="auto"/>
        <w:rPr>
          <w:rFonts w:ascii="Times New Roman" w:hAnsi="Times New Roman" w:eastAsia="宋体" w:cs="Times New Roman"/>
        </w:rPr>
      </w:pPr>
    </w:p>
    <w:p w14:paraId="2B01541D">
      <w:pPr>
        <w:spacing w:before="120" w:beforeLines="50" w:line="360" w:lineRule="auto"/>
        <w:rPr>
          <w:rFonts w:ascii="Times New Roman" w:hAnsi="Times New Roman" w:eastAsia="宋体" w:cs="Times New Roman"/>
          <w:sz w:val="24"/>
          <w:szCs w:val="24"/>
          <w:lang w:bidi="ar"/>
        </w:rPr>
        <w:sectPr>
          <w:footerReference r:id="rId3" w:type="default"/>
          <w:pgSz w:w="11907" w:h="16839"/>
          <w:pgMar w:top="1431" w:right="1358" w:bottom="1358" w:left="1476" w:header="0" w:footer="1080" w:gutter="0"/>
          <w:pgBorders>
            <w:top w:val="none" w:sz="0" w:space="0"/>
            <w:left w:val="none" w:sz="0" w:space="0"/>
            <w:bottom w:val="none" w:sz="0" w:space="0"/>
            <w:right w:val="none" w:sz="0" w:space="0"/>
          </w:pgBorders>
          <w:cols w:space="720" w:num="1"/>
        </w:sectPr>
      </w:pPr>
    </w:p>
    <w:p w14:paraId="7712A592">
      <w:pPr>
        <w:spacing w:before="120" w:beforeLines="50" w:line="360" w:lineRule="auto"/>
        <w:rPr>
          <w:rFonts w:ascii="Times New Roman" w:hAnsi="Times New Roman" w:eastAsia="宋体" w:cs="Times New Roman"/>
          <w:sz w:val="24"/>
          <w:szCs w:val="24"/>
        </w:rPr>
      </w:pPr>
      <w:r>
        <w:rPr>
          <w:rFonts w:ascii="Times New Roman" w:hAnsi="Times New Roman" w:eastAsia="宋体" w:cs="Times New Roman"/>
          <w:sz w:val="24"/>
          <w:szCs w:val="24"/>
          <w:lang w:bidi="ar"/>
        </w:rPr>
        <w:t>（本页无正文，为《五矿证券有限公司关于广东天亿马信息产业股份有限公司202</w:t>
      </w:r>
      <w:r>
        <w:rPr>
          <w:rFonts w:hint="eastAsia" w:ascii="Times New Roman" w:hAnsi="Times New Roman" w:eastAsia="宋体" w:cs="Times New Roman"/>
          <w:sz w:val="24"/>
          <w:szCs w:val="24"/>
          <w:lang w:val="en-US" w:eastAsia="zh-CN" w:bidi="ar"/>
        </w:rPr>
        <w:t>4</w:t>
      </w:r>
      <w:r>
        <w:rPr>
          <w:rFonts w:ascii="Times New Roman" w:hAnsi="Times New Roman" w:eastAsia="宋体" w:cs="Times New Roman"/>
          <w:sz w:val="24"/>
          <w:szCs w:val="24"/>
          <w:lang w:bidi="ar"/>
        </w:rPr>
        <w:t xml:space="preserve">年度持续督导跟踪报告》之签章页） </w:t>
      </w:r>
    </w:p>
    <w:p w14:paraId="56670D3B">
      <w:pPr>
        <w:spacing w:before="120" w:beforeLines="50" w:line="360" w:lineRule="auto"/>
        <w:rPr>
          <w:rFonts w:ascii="Times New Roman" w:hAnsi="Times New Roman" w:eastAsia="宋体" w:cs="Times New Roman"/>
          <w:sz w:val="24"/>
          <w:szCs w:val="24"/>
          <w:lang w:bidi="ar"/>
        </w:rPr>
      </w:pPr>
    </w:p>
    <w:p w14:paraId="1ABA3F21">
      <w:pPr>
        <w:spacing w:before="120" w:beforeLines="50" w:line="360" w:lineRule="auto"/>
        <w:rPr>
          <w:sz w:val="24"/>
          <w:szCs w:val="24"/>
          <w:lang w:bidi="ar"/>
        </w:rPr>
      </w:pPr>
    </w:p>
    <w:p w14:paraId="17FFA8D9">
      <w:pPr>
        <w:spacing w:before="120" w:beforeLines="50" w:line="360" w:lineRule="auto"/>
        <w:rPr>
          <w:rFonts w:ascii="Times New Roman" w:hAnsi="Times New Roman" w:eastAsia="宋体" w:cs="Times New Roman"/>
          <w:sz w:val="24"/>
          <w:szCs w:val="24"/>
          <w:lang w:bidi="ar"/>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80"/>
        <w:gridCol w:w="1868"/>
        <w:gridCol w:w="1760"/>
        <w:gridCol w:w="1869"/>
        <w:gridCol w:w="1812"/>
      </w:tblGrid>
      <w:tr w14:paraId="22710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980" w:type="dxa"/>
          </w:tcPr>
          <w:p w14:paraId="6797F69A">
            <w:pPr>
              <w:spacing w:before="120" w:beforeLines="50" w:line="360" w:lineRule="auto"/>
              <w:jc w:val="center"/>
              <w:rPr>
                <w:rFonts w:ascii="Times New Roman" w:hAnsi="Times New Roman" w:eastAsia="宋体" w:cs="Times New Roman"/>
                <w:kern w:val="2"/>
                <w:sz w:val="24"/>
                <w:szCs w:val="24"/>
                <w:lang w:bidi="ar"/>
              </w:rPr>
            </w:pPr>
            <w:r>
              <w:rPr>
                <w:rFonts w:ascii="Times New Roman" w:hAnsi="Times New Roman" w:eastAsia="宋体" w:cs="Times New Roman"/>
                <w:kern w:val="2"/>
                <w:sz w:val="24"/>
                <w:szCs w:val="24"/>
                <w:lang w:bidi="ar"/>
              </w:rPr>
              <w:t>保荐代表人：</w:t>
            </w:r>
          </w:p>
        </w:tc>
        <w:tc>
          <w:tcPr>
            <w:tcW w:w="1868" w:type="dxa"/>
          </w:tcPr>
          <w:p w14:paraId="05C14E55">
            <w:pPr>
              <w:spacing w:before="120" w:beforeLines="50" w:line="360" w:lineRule="auto"/>
              <w:jc w:val="center"/>
              <w:rPr>
                <w:rFonts w:ascii="Times New Roman" w:hAnsi="Times New Roman" w:eastAsia="宋体" w:cs="Times New Roman"/>
                <w:kern w:val="2"/>
                <w:sz w:val="24"/>
                <w:szCs w:val="24"/>
                <w:lang w:bidi="ar"/>
              </w:rPr>
            </w:pPr>
          </w:p>
        </w:tc>
        <w:tc>
          <w:tcPr>
            <w:tcW w:w="1760" w:type="dxa"/>
          </w:tcPr>
          <w:p w14:paraId="5D782E52">
            <w:pPr>
              <w:spacing w:before="120" w:beforeLines="50" w:line="360" w:lineRule="auto"/>
              <w:jc w:val="center"/>
              <w:rPr>
                <w:kern w:val="2"/>
                <w:sz w:val="24"/>
                <w:szCs w:val="24"/>
                <w:lang w:bidi="ar"/>
              </w:rPr>
            </w:pPr>
          </w:p>
        </w:tc>
        <w:tc>
          <w:tcPr>
            <w:tcW w:w="1869" w:type="dxa"/>
          </w:tcPr>
          <w:p w14:paraId="70AF3507">
            <w:pPr>
              <w:spacing w:before="120" w:beforeLines="50" w:line="360" w:lineRule="auto"/>
              <w:jc w:val="center"/>
              <w:rPr>
                <w:rFonts w:ascii="Times New Roman" w:hAnsi="Times New Roman" w:eastAsia="宋体" w:cs="Times New Roman"/>
                <w:kern w:val="2"/>
                <w:sz w:val="24"/>
                <w:szCs w:val="24"/>
                <w:lang w:bidi="ar"/>
              </w:rPr>
            </w:pPr>
          </w:p>
        </w:tc>
        <w:tc>
          <w:tcPr>
            <w:tcW w:w="1812" w:type="dxa"/>
          </w:tcPr>
          <w:p w14:paraId="4CD3EA68">
            <w:pPr>
              <w:spacing w:before="120" w:beforeLines="50" w:line="360" w:lineRule="auto"/>
              <w:jc w:val="center"/>
              <w:rPr>
                <w:kern w:val="2"/>
                <w:sz w:val="24"/>
                <w:szCs w:val="24"/>
                <w:lang w:bidi="ar"/>
              </w:rPr>
            </w:pPr>
          </w:p>
        </w:tc>
      </w:tr>
      <w:tr w14:paraId="0A436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980" w:type="dxa"/>
          </w:tcPr>
          <w:p w14:paraId="4829E10D">
            <w:pPr>
              <w:spacing w:before="120" w:beforeLines="50" w:line="360" w:lineRule="auto"/>
              <w:jc w:val="center"/>
              <w:rPr>
                <w:rFonts w:ascii="Times New Roman" w:hAnsi="Times New Roman" w:eastAsia="宋体" w:cs="Times New Roman"/>
                <w:kern w:val="2"/>
                <w:sz w:val="24"/>
                <w:szCs w:val="24"/>
                <w:lang w:bidi="ar"/>
              </w:rPr>
            </w:pPr>
          </w:p>
        </w:tc>
        <w:tc>
          <w:tcPr>
            <w:tcW w:w="1868" w:type="dxa"/>
            <w:tcBorders>
              <w:bottom w:val="single" w:color="auto" w:sz="4" w:space="0"/>
            </w:tcBorders>
          </w:tcPr>
          <w:p w14:paraId="67C6BD51">
            <w:pPr>
              <w:spacing w:before="120" w:beforeLines="50" w:line="360" w:lineRule="auto"/>
              <w:jc w:val="center"/>
              <w:rPr>
                <w:rFonts w:ascii="Times New Roman" w:hAnsi="Times New Roman" w:eastAsia="宋体" w:cs="Times New Roman"/>
                <w:kern w:val="2"/>
                <w:sz w:val="24"/>
                <w:szCs w:val="24"/>
                <w:lang w:bidi="ar"/>
              </w:rPr>
            </w:pPr>
          </w:p>
        </w:tc>
        <w:tc>
          <w:tcPr>
            <w:tcW w:w="1760" w:type="dxa"/>
          </w:tcPr>
          <w:p w14:paraId="2CF49DFD">
            <w:pPr>
              <w:spacing w:before="120" w:beforeLines="50" w:line="360" w:lineRule="auto"/>
              <w:jc w:val="center"/>
              <w:rPr>
                <w:kern w:val="2"/>
                <w:sz w:val="24"/>
                <w:szCs w:val="24"/>
                <w:lang w:bidi="ar"/>
              </w:rPr>
            </w:pPr>
          </w:p>
        </w:tc>
        <w:tc>
          <w:tcPr>
            <w:tcW w:w="1869" w:type="dxa"/>
            <w:tcBorders>
              <w:bottom w:val="single" w:color="auto" w:sz="4" w:space="0"/>
            </w:tcBorders>
          </w:tcPr>
          <w:p w14:paraId="2C56FEEA">
            <w:pPr>
              <w:spacing w:before="120" w:beforeLines="50" w:line="360" w:lineRule="auto"/>
              <w:jc w:val="center"/>
              <w:rPr>
                <w:rFonts w:ascii="Times New Roman" w:hAnsi="Times New Roman" w:eastAsia="宋体" w:cs="Times New Roman"/>
                <w:kern w:val="2"/>
                <w:sz w:val="24"/>
                <w:szCs w:val="24"/>
                <w:lang w:bidi="ar"/>
              </w:rPr>
            </w:pPr>
          </w:p>
        </w:tc>
        <w:tc>
          <w:tcPr>
            <w:tcW w:w="1812" w:type="dxa"/>
          </w:tcPr>
          <w:p w14:paraId="3F762912">
            <w:pPr>
              <w:spacing w:before="120" w:beforeLines="50" w:line="360" w:lineRule="auto"/>
              <w:jc w:val="center"/>
              <w:rPr>
                <w:kern w:val="2"/>
                <w:sz w:val="24"/>
                <w:szCs w:val="24"/>
                <w:lang w:bidi="ar"/>
              </w:rPr>
            </w:pPr>
          </w:p>
        </w:tc>
      </w:tr>
      <w:tr w14:paraId="785CA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980" w:type="dxa"/>
          </w:tcPr>
          <w:p w14:paraId="5B6B83A1">
            <w:pPr>
              <w:spacing w:before="120" w:beforeLines="50" w:line="360" w:lineRule="auto"/>
              <w:jc w:val="center"/>
              <w:rPr>
                <w:rFonts w:ascii="Times New Roman" w:hAnsi="Times New Roman" w:eastAsia="宋体" w:cs="Times New Roman"/>
                <w:kern w:val="2"/>
                <w:sz w:val="24"/>
                <w:szCs w:val="24"/>
                <w:lang w:bidi="ar"/>
              </w:rPr>
            </w:pPr>
          </w:p>
        </w:tc>
        <w:tc>
          <w:tcPr>
            <w:tcW w:w="1868" w:type="dxa"/>
            <w:tcBorders>
              <w:top w:val="single" w:color="auto" w:sz="4" w:space="0"/>
            </w:tcBorders>
          </w:tcPr>
          <w:p w14:paraId="70647DCA">
            <w:pPr>
              <w:spacing w:before="120" w:beforeLines="50" w:line="360" w:lineRule="auto"/>
              <w:jc w:val="center"/>
              <w:rPr>
                <w:rFonts w:ascii="Times New Roman" w:hAnsi="Times New Roman" w:eastAsia="宋体" w:cs="Times New Roman"/>
                <w:kern w:val="2"/>
                <w:sz w:val="24"/>
                <w:szCs w:val="24"/>
                <w:lang w:bidi="ar"/>
              </w:rPr>
            </w:pPr>
            <w:r>
              <w:rPr>
                <w:rFonts w:ascii="Times New Roman" w:hAnsi="Times New Roman" w:eastAsia="宋体" w:cs="Times New Roman"/>
                <w:kern w:val="2"/>
                <w:sz w:val="24"/>
                <w:szCs w:val="24"/>
                <w:lang w:bidi="ar"/>
              </w:rPr>
              <w:t>温  波</w:t>
            </w:r>
          </w:p>
        </w:tc>
        <w:tc>
          <w:tcPr>
            <w:tcW w:w="1760" w:type="dxa"/>
          </w:tcPr>
          <w:p w14:paraId="3155DFEA">
            <w:pPr>
              <w:spacing w:before="120" w:beforeLines="50" w:line="360" w:lineRule="auto"/>
              <w:jc w:val="center"/>
              <w:rPr>
                <w:kern w:val="2"/>
                <w:sz w:val="24"/>
                <w:szCs w:val="24"/>
                <w:lang w:bidi="ar"/>
              </w:rPr>
            </w:pPr>
          </w:p>
        </w:tc>
        <w:tc>
          <w:tcPr>
            <w:tcW w:w="1869" w:type="dxa"/>
            <w:tcBorders>
              <w:top w:val="single" w:color="auto" w:sz="4" w:space="0"/>
            </w:tcBorders>
          </w:tcPr>
          <w:p w14:paraId="10EFAB19">
            <w:pPr>
              <w:spacing w:before="120" w:beforeLines="50" w:line="360" w:lineRule="auto"/>
              <w:jc w:val="center"/>
              <w:rPr>
                <w:rFonts w:ascii="Times New Roman" w:hAnsi="Times New Roman" w:eastAsia="宋体" w:cs="Times New Roman"/>
                <w:kern w:val="2"/>
                <w:sz w:val="24"/>
                <w:szCs w:val="24"/>
                <w:lang w:bidi="ar"/>
              </w:rPr>
            </w:pPr>
            <w:r>
              <w:rPr>
                <w:rFonts w:ascii="Times New Roman" w:hAnsi="Times New Roman" w:eastAsia="宋体" w:cs="Times New Roman"/>
                <w:kern w:val="2"/>
                <w:sz w:val="24"/>
                <w:szCs w:val="24"/>
                <w:lang w:bidi="ar"/>
              </w:rPr>
              <w:t>宋  平</w:t>
            </w:r>
          </w:p>
        </w:tc>
        <w:tc>
          <w:tcPr>
            <w:tcW w:w="1812" w:type="dxa"/>
          </w:tcPr>
          <w:p w14:paraId="7488DAFF">
            <w:pPr>
              <w:spacing w:before="120" w:beforeLines="50" w:line="360" w:lineRule="auto"/>
              <w:jc w:val="center"/>
              <w:rPr>
                <w:kern w:val="2"/>
                <w:sz w:val="24"/>
                <w:szCs w:val="24"/>
                <w:lang w:bidi="ar"/>
              </w:rPr>
            </w:pPr>
          </w:p>
        </w:tc>
      </w:tr>
    </w:tbl>
    <w:p w14:paraId="5A060E68">
      <w:pPr>
        <w:spacing w:before="120" w:beforeLines="50" w:line="360" w:lineRule="auto"/>
        <w:rPr>
          <w:rFonts w:ascii="Times New Roman" w:hAnsi="Times New Roman" w:eastAsia="宋体" w:cs="Times New Roman"/>
          <w:sz w:val="24"/>
          <w:szCs w:val="24"/>
          <w:lang w:bidi="ar"/>
        </w:rPr>
      </w:pPr>
    </w:p>
    <w:p w14:paraId="5E853CE7">
      <w:pPr>
        <w:spacing w:before="120" w:beforeLines="50" w:line="360" w:lineRule="auto"/>
        <w:rPr>
          <w:rFonts w:ascii="Times New Roman" w:hAnsi="Times New Roman" w:eastAsia="宋体" w:cs="Times New Roman"/>
          <w:sz w:val="24"/>
          <w:szCs w:val="24"/>
          <w:lang w:bidi="ar"/>
        </w:rPr>
      </w:pPr>
    </w:p>
    <w:p w14:paraId="565B01B3">
      <w:pPr>
        <w:spacing w:before="120" w:beforeLines="50" w:line="360" w:lineRule="auto"/>
        <w:rPr>
          <w:rFonts w:ascii="Times New Roman" w:hAnsi="Times New Roman" w:eastAsia="宋体" w:cs="Times New Roman"/>
          <w:sz w:val="24"/>
          <w:szCs w:val="24"/>
          <w:lang w:bidi="ar"/>
        </w:rPr>
      </w:pPr>
    </w:p>
    <w:p w14:paraId="2FA43538">
      <w:pPr>
        <w:spacing w:before="120" w:beforeLines="50" w:line="360" w:lineRule="auto"/>
        <w:jc w:val="right"/>
        <w:rPr>
          <w:rFonts w:ascii="Times New Roman" w:hAnsi="Times New Roman" w:eastAsia="宋体" w:cs="Times New Roman"/>
          <w:sz w:val="24"/>
          <w:szCs w:val="24"/>
          <w:lang w:bidi="ar"/>
        </w:rPr>
      </w:pPr>
      <w:r>
        <w:rPr>
          <w:rFonts w:ascii="Times New Roman" w:hAnsi="Times New Roman" w:eastAsia="宋体" w:cs="Times New Roman"/>
          <w:sz w:val="24"/>
          <w:szCs w:val="24"/>
          <w:lang w:bidi="ar"/>
        </w:rPr>
        <w:t xml:space="preserve">五矿证券有限公司 </w:t>
      </w:r>
    </w:p>
    <w:p w14:paraId="1EA931E4">
      <w:pPr>
        <w:spacing w:before="120" w:beforeLines="50" w:line="360" w:lineRule="auto"/>
        <w:jc w:val="right"/>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bidi="ar"/>
        </w:rPr>
        <w:t>2025</w:t>
      </w:r>
      <w:r>
        <w:rPr>
          <w:rFonts w:ascii="Times New Roman" w:hAnsi="Times New Roman" w:eastAsia="宋体" w:cs="Times New Roman"/>
          <w:sz w:val="24"/>
          <w:szCs w:val="24"/>
          <w:lang w:bidi="ar"/>
        </w:rPr>
        <w:t>年</w:t>
      </w:r>
      <w:r>
        <w:rPr>
          <w:rFonts w:hint="eastAsia" w:ascii="Times New Roman" w:hAnsi="Times New Roman" w:eastAsia="宋体" w:cs="Times New Roman"/>
          <w:sz w:val="24"/>
          <w:szCs w:val="24"/>
          <w:lang w:val="en-US" w:eastAsia="zh-CN" w:bidi="ar"/>
        </w:rPr>
        <w:t>5</w:t>
      </w:r>
      <w:r>
        <w:rPr>
          <w:rFonts w:ascii="Times New Roman" w:hAnsi="Times New Roman" w:eastAsia="宋体" w:cs="Times New Roman"/>
          <w:sz w:val="24"/>
          <w:szCs w:val="24"/>
          <w:lang w:bidi="ar"/>
        </w:rPr>
        <w:t>月</w:t>
      </w:r>
      <w:r>
        <w:rPr>
          <w:rFonts w:hint="eastAsia" w:ascii="Times New Roman" w:hAnsi="Times New Roman" w:eastAsia="宋体" w:cs="Times New Roman"/>
          <w:sz w:val="24"/>
          <w:szCs w:val="24"/>
          <w:lang w:val="en-US" w:eastAsia="zh-CN" w:bidi="ar"/>
        </w:rPr>
        <w:t>8</w:t>
      </w:r>
      <w:r>
        <w:rPr>
          <w:rFonts w:ascii="Times New Roman" w:hAnsi="Times New Roman" w:eastAsia="宋体" w:cs="Times New Roman"/>
          <w:sz w:val="24"/>
          <w:szCs w:val="24"/>
          <w:lang w:bidi="ar"/>
        </w:rPr>
        <w:t>日</w:t>
      </w:r>
    </w:p>
    <w:p w14:paraId="620A01BD">
      <w:pPr>
        <w:spacing w:before="120" w:beforeLines="50" w:line="360" w:lineRule="auto"/>
        <w:rPr>
          <w:rFonts w:ascii="Times New Roman" w:hAnsi="Times New Roman" w:eastAsia="宋体" w:cs="Times New Roman"/>
          <w:sz w:val="28"/>
          <w:szCs w:val="28"/>
        </w:rPr>
      </w:pPr>
    </w:p>
    <w:sectPr>
      <w:pgSz w:w="11907" w:h="16839"/>
      <w:pgMar w:top="1431" w:right="1358" w:bottom="1358" w:left="1476" w:header="0" w:footer="1080"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91AD3D">
    <w:pPr>
      <w:spacing w:line="183" w:lineRule="auto"/>
      <w:ind w:right="1414"/>
      <w:rPr>
        <w:rFonts w:ascii="宋体" w:hAnsi="宋体" w:eastAsia="宋体" w:cs="宋体"/>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28D0B7"/>
    <w:multiLevelType w:val="singleLevel"/>
    <w:tmpl w:val="AB28D0B7"/>
    <w:lvl w:ilvl="0" w:tentative="0">
      <w:start w:val="1"/>
      <w:numFmt w:val="decimal"/>
      <w:suff w:val="nothing"/>
      <w:lvlText w:val="（%1）"/>
      <w:lvlJc w:val="left"/>
    </w:lvl>
  </w:abstractNum>
  <w:abstractNum w:abstractNumId="1">
    <w:nsid w:val="F2A97476"/>
    <w:multiLevelType w:val="singleLevel"/>
    <w:tmpl w:val="F2A97476"/>
    <w:lvl w:ilvl="0" w:tentative="0">
      <w:start w:val="1"/>
      <w:numFmt w:val="decimal"/>
      <w:suff w:val="nothing"/>
      <w:lvlText w:val="（%1）"/>
      <w:lvlJc w:val="left"/>
    </w:lvl>
  </w:abstractNum>
  <w:abstractNum w:abstractNumId="2">
    <w:nsid w:val="505F0A33"/>
    <w:multiLevelType w:val="multilevel"/>
    <w:tmpl w:val="505F0A33"/>
    <w:lvl w:ilvl="0" w:tentative="0">
      <w:start w:val="1"/>
      <w:numFmt w:val="decimal"/>
      <w:suff w:val="space"/>
      <w:lvlText w:val="%1."/>
      <w:lvlJc w:val="left"/>
      <w:pPr>
        <w:ind w:left="170" w:hanging="170"/>
      </w:pPr>
      <w:rPr>
        <w:rFonts w:hint="default" w:ascii="Times New Roman" w:hAnsi="Times New Roman" w:eastAsia="宋体"/>
        <w:b w:val="0"/>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Q5YjQwZDQxZjZhZTA4MzdmYTIwYjc1MTM3Y2JiMDcifQ=="/>
  </w:docVars>
  <w:rsids>
    <w:rsidRoot w:val="004D6CCD"/>
    <w:rsid w:val="00072CC1"/>
    <w:rsid w:val="0009784F"/>
    <w:rsid w:val="000C1824"/>
    <w:rsid w:val="000E1305"/>
    <w:rsid w:val="00106459"/>
    <w:rsid w:val="0011193B"/>
    <w:rsid w:val="00117B58"/>
    <w:rsid w:val="00145C6F"/>
    <w:rsid w:val="00185C64"/>
    <w:rsid w:val="00273557"/>
    <w:rsid w:val="00277639"/>
    <w:rsid w:val="002842B5"/>
    <w:rsid w:val="00365167"/>
    <w:rsid w:val="003C1DEE"/>
    <w:rsid w:val="003D6B17"/>
    <w:rsid w:val="00430B04"/>
    <w:rsid w:val="00453E74"/>
    <w:rsid w:val="00467671"/>
    <w:rsid w:val="00494117"/>
    <w:rsid w:val="004C0DA4"/>
    <w:rsid w:val="004D6CCD"/>
    <w:rsid w:val="00540EFF"/>
    <w:rsid w:val="005E471D"/>
    <w:rsid w:val="005F4629"/>
    <w:rsid w:val="00672873"/>
    <w:rsid w:val="006B4A17"/>
    <w:rsid w:val="0074147B"/>
    <w:rsid w:val="007419B7"/>
    <w:rsid w:val="00765A7E"/>
    <w:rsid w:val="00766AC9"/>
    <w:rsid w:val="007E0147"/>
    <w:rsid w:val="008751FC"/>
    <w:rsid w:val="008936B9"/>
    <w:rsid w:val="008E1A17"/>
    <w:rsid w:val="00963DB0"/>
    <w:rsid w:val="00987C90"/>
    <w:rsid w:val="00A73AF5"/>
    <w:rsid w:val="00B25893"/>
    <w:rsid w:val="00BC6990"/>
    <w:rsid w:val="00BD6390"/>
    <w:rsid w:val="00C867DA"/>
    <w:rsid w:val="00C947FD"/>
    <w:rsid w:val="00CB2174"/>
    <w:rsid w:val="00D87C81"/>
    <w:rsid w:val="00EF63B1"/>
    <w:rsid w:val="00F2617C"/>
    <w:rsid w:val="00F41A64"/>
    <w:rsid w:val="00F66454"/>
    <w:rsid w:val="01655E65"/>
    <w:rsid w:val="026E0D49"/>
    <w:rsid w:val="05C40CCB"/>
    <w:rsid w:val="09003A4E"/>
    <w:rsid w:val="092400D0"/>
    <w:rsid w:val="0BA61553"/>
    <w:rsid w:val="0DCD726B"/>
    <w:rsid w:val="0F3330FE"/>
    <w:rsid w:val="108F0808"/>
    <w:rsid w:val="10AB4F16"/>
    <w:rsid w:val="10FD7E68"/>
    <w:rsid w:val="11E22FD9"/>
    <w:rsid w:val="12154132"/>
    <w:rsid w:val="124F64A1"/>
    <w:rsid w:val="12694A24"/>
    <w:rsid w:val="144E09DA"/>
    <w:rsid w:val="14DC5F84"/>
    <w:rsid w:val="160869B8"/>
    <w:rsid w:val="161D22FD"/>
    <w:rsid w:val="16895CFA"/>
    <w:rsid w:val="16B74615"/>
    <w:rsid w:val="1719707D"/>
    <w:rsid w:val="17B957C4"/>
    <w:rsid w:val="1CFF6D16"/>
    <w:rsid w:val="1D14141B"/>
    <w:rsid w:val="1D807E56"/>
    <w:rsid w:val="1DB7314C"/>
    <w:rsid w:val="1F833124"/>
    <w:rsid w:val="21DD6EFA"/>
    <w:rsid w:val="22235254"/>
    <w:rsid w:val="22603DB2"/>
    <w:rsid w:val="22F42369"/>
    <w:rsid w:val="23072480"/>
    <w:rsid w:val="232C638A"/>
    <w:rsid w:val="263C4B36"/>
    <w:rsid w:val="265A082C"/>
    <w:rsid w:val="2B970D90"/>
    <w:rsid w:val="2C336D39"/>
    <w:rsid w:val="2CCD1DBE"/>
    <w:rsid w:val="2DEA4E78"/>
    <w:rsid w:val="2DF20DC4"/>
    <w:rsid w:val="2DFD104F"/>
    <w:rsid w:val="2F5C6AA1"/>
    <w:rsid w:val="2F732410"/>
    <w:rsid w:val="31887EF2"/>
    <w:rsid w:val="335544C3"/>
    <w:rsid w:val="352011B6"/>
    <w:rsid w:val="36541A28"/>
    <w:rsid w:val="3708604A"/>
    <w:rsid w:val="39DC43DC"/>
    <w:rsid w:val="3A094ACB"/>
    <w:rsid w:val="3A641296"/>
    <w:rsid w:val="3AC61012"/>
    <w:rsid w:val="3BD50F16"/>
    <w:rsid w:val="3E1C28FA"/>
    <w:rsid w:val="3F6A7BC7"/>
    <w:rsid w:val="42A56FE1"/>
    <w:rsid w:val="452151CC"/>
    <w:rsid w:val="48104824"/>
    <w:rsid w:val="48145CB5"/>
    <w:rsid w:val="4BF07D1F"/>
    <w:rsid w:val="4C143394"/>
    <w:rsid w:val="4C721AC5"/>
    <w:rsid w:val="4CA94424"/>
    <w:rsid w:val="4DB90697"/>
    <w:rsid w:val="4E1E3514"/>
    <w:rsid w:val="4E660DC3"/>
    <w:rsid w:val="510F05CE"/>
    <w:rsid w:val="511107EA"/>
    <w:rsid w:val="511B3417"/>
    <w:rsid w:val="516E1AB0"/>
    <w:rsid w:val="519C5ECC"/>
    <w:rsid w:val="51C33452"/>
    <w:rsid w:val="52741030"/>
    <w:rsid w:val="5301063F"/>
    <w:rsid w:val="5617713E"/>
    <w:rsid w:val="563F62F6"/>
    <w:rsid w:val="56C67981"/>
    <w:rsid w:val="59080725"/>
    <w:rsid w:val="5A3D0D14"/>
    <w:rsid w:val="5AF2343A"/>
    <w:rsid w:val="5DBC388C"/>
    <w:rsid w:val="608D72C8"/>
    <w:rsid w:val="61F513E7"/>
    <w:rsid w:val="63367C3C"/>
    <w:rsid w:val="64562A7B"/>
    <w:rsid w:val="65982E30"/>
    <w:rsid w:val="67431796"/>
    <w:rsid w:val="67C3742F"/>
    <w:rsid w:val="67F81964"/>
    <w:rsid w:val="682F32A0"/>
    <w:rsid w:val="684E77D6"/>
    <w:rsid w:val="68B03FED"/>
    <w:rsid w:val="69022F27"/>
    <w:rsid w:val="6B3F038F"/>
    <w:rsid w:val="6CCB7647"/>
    <w:rsid w:val="6E7F34F3"/>
    <w:rsid w:val="6FDC42E9"/>
    <w:rsid w:val="73326672"/>
    <w:rsid w:val="74556EB2"/>
    <w:rsid w:val="76045978"/>
    <w:rsid w:val="7746449A"/>
    <w:rsid w:val="776B3F01"/>
    <w:rsid w:val="77971D79"/>
    <w:rsid w:val="77B238DE"/>
    <w:rsid w:val="78E86E5C"/>
    <w:rsid w:val="798866CC"/>
    <w:rsid w:val="7A5A50FB"/>
    <w:rsid w:val="7AA53BCD"/>
    <w:rsid w:val="7C8004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zh-CN" w:bidi="ar-SA"/>
    </w:rPr>
  </w:style>
  <w:style w:type="character" w:default="1" w:styleId="6">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jc w:val="center"/>
    </w:pPr>
    <w:rPr>
      <w:sz w:val="18"/>
      <w:szCs w:val="18"/>
    </w:rPr>
  </w:style>
  <w:style w:type="table" w:styleId="5">
    <w:name w:val="Table Grid"/>
    <w:basedOn w:val="4"/>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character" w:customStyle="1" w:styleId="8">
    <w:name w:val="页眉 字符"/>
    <w:basedOn w:val="6"/>
    <w:link w:val="3"/>
    <w:qFormat/>
    <w:uiPriority w:val="99"/>
    <w:rPr>
      <w:sz w:val="18"/>
      <w:szCs w:val="18"/>
    </w:rPr>
  </w:style>
  <w:style w:type="character" w:customStyle="1" w:styleId="9">
    <w:name w:val="页脚 字符"/>
    <w:basedOn w:val="6"/>
    <w:link w:val="2"/>
    <w:autoRedefine/>
    <w:qFormat/>
    <w:uiPriority w:val="99"/>
    <w:rPr>
      <w:sz w:val="18"/>
      <w:szCs w:val="18"/>
    </w:rPr>
  </w:style>
  <w:style w:type="paragraph" w:styleId="10">
    <w:name w:val="List Paragraph"/>
    <w:basedOn w:val="1"/>
    <w:qFormat/>
    <w:uiPriority w:val="99"/>
    <w:pPr>
      <w:ind w:firstLine="420" w:firstLineChars="200"/>
    </w:pPr>
  </w:style>
  <w:style w:type="paragraph" w:customStyle="1" w:styleId="11">
    <w:name w:val="Revision"/>
    <w:hidden/>
    <w:semiHidden/>
    <w:qFormat/>
    <w:uiPriority w:val="99"/>
    <w:rPr>
      <w:rFonts w:ascii="Arial" w:hAnsi="Arial" w:cs="Arial" w:eastAsiaTheme="minorEastAsia"/>
      <w:snapToGrid w:val="0"/>
      <w:color w:val="000000"/>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2019</Words>
  <Characters>2164</Characters>
  <Lines>30</Lines>
  <Paragraphs>8</Paragraphs>
  <TotalTime>3</TotalTime>
  <ScaleCrop>false</ScaleCrop>
  <LinksUpToDate>false</LinksUpToDate>
  <CharactersWithSpaces>2164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2022-01-07T20:12:00Z</dcterms:created>
  <dc:creator>覃舜宜</dc:creator>
  <cp:lastModifiedBy>黄舒倩</cp:lastModifiedBy>
  <dcterms:modified xsi:type="dcterms:W3CDTF">2025-05-08T08:44:13Z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2022-05-09T23:51:51Z</vt:filetime>
  </property>
  <property fmtid="{D5CDD505-2E9C-101B-9397-08002B2CF9AE}" pid="4" name="KSOProductBuildVer">
    <vt:lpwstr>2052-12.1.0.20784</vt:lpwstr>
  </property>
  <property fmtid="{D5CDD505-2E9C-101B-9397-08002B2CF9AE}" pid="5" name="ICV">
    <vt:lpwstr>0E4C5F010D3143B88F8760B781BDAAA8_13</vt:lpwstr>
  </property>
  <property fmtid="{D5CDD505-2E9C-101B-9397-08002B2CF9AE}" pid="6" name="KSOTemplateDocerSaveRecord">
    <vt:lpwstr>eyJoZGlkIjoiYjc3NTVmODk5OWI4YTU0YmU5MTlhYzJjMjBkNzFlNmEiLCJ1c2VySWQiOiIyNDMwNTgyMjAifQ==</vt:lpwstr>
  </property>
</Properties>
</file>