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DCD8E">
      <w:pPr>
        <w:keepNext w:val="0"/>
        <w:keepLines w:val="0"/>
        <w:pageBreakBefore w:val="0"/>
        <w:widowControl w:val="0"/>
        <w:kinsoku/>
        <w:wordWrap/>
        <w:overflowPunct/>
        <w:topLinePunct w:val="0"/>
        <w:autoSpaceDE/>
        <w:autoSpaceDN/>
        <w:bidi w:val="0"/>
        <w:adjustRightInd/>
        <w:snapToGrid/>
        <w:spacing w:before="157" w:beforeLines="50"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五矿证券有限公司</w:t>
      </w:r>
    </w:p>
    <w:p w14:paraId="54B4F4B6">
      <w:pPr>
        <w:keepNext w:val="0"/>
        <w:keepLines w:val="0"/>
        <w:pageBreakBefore w:val="0"/>
        <w:widowControl w:val="0"/>
        <w:kinsoku/>
        <w:wordWrap/>
        <w:overflowPunct/>
        <w:topLinePunct w:val="0"/>
        <w:autoSpaceDE/>
        <w:autoSpaceDN/>
        <w:bidi w:val="0"/>
        <w:adjustRightInd/>
        <w:snapToGrid/>
        <w:spacing w:before="157" w:beforeLines="50"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关于广东天亿马信息产业股份有限公司</w:t>
      </w:r>
    </w:p>
    <w:p w14:paraId="1B2D602D">
      <w:pPr>
        <w:keepNext w:val="0"/>
        <w:keepLines w:val="0"/>
        <w:pageBreakBefore w:val="0"/>
        <w:widowControl w:val="0"/>
        <w:kinsoku/>
        <w:wordWrap/>
        <w:overflowPunct/>
        <w:topLinePunct w:val="0"/>
        <w:autoSpaceDE/>
        <w:autoSpaceDN/>
        <w:bidi w:val="0"/>
        <w:adjustRightInd/>
        <w:snapToGrid/>
        <w:spacing w:before="157" w:beforeLines="50" w:line="360" w:lineRule="auto"/>
        <w:jc w:val="center"/>
        <w:textAlignment w:val="auto"/>
        <w:rPr>
          <w:rFonts w:hint="eastAsia" w:ascii="黑体" w:hAnsi="黑体" w:eastAsia="黑体" w:cs="黑体"/>
          <w:b/>
          <w:bCs/>
          <w:sz w:val="32"/>
          <w:szCs w:val="40"/>
        </w:rPr>
      </w:pPr>
      <w:r>
        <w:rPr>
          <w:rFonts w:hint="eastAsia" w:ascii="黑体" w:hAnsi="黑体" w:eastAsia="黑体" w:cs="黑体"/>
          <w:b/>
          <w:bCs/>
          <w:sz w:val="32"/>
          <w:szCs w:val="40"/>
        </w:rPr>
        <w:t>首次公开发行股票并在创业板上市之保荐总结报告书</w:t>
      </w:r>
    </w:p>
    <w:p w14:paraId="3E11103A">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广东天亿马信息产业股份有限公司</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lang w:val="en-US" w:eastAsia="zh-CN"/>
        </w:rPr>
        <w:t>以下简称“天亿马”或“公司”</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rPr>
        <w:t>于2021年1</w:t>
      </w:r>
      <w:r>
        <w:rPr>
          <w:rFonts w:hint="eastAsia" w:ascii="Times New Roman" w:hAnsi="Times New Roman" w:eastAsia="宋体" w:cs="Times New Roman"/>
          <w:sz w:val="24"/>
          <w:szCs w:val="32"/>
          <w:lang w:val="en-US" w:eastAsia="zh-CN"/>
        </w:rPr>
        <w:t>1</w:t>
      </w:r>
      <w:r>
        <w:rPr>
          <w:rFonts w:hint="default" w:ascii="Times New Roman" w:hAnsi="Times New Roman" w:eastAsia="宋体" w:cs="Times New Roman"/>
          <w:sz w:val="24"/>
          <w:szCs w:val="32"/>
        </w:rPr>
        <w:t>月</w:t>
      </w:r>
      <w:r>
        <w:rPr>
          <w:rFonts w:hint="eastAsia" w:ascii="Times New Roman" w:hAnsi="Times New Roman" w:eastAsia="宋体" w:cs="Times New Roman"/>
          <w:sz w:val="24"/>
          <w:szCs w:val="32"/>
          <w:lang w:val="en-US" w:eastAsia="zh-CN"/>
        </w:rPr>
        <w:t>12</w:t>
      </w:r>
      <w:r>
        <w:rPr>
          <w:rFonts w:hint="default" w:ascii="Times New Roman" w:hAnsi="Times New Roman" w:eastAsia="宋体" w:cs="Times New Roman"/>
          <w:sz w:val="24"/>
          <w:szCs w:val="32"/>
        </w:rPr>
        <w:t>日在深圳证券交易所上市，持续督导期至2024年12月31日止。</w:t>
      </w:r>
      <w:r>
        <w:rPr>
          <w:rFonts w:hint="eastAsia" w:ascii="Times New Roman" w:hAnsi="Times New Roman" w:eastAsia="宋体" w:cs="Times New Roman"/>
          <w:sz w:val="24"/>
          <w:szCs w:val="32"/>
          <w:lang w:val="en-US" w:eastAsia="zh-CN"/>
        </w:rPr>
        <w:t>五矿证券</w:t>
      </w:r>
      <w:r>
        <w:rPr>
          <w:rFonts w:hint="default" w:ascii="Times New Roman" w:hAnsi="Times New Roman" w:eastAsia="宋体" w:cs="Times New Roman"/>
          <w:sz w:val="24"/>
          <w:szCs w:val="32"/>
        </w:rPr>
        <w:t>有限公司（以下简称“</w:t>
      </w:r>
      <w:r>
        <w:rPr>
          <w:rFonts w:hint="eastAsia" w:ascii="Times New Roman" w:hAnsi="Times New Roman" w:eastAsia="宋体" w:cs="Times New Roman"/>
          <w:sz w:val="24"/>
          <w:szCs w:val="32"/>
          <w:lang w:val="en-US" w:eastAsia="zh-CN"/>
        </w:rPr>
        <w:t>五矿</w:t>
      </w:r>
      <w:r>
        <w:rPr>
          <w:rFonts w:hint="default" w:ascii="Times New Roman" w:hAnsi="Times New Roman" w:eastAsia="宋体" w:cs="Times New Roman"/>
          <w:sz w:val="24"/>
          <w:szCs w:val="32"/>
        </w:rPr>
        <w:t>证券</w:t>
      </w:r>
      <w:r>
        <w:rPr>
          <w:rFonts w:hint="eastAsia" w:ascii="Times New Roman" w:hAnsi="Times New Roman" w:eastAsia="宋体" w:cs="Times New Roman"/>
          <w:sz w:val="24"/>
          <w:szCs w:val="32"/>
          <w:lang w:eastAsia="zh-CN"/>
        </w:rPr>
        <w:t>”</w:t>
      </w:r>
      <w:r>
        <w:rPr>
          <w:rFonts w:hint="eastAsia" w:ascii="Times New Roman" w:hAnsi="Times New Roman" w:eastAsia="宋体" w:cs="Times New Roman"/>
          <w:sz w:val="24"/>
          <w:szCs w:val="32"/>
          <w:lang w:val="en-US" w:eastAsia="zh-CN"/>
        </w:rPr>
        <w:t>或</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rPr>
        <w:t>保荐机构”）作为公司首次公开发行股票并在创业板上市的保荐机构，于上市之日起对公司进行持续督导工作。目前持续督导期已经届满，现根据《证券发行上市保荐业务管理办法</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rPr>
        <w:t>深圳证券交易所股票上市规则</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rPr>
        <w:t>深圳证券交易所上市公司自律监管指引第13号——保荐业务》等有关法律法规和规范性文件的要求，出具本保荐总结报告书。</w:t>
      </w:r>
    </w:p>
    <w:p w14:paraId="6CBA23D2">
      <w:pPr>
        <w:keepNext w:val="0"/>
        <w:keepLines w:val="0"/>
        <w:pageBreakBefore w:val="0"/>
        <w:widowControl w:val="0"/>
        <w:kinsoku/>
        <w:wordWrap/>
        <w:overflowPunct/>
        <w:topLinePunct w:val="0"/>
        <w:autoSpaceDE/>
        <w:autoSpaceDN/>
        <w:bidi w:val="0"/>
        <w:adjustRightInd/>
        <w:snapToGrid/>
        <w:spacing w:before="157" w:beforeLines="50" w:line="360" w:lineRule="auto"/>
        <w:jc w:val="both"/>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 xml:space="preserve">一、保荐机构及保荐代表人承诺 </w:t>
      </w:r>
    </w:p>
    <w:p w14:paraId="4BE87507">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 xml:space="preserve">1、保荐总结报告书和证明文件及其相关资料的内容不存在虚假记载、误导性陈述或重大遗漏，保荐机构及保荐代表人对其真实性、准确性、完整性承担法律责任。 </w:t>
      </w:r>
    </w:p>
    <w:p w14:paraId="1FDB8F2F">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2、本机构及本人自愿接受中国证券监督管理委员会（以下简称“中国证监会”）对保荐总结报告书相关事项进行的任何质询和调查。</w:t>
      </w:r>
    </w:p>
    <w:p w14:paraId="7C8BE222">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3、本机构及本人自愿接受中国证监会按照《证券发行上市保荐业务管理办法</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rPr>
        <w:t xml:space="preserve">的有关规定采取的监管措施。 </w:t>
      </w:r>
    </w:p>
    <w:p w14:paraId="292CC754">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 xml:space="preserve">二、保荐机构基本情况 </w:t>
      </w:r>
    </w:p>
    <w:tbl>
      <w:tblPr>
        <w:tblStyle w:val="2"/>
        <w:tblW w:w="4998" w:type="pct"/>
        <w:tblInd w:w="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shd w:val="clear" w:color="auto" w:fill="FFFFFF"/>
        <w:tblLayout w:type="autofit"/>
        <w:tblCellMar>
          <w:top w:w="0" w:type="dxa"/>
          <w:left w:w="0" w:type="dxa"/>
          <w:bottom w:w="0" w:type="dxa"/>
          <w:right w:w="0" w:type="dxa"/>
        </w:tblCellMar>
      </w:tblPr>
      <w:tblGrid>
        <w:gridCol w:w="2762"/>
        <w:gridCol w:w="5617"/>
      </w:tblGrid>
      <w:tr w14:paraId="17302C6B">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shd w:val="clear" w:color="auto" w:fill="FFFFFF"/>
          <w:tblCellMar>
            <w:top w:w="0" w:type="dxa"/>
            <w:left w:w="0" w:type="dxa"/>
            <w:bottom w:w="0" w:type="dxa"/>
            <w:right w:w="0" w:type="dxa"/>
          </w:tblCellMar>
        </w:tblPrEx>
        <w:trPr>
          <w:trHeight w:val="340" w:hRule="atLeast"/>
        </w:trPr>
        <w:tc>
          <w:tcPr>
            <w:tcW w:w="1648" w:type="pct"/>
            <w:tcBorders>
              <w:tl2br w:val="nil"/>
              <w:tr2bl w:val="nil"/>
            </w:tcBorders>
            <w:shd w:val="clear" w:color="auto" w:fill="FFFFFF"/>
            <w:tcMar>
              <w:top w:w="38" w:type="dxa"/>
              <w:left w:w="38" w:type="dxa"/>
              <w:bottom w:w="38" w:type="dxa"/>
              <w:right w:w="38" w:type="dxa"/>
            </w:tcMar>
            <w:vAlign w:val="center"/>
          </w:tcPr>
          <w:p w14:paraId="404442E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18"/>
                <w:szCs w:val="18"/>
                <w:lang w:val="en-US" w:eastAsia="zh-CN" w:bidi="ar"/>
              </w:rPr>
              <w:t>情况</w:t>
            </w:r>
          </w:p>
        </w:tc>
        <w:tc>
          <w:tcPr>
            <w:tcW w:w="3351" w:type="pct"/>
            <w:tcBorders>
              <w:tl2br w:val="nil"/>
              <w:tr2bl w:val="nil"/>
            </w:tcBorders>
            <w:shd w:val="clear" w:color="auto" w:fill="FFFFFF"/>
            <w:tcMar>
              <w:top w:w="38" w:type="dxa"/>
              <w:left w:w="38" w:type="dxa"/>
              <w:bottom w:w="38" w:type="dxa"/>
              <w:right w:w="38" w:type="dxa"/>
            </w:tcMar>
            <w:vAlign w:val="center"/>
          </w:tcPr>
          <w:p w14:paraId="5F3BAA2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18"/>
                <w:szCs w:val="18"/>
                <w:lang w:val="en-US" w:eastAsia="zh-CN" w:bidi="ar"/>
              </w:rPr>
              <w:t>内容</w:t>
            </w:r>
          </w:p>
        </w:tc>
      </w:tr>
      <w:tr w14:paraId="7D57D3D4">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48" w:type="pct"/>
            <w:tcBorders>
              <w:tl2br w:val="nil"/>
              <w:tr2bl w:val="nil"/>
            </w:tcBorders>
            <w:shd w:val="clear" w:color="auto" w:fill="FFFFFF"/>
            <w:tcMar>
              <w:top w:w="38" w:type="dxa"/>
              <w:left w:w="38" w:type="dxa"/>
              <w:bottom w:w="38" w:type="dxa"/>
              <w:right w:w="38" w:type="dxa"/>
            </w:tcMar>
            <w:vAlign w:val="center"/>
          </w:tcPr>
          <w:p w14:paraId="7291D60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18"/>
                <w:szCs w:val="18"/>
                <w:lang w:val="en-US" w:eastAsia="zh-CN" w:bidi="ar"/>
              </w:rPr>
              <w:t>保荐机构名称</w:t>
            </w:r>
          </w:p>
        </w:tc>
        <w:tc>
          <w:tcPr>
            <w:tcW w:w="3351" w:type="pct"/>
            <w:tcBorders>
              <w:tl2br w:val="nil"/>
              <w:tr2bl w:val="nil"/>
            </w:tcBorders>
            <w:shd w:val="clear" w:color="auto" w:fill="FFFFFF"/>
            <w:tcMar>
              <w:top w:w="38" w:type="dxa"/>
              <w:left w:w="38" w:type="dxa"/>
              <w:bottom w:w="38" w:type="dxa"/>
              <w:right w:w="38" w:type="dxa"/>
            </w:tcMar>
            <w:vAlign w:val="center"/>
          </w:tcPr>
          <w:p w14:paraId="6742C83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aps w:val="0"/>
                <w:color w:val="auto"/>
                <w:spacing w:val="0"/>
                <w:sz w:val="18"/>
                <w:szCs w:val="18"/>
              </w:rPr>
            </w:pPr>
            <w:r>
              <w:rPr>
                <w:rStyle w:val="5"/>
                <w:rFonts w:hint="default" w:ascii="Times New Roman" w:hAnsi="Times New Roman" w:eastAsia="宋体" w:cs="Times New Roman"/>
                <w:b w:val="0"/>
                <w:bCs w:val="0"/>
                <w:i w:val="0"/>
                <w:iCs w:val="0"/>
                <w:caps w:val="0"/>
                <w:color w:val="auto"/>
                <w:spacing w:val="0"/>
                <w:kern w:val="0"/>
                <w:sz w:val="18"/>
                <w:szCs w:val="18"/>
                <w:lang w:val="en-US" w:eastAsia="zh-CN" w:bidi="ar"/>
              </w:rPr>
              <w:t>五矿</w:t>
            </w:r>
            <w:r>
              <w:rPr>
                <w:rFonts w:hint="default" w:ascii="Times New Roman" w:hAnsi="Times New Roman" w:eastAsia="宋体" w:cs="Times New Roman"/>
                <w:b w:val="0"/>
                <w:bCs w:val="0"/>
                <w:i w:val="0"/>
                <w:iCs w:val="0"/>
                <w:caps w:val="0"/>
                <w:color w:val="auto"/>
                <w:spacing w:val="0"/>
                <w:kern w:val="0"/>
                <w:sz w:val="18"/>
                <w:szCs w:val="18"/>
                <w:lang w:val="en-US" w:eastAsia="zh-CN" w:bidi="ar"/>
              </w:rPr>
              <w:t>证券有限公司</w:t>
            </w:r>
          </w:p>
        </w:tc>
      </w:tr>
      <w:tr w14:paraId="11B37936">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48" w:type="pct"/>
            <w:tcBorders>
              <w:tl2br w:val="nil"/>
              <w:tr2bl w:val="nil"/>
            </w:tcBorders>
            <w:shd w:val="clear" w:color="auto" w:fill="FFFFFF"/>
            <w:tcMar>
              <w:top w:w="38" w:type="dxa"/>
              <w:left w:w="38" w:type="dxa"/>
              <w:bottom w:w="38" w:type="dxa"/>
              <w:right w:w="38" w:type="dxa"/>
            </w:tcMar>
            <w:vAlign w:val="center"/>
          </w:tcPr>
          <w:p w14:paraId="151DA5F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18"/>
                <w:szCs w:val="18"/>
                <w:lang w:val="en-US" w:eastAsia="zh-CN" w:bidi="ar"/>
              </w:rPr>
              <w:t>注册地址</w:t>
            </w:r>
          </w:p>
        </w:tc>
        <w:tc>
          <w:tcPr>
            <w:tcW w:w="3351" w:type="pct"/>
            <w:tcBorders>
              <w:tl2br w:val="nil"/>
              <w:tr2bl w:val="nil"/>
            </w:tcBorders>
            <w:shd w:val="clear" w:color="auto" w:fill="FFFFFF"/>
            <w:tcMar>
              <w:top w:w="38" w:type="dxa"/>
              <w:left w:w="38" w:type="dxa"/>
              <w:bottom w:w="38" w:type="dxa"/>
              <w:right w:w="38" w:type="dxa"/>
            </w:tcMar>
            <w:vAlign w:val="center"/>
          </w:tcPr>
          <w:p w14:paraId="7A7FDBE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aps w:val="0"/>
                <w:color w:val="auto"/>
                <w:spacing w:val="0"/>
                <w:sz w:val="18"/>
                <w:szCs w:val="18"/>
              </w:rPr>
            </w:pPr>
            <w:r>
              <w:rPr>
                <w:rFonts w:hint="default" w:ascii="Times New Roman" w:hAnsi="Times New Roman" w:eastAsia="宋体" w:cs="Times New Roman"/>
                <w:b w:val="0"/>
                <w:bCs w:val="0"/>
                <w:i w:val="0"/>
                <w:iCs w:val="0"/>
                <w:caps w:val="0"/>
                <w:color w:val="auto"/>
                <w:spacing w:val="0"/>
                <w:kern w:val="0"/>
                <w:sz w:val="18"/>
                <w:szCs w:val="18"/>
                <w:lang w:val="en-US" w:eastAsia="zh-CN" w:bidi="ar"/>
              </w:rPr>
              <w:t>深圳市南山区粤海街道海珠社区滨海大道3165号</w:t>
            </w:r>
            <w:r>
              <w:rPr>
                <w:rStyle w:val="5"/>
                <w:rFonts w:hint="default" w:ascii="Times New Roman" w:hAnsi="Times New Roman" w:eastAsia="宋体" w:cs="Times New Roman"/>
                <w:b w:val="0"/>
                <w:bCs w:val="0"/>
                <w:i w:val="0"/>
                <w:iCs w:val="0"/>
                <w:caps w:val="0"/>
                <w:color w:val="auto"/>
                <w:spacing w:val="0"/>
                <w:kern w:val="0"/>
                <w:sz w:val="18"/>
                <w:szCs w:val="18"/>
                <w:lang w:val="en-US" w:eastAsia="zh-CN" w:bidi="ar"/>
              </w:rPr>
              <w:t>五矿</w:t>
            </w:r>
            <w:r>
              <w:rPr>
                <w:rFonts w:hint="default" w:ascii="Times New Roman" w:hAnsi="Times New Roman" w:eastAsia="宋体" w:cs="Times New Roman"/>
                <w:b w:val="0"/>
                <w:bCs w:val="0"/>
                <w:i w:val="0"/>
                <w:iCs w:val="0"/>
                <w:caps w:val="0"/>
                <w:color w:val="auto"/>
                <w:spacing w:val="0"/>
                <w:kern w:val="0"/>
                <w:sz w:val="18"/>
                <w:szCs w:val="18"/>
                <w:lang w:val="en-US" w:eastAsia="zh-CN" w:bidi="ar"/>
              </w:rPr>
              <w:t>金融大厦2401</w:t>
            </w:r>
          </w:p>
        </w:tc>
      </w:tr>
      <w:tr w14:paraId="6C494846">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48" w:type="pct"/>
            <w:tcBorders>
              <w:tl2br w:val="nil"/>
              <w:tr2bl w:val="nil"/>
            </w:tcBorders>
            <w:shd w:val="clear" w:color="auto" w:fill="FFFFFF"/>
            <w:tcMar>
              <w:top w:w="38" w:type="dxa"/>
              <w:left w:w="38" w:type="dxa"/>
              <w:bottom w:w="38" w:type="dxa"/>
              <w:right w:w="38" w:type="dxa"/>
            </w:tcMar>
            <w:vAlign w:val="center"/>
          </w:tcPr>
          <w:p w14:paraId="72ED564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18"/>
                <w:szCs w:val="18"/>
                <w:lang w:val="en-US" w:eastAsia="zh-CN" w:bidi="ar"/>
              </w:rPr>
              <w:t>法定代表人</w:t>
            </w:r>
          </w:p>
        </w:tc>
        <w:tc>
          <w:tcPr>
            <w:tcW w:w="3351" w:type="pct"/>
            <w:tcBorders>
              <w:tl2br w:val="nil"/>
              <w:tr2bl w:val="nil"/>
            </w:tcBorders>
            <w:shd w:val="clear" w:color="auto" w:fill="FFFFFF"/>
            <w:tcMar>
              <w:top w:w="38" w:type="dxa"/>
              <w:left w:w="38" w:type="dxa"/>
              <w:bottom w:w="38" w:type="dxa"/>
              <w:right w:w="38" w:type="dxa"/>
            </w:tcMar>
            <w:vAlign w:val="center"/>
          </w:tcPr>
          <w:p w14:paraId="7E6443F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aps w:val="0"/>
                <w:color w:val="auto"/>
                <w:spacing w:val="0"/>
                <w:sz w:val="18"/>
                <w:szCs w:val="18"/>
              </w:rPr>
            </w:pPr>
            <w:r>
              <w:rPr>
                <w:rFonts w:hint="default" w:ascii="Times New Roman" w:hAnsi="Times New Roman" w:eastAsia="宋体" w:cs="Times New Roman"/>
                <w:b w:val="0"/>
                <w:bCs w:val="0"/>
                <w:i w:val="0"/>
                <w:iCs w:val="0"/>
                <w:caps w:val="0"/>
                <w:color w:val="auto"/>
                <w:spacing w:val="0"/>
                <w:kern w:val="0"/>
                <w:sz w:val="18"/>
                <w:szCs w:val="18"/>
                <w:lang w:val="en-US" w:eastAsia="zh-CN" w:bidi="ar"/>
              </w:rPr>
              <w:t>郑宇</w:t>
            </w:r>
          </w:p>
        </w:tc>
      </w:tr>
      <w:tr w14:paraId="6FCBD555">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48" w:type="pct"/>
            <w:tcBorders>
              <w:tl2br w:val="nil"/>
              <w:tr2bl w:val="nil"/>
            </w:tcBorders>
            <w:shd w:val="clear" w:color="auto" w:fill="FFFFFF"/>
            <w:tcMar>
              <w:top w:w="38" w:type="dxa"/>
              <w:left w:w="38" w:type="dxa"/>
              <w:bottom w:w="38" w:type="dxa"/>
              <w:right w:w="38" w:type="dxa"/>
            </w:tcMar>
            <w:vAlign w:val="center"/>
          </w:tcPr>
          <w:p w14:paraId="42EF495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18"/>
                <w:szCs w:val="18"/>
                <w:lang w:val="en-US" w:eastAsia="zh-CN" w:bidi="ar"/>
              </w:rPr>
              <w:t>保荐代表人</w:t>
            </w:r>
          </w:p>
        </w:tc>
        <w:tc>
          <w:tcPr>
            <w:tcW w:w="3351" w:type="pct"/>
            <w:tcBorders>
              <w:tl2br w:val="nil"/>
              <w:tr2bl w:val="nil"/>
            </w:tcBorders>
            <w:shd w:val="clear" w:color="auto" w:fill="FFFFFF"/>
            <w:tcMar>
              <w:top w:w="38" w:type="dxa"/>
              <w:left w:w="38" w:type="dxa"/>
              <w:bottom w:w="38" w:type="dxa"/>
              <w:right w:w="38" w:type="dxa"/>
            </w:tcMar>
            <w:vAlign w:val="center"/>
          </w:tcPr>
          <w:p w14:paraId="6696DDA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aps w:val="0"/>
                <w:color w:val="auto"/>
                <w:spacing w:val="0"/>
                <w:sz w:val="18"/>
                <w:szCs w:val="18"/>
              </w:rPr>
            </w:pPr>
            <w:r>
              <w:rPr>
                <w:rFonts w:hint="default" w:ascii="Times New Roman" w:hAnsi="Times New Roman" w:eastAsia="宋体" w:cs="Times New Roman"/>
                <w:b w:val="0"/>
                <w:bCs w:val="0"/>
                <w:i w:val="0"/>
                <w:iCs w:val="0"/>
                <w:caps w:val="0"/>
                <w:color w:val="auto"/>
                <w:spacing w:val="0"/>
                <w:kern w:val="0"/>
                <w:sz w:val="18"/>
                <w:szCs w:val="18"/>
                <w:lang w:val="en-US" w:eastAsia="zh-CN" w:bidi="ar"/>
              </w:rPr>
              <w:t>温波、宋平</w:t>
            </w:r>
          </w:p>
        </w:tc>
      </w:tr>
      <w:tr w14:paraId="7024108B">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48" w:type="pct"/>
            <w:tcBorders>
              <w:tl2br w:val="nil"/>
              <w:tr2bl w:val="nil"/>
            </w:tcBorders>
            <w:shd w:val="clear" w:color="auto" w:fill="FFFFFF"/>
            <w:tcMar>
              <w:top w:w="38" w:type="dxa"/>
              <w:left w:w="38" w:type="dxa"/>
              <w:bottom w:w="38" w:type="dxa"/>
              <w:right w:w="38" w:type="dxa"/>
            </w:tcMar>
            <w:vAlign w:val="center"/>
          </w:tcPr>
          <w:p w14:paraId="58FCAD1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i w:val="0"/>
                <w:iCs w:val="0"/>
                <w:caps w:val="0"/>
                <w:color w:val="auto"/>
                <w:spacing w:val="0"/>
                <w:sz w:val="18"/>
                <w:szCs w:val="18"/>
              </w:rPr>
            </w:pPr>
            <w:r>
              <w:rPr>
                <w:rFonts w:hint="default" w:ascii="Times New Roman" w:hAnsi="Times New Roman" w:eastAsia="宋体" w:cs="Times New Roman"/>
                <w:b/>
                <w:bCs/>
                <w:i w:val="0"/>
                <w:iCs w:val="0"/>
                <w:caps w:val="0"/>
                <w:color w:val="auto"/>
                <w:spacing w:val="0"/>
                <w:kern w:val="0"/>
                <w:sz w:val="18"/>
                <w:szCs w:val="18"/>
                <w:lang w:val="en-US" w:eastAsia="zh-CN" w:bidi="ar"/>
              </w:rPr>
              <w:t>联系电话</w:t>
            </w:r>
          </w:p>
        </w:tc>
        <w:tc>
          <w:tcPr>
            <w:tcW w:w="3351" w:type="pct"/>
            <w:tcBorders>
              <w:tl2br w:val="nil"/>
              <w:tr2bl w:val="nil"/>
            </w:tcBorders>
            <w:shd w:val="clear" w:color="auto" w:fill="FFFFFF"/>
            <w:tcMar>
              <w:top w:w="38" w:type="dxa"/>
              <w:left w:w="38" w:type="dxa"/>
              <w:bottom w:w="38" w:type="dxa"/>
              <w:right w:w="38" w:type="dxa"/>
            </w:tcMar>
            <w:vAlign w:val="center"/>
          </w:tcPr>
          <w:p w14:paraId="77E7D16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val="0"/>
                <w:bCs w:val="0"/>
                <w:i w:val="0"/>
                <w:iCs w:val="0"/>
                <w:caps w:val="0"/>
                <w:color w:val="auto"/>
                <w:spacing w:val="0"/>
                <w:sz w:val="18"/>
                <w:szCs w:val="18"/>
              </w:rPr>
            </w:pPr>
            <w:r>
              <w:rPr>
                <w:rFonts w:hint="default" w:ascii="Times New Roman" w:hAnsi="Times New Roman" w:eastAsia="宋体" w:cs="Times New Roman"/>
                <w:b w:val="0"/>
                <w:bCs w:val="0"/>
                <w:i w:val="0"/>
                <w:iCs w:val="0"/>
                <w:caps w:val="0"/>
                <w:color w:val="auto"/>
                <w:spacing w:val="0"/>
                <w:kern w:val="0"/>
                <w:sz w:val="18"/>
                <w:szCs w:val="18"/>
                <w:lang w:val="en-US" w:eastAsia="zh-CN" w:bidi="ar"/>
              </w:rPr>
              <w:t>0755-23375555</w:t>
            </w:r>
          </w:p>
        </w:tc>
      </w:tr>
    </w:tbl>
    <w:p w14:paraId="21AEA230">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三、发行人基本情况</w:t>
      </w:r>
    </w:p>
    <w:tbl>
      <w:tblPr>
        <w:tblStyle w:val="2"/>
        <w:tblW w:w="4998" w:type="pct"/>
        <w:tblInd w:w="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shd w:val="clear" w:color="auto" w:fill="FFFFFF"/>
        <w:tblLayout w:type="autofit"/>
        <w:tblCellMar>
          <w:top w:w="0" w:type="dxa"/>
          <w:left w:w="0" w:type="dxa"/>
          <w:bottom w:w="0" w:type="dxa"/>
          <w:right w:w="0" w:type="dxa"/>
        </w:tblCellMar>
      </w:tblPr>
      <w:tblGrid>
        <w:gridCol w:w="2775"/>
        <w:gridCol w:w="5604"/>
      </w:tblGrid>
      <w:tr w14:paraId="0E2886B0">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shd w:val="clear" w:color="auto" w:fill="FFFFFF"/>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47B6CB62">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情况</w:t>
            </w:r>
          </w:p>
        </w:tc>
        <w:tc>
          <w:tcPr>
            <w:tcW w:w="3343" w:type="pct"/>
            <w:tcBorders>
              <w:tl2br w:val="nil"/>
              <w:tr2bl w:val="nil"/>
            </w:tcBorders>
            <w:shd w:val="clear" w:color="auto" w:fill="FFFFFF"/>
            <w:tcMar>
              <w:top w:w="38" w:type="dxa"/>
              <w:left w:w="38" w:type="dxa"/>
              <w:bottom w:w="38" w:type="dxa"/>
              <w:right w:w="38" w:type="dxa"/>
            </w:tcMar>
            <w:vAlign w:val="center"/>
          </w:tcPr>
          <w:p w14:paraId="2D920709">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内容</w:t>
            </w:r>
          </w:p>
        </w:tc>
      </w:tr>
      <w:tr w14:paraId="4CC70118">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0E20EB2D">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发行人名称</w:t>
            </w:r>
          </w:p>
        </w:tc>
        <w:tc>
          <w:tcPr>
            <w:tcW w:w="3343" w:type="pct"/>
            <w:tcBorders>
              <w:tl2br w:val="nil"/>
              <w:tr2bl w:val="nil"/>
            </w:tcBorders>
            <w:shd w:val="clear" w:color="auto" w:fill="FFFFFF"/>
            <w:tcMar>
              <w:top w:w="38" w:type="dxa"/>
              <w:left w:w="38" w:type="dxa"/>
              <w:bottom w:w="38" w:type="dxa"/>
              <w:right w:w="38" w:type="dxa"/>
            </w:tcMar>
            <w:vAlign w:val="center"/>
          </w:tcPr>
          <w:p w14:paraId="6FC5AD28">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sz w:val="18"/>
                <w:szCs w:val="18"/>
              </w:rPr>
              <w:t>广东天亿马信息产业股份有限公司</w:t>
            </w:r>
          </w:p>
        </w:tc>
      </w:tr>
      <w:tr w14:paraId="3871A37C">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20C84617">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证券代码</w:t>
            </w:r>
          </w:p>
        </w:tc>
        <w:tc>
          <w:tcPr>
            <w:tcW w:w="3343" w:type="pct"/>
            <w:tcBorders>
              <w:tl2br w:val="nil"/>
              <w:tr2bl w:val="nil"/>
            </w:tcBorders>
            <w:shd w:val="clear" w:color="auto" w:fill="FFFFFF"/>
            <w:tcMar>
              <w:top w:w="38" w:type="dxa"/>
              <w:left w:w="38" w:type="dxa"/>
              <w:bottom w:w="38" w:type="dxa"/>
              <w:right w:w="38" w:type="dxa"/>
            </w:tcMar>
            <w:vAlign w:val="center"/>
          </w:tcPr>
          <w:p w14:paraId="0BF1D41B">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eastAsia" w:ascii="Times New Roman" w:hAnsi="Times New Roman" w:eastAsia="宋体" w:cs="Times New Roman"/>
                <w:i w:val="0"/>
                <w:iCs w:val="0"/>
                <w:caps w:val="0"/>
                <w:color w:val="333333"/>
                <w:spacing w:val="0"/>
                <w:kern w:val="0"/>
                <w:sz w:val="18"/>
                <w:szCs w:val="18"/>
                <w:lang w:val="en-US" w:eastAsia="zh-CN" w:bidi="ar"/>
              </w:rPr>
              <w:t>301178</w:t>
            </w:r>
            <w:r>
              <w:rPr>
                <w:rFonts w:hint="default" w:ascii="Times New Roman" w:hAnsi="Times New Roman" w:eastAsia="宋体" w:cs="Times New Roman"/>
                <w:i w:val="0"/>
                <w:iCs w:val="0"/>
                <w:caps w:val="0"/>
                <w:color w:val="333333"/>
                <w:spacing w:val="0"/>
                <w:kern w:val="0"/>
                <w:sz w:val="18"/>
                <w:szCs w:val="18"/>
                <w:lang w:val="en-US" w:eastAsia="zh-CN" w:bidi="ar"/>
              </w:rPr>
              <w:t>.SZ</w:t>
            </w:r>
          </w:p>
        </w:tc>
      </w:tr>
      <w:tr w14:paraId="116B360D">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276C0BD5">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注册资本</w:t>
            </w:r>
          </w:p>
        </w:tc>
        <w:tc>
          <w:tcPr>
            <w:tcW w:w="3343" w:type="pct"/>
            <w:tcBorders>
              <w:tl2br w:val="nil"/>
              <w:tr2bl w:val="nil"/>
            </w:tcBorders>
            <w:shd w:val="clear" w:color="auto" w:fill="FFFFFF"/>
            <w:tcMar>
              <w:top w:w="38" w:type="dxa"/>
              <w:left w:w="38" w:type="dxa"/>
              <w:bottom w:w="38" w:type="dxa"/>
              <w:right w:w="38" w:type="dxa"/>
            </w:tcMar>
            <w:vAlign w:val="center"/>
          </w:tcPr>
          <w:p w14:paraId="71DCEEFD">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kern w:val="0"/>
                <w:sz w:val="18"/>
                <w:szCs w:val="18"/>
                <w:lang w:val="en-US" w:eastAsia="zh-CN" w:bidi="ar"/>
              </w:rPr>
              <w:t>6710.88万元</w:t>
            </w:r>
          </w:p>
        </w:tc>
      </w:tr>
      <w:tr w14:paraId="4A0F6302">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567B11E3">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注册地址</w:t>
            </w:r>
          </w:p>
        </w:tc>
        <w:tc>
          <w:tcPr>
            <w:tcW w:w="3343" w:type="pct"/>
            <w:tcBorders>
              <w:tl2br w:val="nil"/>
              <w:tr2bl w:val="nil"/>
            </w:tcBorders>
            <w:shd w:val="clear" w:color="auto" w:fill="FFFFFF"/>
            <w:tcMar>
              <w:top w:w="38" w:type="dxa"/>
              <w:left w:w="38" w:type="dxa"/>
              <w:bottom w:w="38" w:type="dxa"/>
              <w:right w:w="38" w:type="dxa"/>
            </w:tcMar>
            <w:vAlign w:val="center"/>
          </w:tcPr>
          <w:p w14:paraId="5D884293">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sz w:val="18"/>
                <w:szCs w:val="18"/>
              </w:rPr>
              <w:t>汕头市嵩山路南20号天澜国际大厦西塔2111-2112房</w:t>
            </w:r>
          </w:p>
        </w:tc>
      </w:tr>
      <w:tr w14:paraId="1363504D">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083107BA">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主要办公地址</w:t>
            </w:r>
          </w:p>
        </w:tc>
        <w:tc>
          <w:tcPr>
            <w:tcW w:w="3343" w:type="pct"/>
            <w:tcBorders>
              <w:tl2br w:val="nil"/>
              <w:tr2bl w:val="nil"/>
            </w:tcBorders>
            <w:shd w:val="clear" w:color="auto" w:fill="FFFFFF"/>
            <w:tcMar>
              <w:top w:w="38" w:type="dxa"/>
              <w:left w:w="38" w:type="dxa"/>
              <w:bottom w:w="38" w:type="dxa"/>
              <w:right w:w="38" w:type="dxa"/>
            </w:tcMar>
            <w:vAlign w:val="center"/>
          </w:tcPr>
          <w:p w14:paraId="6135918E">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sz w:val="18"/>
                <w:szCs w:val="18"/>
              </w:rPr>
              <w:t>广东省汕头市海滨路55号海逸投资大厦4-5层</w:t>
            </w:r>
          </w:p>
        </w:tc>
      </w:tr>
      <w:tr w14:paraId="215814F7">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0975DC65">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法定代表人</w:t>
            </w:r>
          </w:p>
        </w:tc>
        <w:tc>
          <w:tcPr>
            <w:tcW w:w="3343" w:type="pct"/>
            <w:tcBorders>
              <w:tl2br w:val="nil"/>
              <w:tr2bl w:val="nil"/>
            </w:tcBorders>
            <w:shd w:val="clear" w:color="auto" w:fill="FFFFFF"/>
            <w:tcMar>
              <w:top w:w="38" w:type="dxa"/>
              <w:left w:w="38" w:type="dxa"/>
              <w:bottom w:w="38" w:type="dxa"/>
              <w:right w:w="38" w:type="dxa"/>
            </w:tcMar>
            <w:vAlign w:val="center"/>
          </w:tcPr>
          <w:p w14:paraId="67CBECA5">
            <w:pPr>
              <w:keepNext w:val="0"/>
              <w:keepLines w:val="0"/>
              <w:widowControl/>
              <w:suppressLineNumbers w:val="0"/>
              <w:wordWrap w:val="0"/>
              <w:spacing w:before="0" w:beforeAutospacing="0" w:after="0" w:afterAutospacing="0"/>
              <w:ind w:left="0" w:right="0"/>
              <w:jc w:val="center"/>
              <w:rPr>
                <w:rFonts w:hint="eastAsia" w:ascii="Times New Roman" w:hAnsi="Times New Roman" w:eastAsia="宋体" w:cs="Times New Roman"/>
                <w:i w:val="0"/>
                <w:iCs w:val="0"/>
                <w:caps w:val="0"/>
                <w:color w:val="333333"/>
                <w:spacing w:val="0"/>
                <w:sz w:val="18"/>
                <w:szCs w:val="18"/>
                <w:lang w:val="en-US" w:eastAsia="zh-CN"/>
              </w:rPr>
            </w:pPr>
            <w:r>
              <w:rPr>
                <w:rFonts w:hint="eastAsia" w:ascii="Times New Roman" w:hAnsi="Times New Roman" w:eastAsia="宋体" w:cs="Times New Roman"/>
                <w:i w:val="0"/>
                <w:iCs w:val="0"/>
                <w:caps w:val="0"/>
                <w:color w:val="333333"/>
                <w:spacing w:val="0"/>
                <w:sz w:val="18"/>
                <w:szCs w:val="18"/>
                <w:lang w:val="en-US" w:eastAsia="zh-CN"/>
              </w:rPr>
              <w:t>林明玲</w:t>
            </w:r>
          </w:p>
        </w:tc>
      </w:tr>
      <w:tr w14:paraId="7271C0F4">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14EBD67C">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实际控制人</w:t>
            </w:r>
          </w:p>
        </w:tc>
        <w:tc>
          <w:tcPr>
            <w:tcW w:w="3343" w:type="pct"/>
            <w:tcBorders>
              <w:tl2br w:val="nil"/>
              <w:tr2bl w:val="nil"/>
            </w:tcBorders>
            <w:shd w:val="clear" w:color="auto" w:fill="FFFFFF"/>
            <w:tcMar>
              <w:top w:w="38" w:type="dxa"/>
              <w:left w:w="38" w:type="dxa"/>
              <w:bottom w:w="38" w:type="dxa"/>
              <w:right w:w="38" w:type="dxa"/>
            </w:tcMar>
            <w:vAlign w:val="center"/>
          </w:tcPr>
          <w:p w14:paraId="3106006B">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sz w:val="18"/>
                <w:szCs w:val="18"/>
              </w:rPr>
              <w:t>马学沛、林明玲</w:t>
            </w:r>
          </w:p>
        </w:tc>
      </w:tr>
      <w:tr w14:paraId="49319A93">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14B159F7">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联系人</w:t>
            </w:r>
          </w:p>
        </w:tc>
        <w:tc>
          <w:tcPr>
            <w:tcW w:w="3343" w:type="pct"/>
            <w:tcBorders>
              <w:tl2br w:val="nil"/>
              <w:tr2bl w:val="nil"/>
            </w:tcBorders>
            <w:shd w:val="clear" w:color="auto" w:fill="FFFFFF"/>
            <w:tcMar>
              <w:top w:w="38" w:type="dxa"/>
              <w:left w:w="38" w:type="dxa"/>
              <w:bottom w:w="38" w:type="dxa"/>
              <w:right w:w="38" w:type="dxa"/>
            </w:tcMar>
            <w:vAlign w:val="center"/>
          </w:tcPr>
          <w:p w14:paraId="371AF6BE">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sz w:val="18"/>
                <w:szCs w:val="18"/>
              </w:rPr>
              <w:t>曹维</w:t>
            </w:r>
          </w:p>
        </w:tc>
      </w:tr>
      <w:tr w14:paraId="778CA854">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22FE34DC">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联系电话</w:t>
            </w:r>
          </w:p>
        </w:tc>
        <w:tc>
          <w:tcPr>
            <w:tcW w:w="3343" w:type="pct"/>
            <w:tcBorders>
              <w:tl2br w:val="nil"/>
              <w:tr2bl w:val="nil"/>
            </w:tcBorders>
            <w:shd w:val="clear" w:color="auto" w:fill="FFFFFF"/>
            <w:tcMar>
              <w:top w:w="38" w:type="dxa"/>
              <w:left w:w="38" w:type="dxa"/>
              <w:bottom w:w="38" w:type="dxa"/>
              <w:right w:w="38" w:type="dxa"/>
            </w:tcMar>
            <w:vAlign w:val="center"/>
          </w:tcPr>
          <w:p w14:paraId="4D932B36">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sz w:val="18"/>
                <w:szCs w:val="18"/>
              </w:rPr>
              <w:t>0754-88880666</w:t>
            </w:r>
          </w:p>
        </w:tc>
      </w:tr>
      <w:tr w14:paraId="62E53618">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03F3D41D">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本次证券发行类型</w:t>
            </w:r>
          </w:p>
        </w:tc>
        <w:tc>
          <w:tcPr>
            <w:tcW w:w="3343" w:type="pct"/>
            <w:tcBorders>
              <w:tl2br w:val="nil"/>
              <w:tr2bl w:val="nil"/>
            </w:tcBorders>
            <w:shd w:val="clear" w:color="auto" w:fill="FFFFFF"/>
            <w:tcMar>
              <w:top w:w="38" w:type="dxa"/>
              <w:left w:w="38" w:type="dxa"/>
              <w:bottom w:w="38" w:type="dxa"/>
              <w:right w:w="38" w:type="dxa"/>
            </w:tcMar>
            <w:vAlign w:val="center"/>
          </w:tcPr>
          <w:p w14:paraId="3CF7DAE3">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kern w:val="0"/>
                <w:sz w:val="18"/>
                <w:szCs w:val="18"/>
                <w:lang w:val="en-US" w:eastAsia="zh-CN" w:bidi="ar"/>
              </w:rPr>
              <w:t>首次公开发行股票</w:t>
            </w:r>
          </w:p>
        </w:tc>
      </w:tr>
      <w:tr w14:paraId="30CB9043">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6225F56B">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本次证券发行时间</w:t>
            </w:r>
          </w:p>
        </w:tc>
        <w:tc>
          <w:tcPr>
            <w:tcW w:w="3343" w:type="pct"/>
            <w:tcBorders>
              <w:tl2br w:val="nil"/>
              <w:tr2bl w:val="nil"/>
            </w:tcBorders>
            <w:shd w:val="clear" w:color="auto" w:fill="FFFFFF"/>
            <w:tcMar>
              <w:top w:w="38" w:type="dxa"/>
              <w:left w:w="38" w:type="dxa"/>
              <w:bottom w:w="38" w:type="dxa"/>
              <w:right w:w="38" w:type="dxa"/>
            </w:tcMar>
            <w:vAlign w:val="center"/>
          </w:tcPr>
          <w:p w14:paraId="6EE1CC8F">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kern w:val="0"/>
                <w:sz w:val="18"/>
                <w:szCs w:val="18"/>
                <w:lang w:val="en-US" w:eastAsia="zh-CN" w:bidi="ar"/>
              </w:rPr>
              <w:t>2021年1</w:t>
            </w:r>
            <w:r>
              <w:rPr>
                <w:rFonts w:hint="eastAsia" w:ascii="Times New Roman" w:hAnsi="Times New Roman" w:eastAsia="宋体" w:cs="Times New Roman"/>
                <w:i w:val="0"/>
                <w:iCs w:val="0"/>
                <w:caps w:val="0"/>
                <w:color w:val="333333"/>
                <w:spacing w:val="0"/>
                <w:kern w:val="0"/>
                <w:sz w:val="18"/>
                <w:szCs w:val="18"/>
                <w:lang w:val="en-US" w:eastAsia="zh-CN" w:bidi="ar"/>
              </w:rPr>
              <w:t>1</w:t>
            </w:r>
            <w:r>
              <w:rPr>
                <w:rFonts w:hint="default" w:ascii="Times New Roman" w:hAnsi="Times New Roman" w:eastAsia="宋体" w:cs="Times New Roman"/>
                <w:i w:val="0"/>
                <w:iCs w:val="0"/>
                <w:caps w:val="0"/>
                <w:color w:val="333333"/>
                <w:spacing w:val="0"/>
                <w:kern w:val="0"/>
                <w:sz w:val="18"/>
                <w:szCs w:val="18"/>
                <w:lang w:val="en-US" w:eastAsia="zh-CN" w:bidi="ar"/>
              </w:rPr>
              <w:t>月1日</w:t>
            </w:r>
          </w:p>
        </w:tc>
      </w:tr>
      <w:tr w14:paraId="4CB2DD8D">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7F085056">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本次证券上市时间</w:t>
            </w:r>
          </w:p>
        </w:tc>
        <w:tc>
          <w:tcPr>
            <w:tcW w:w="3343" w:type="pct"/>
            <w:tcBorders>
              <w:tl2br w:val="nil"/>
              <w:tr2bl w:val="nil"/>
            </w:tcBorders>
            <w:shd w:val="clear" w:color="auto" w:fill="FFFFFF"/>
            <w:tcMar>
              <w:top w:w="38" w:type="dxa"/>
              <w:left w:w="38" w:type="dxa"/>
              <w:bottom w:w="38" w:type="dxa"/>
              <w:right w:w="38" w:type="dxa"/>
            </w:tcMar>
            <w:vAlign w:val="center"/>
          </w:tcPr>
          <w:p w14:paraId="7B40F14A">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kern w:val="0"/>
                <w:sz w:val="18"/>
                <w:szCs w:val="18"/>
                <w:lang w:val="en-US" w:eastAsia="zh-CN" w:bidi="ar"/>
              </w:rPr>
              <w:t>2021年1</w:t>
            </w:r>
            <w:r>
              <w:rPr>
                <w:rFonts w:hint="eastAsia" w:ascii="Times New Roman" w:hAnsi="Times New Roman" w:eastAsia="宋体" w:cs="Times New Roman"/>
                <w:i w:val="0"/>
                <w:iCs w:val="0"/>
                <w:caps w:val="0"/>
                <w:color w:val="333333"/>
                <w:spacing w:val="0"/>
                <w:kern w:val="0"/>
                <w:sz w:val="18"/>
                <w:szCs w:val="18"/>
                <w:lang w:val="en-US" w:eastAsia="zh-CN" w:bidi="ar"/>
              </w:rPr>
              <w:t>1</w:t>
            </w:r>
            <w:r>
              <w:rPr>
                <w:rFonts w:hint="default" w:ascii="Times New Roman" w:hAnsi="Times New Roman" w:eastAsia="宋体" w:cs="Times New Roman"/>
                <w:i w:val="0"/>
                <w:iCs w:val="0"/>
                <w:caps w:val="0"/>
                <w:color w:val="333333"/>
                <w:spacing w:val="0"/>
                <w:kern w:val="0"/>
                <w:sz w:val="18"/>
                <w:szCs w:val="18"/>
                <w:lang w:val="en-US" w:eastAsia="zh-CN" w:bidi="ar"/>
              </w:rPr>
              <w:t>月</w:t>
            </w:r>
            <w:r>
              <w:rPr>
                <w:rFonts w:hint="eastAsia" w:ascii="Times New Roman" w:hAnsi="Times New Roman" w:eastAsia="宋体" w:cs="Times New Roman"/>
                <w:i w:val="0"/>
                <w:iCs w:val="0"/>
                <w:caps w:val="0"/>
                <w:color w:val="333333"/>
                <w:spacing w:val="0"/>
                <w:kern w:val="0"/>
                <w:sz w:val="18"/>
                <w:szCs w:val="18"/>
                <w:lang w:val="en-US" w:eastAsia="zh-CN" w:bidi="ar"/>
              </w:rPr>
              <w:t>12</w:t>
            </w:r>
            <w:r>
              <w:rPr>
                <w:rFonts w:hint="default" w:ascii="Times New Roman" w:hAnsi="Times New Roman" w:eastAsia="宋体" w:cs="Times New Roman"/>
                <w:i w:val="0"/>
                <w:iCs w:val="0"/>
                <w:caps w:val="0"/>
                <w:color w:val="333333"/>
                <w:spacing w:val="0"/>
                <w:kern w:val="0"/>
                <w:sz w:val="18"/>
                <w:szCs w:val="18"/>
                <w:lang w:val="en-US" w:eastAsia="zh-CN" w:bidi="ar"/>
              </w:rPr>
              <w:t>日</w:t>
            </w:r>
          </w:p>
        </w:tc>
      </w:tr>
      <w:tr w14:paraId="47BC24D4">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CellMar>
            <w:top w:w="0" w:type="dxa"/>
            <w:left w:w="0" w:type="dxa"/>
            <w:bottom w:w="0" w:type="dxa"/>
            <w:right w:w="0" w:type="dxa"/>
          </w:tblCellMar>
        </w:tblPrEx>
        <w:trPr>
          <w:trHeight w:val="340" w:hRule="atLeast"/>
        </w:trPr>
        <w:tc>
          <w:tcPr>
            <w:tcW w:w="1656" w:type="pct"/>
            <w:tcBorders>
              <w:tl2br w:val="nil"/>
              <w:tr2bl w:val="nil"/>
            </w:tcBorders>
            <w:shd w:val="clear" w:color="auto" w:fill="FFFFFF"/>
            <w:tcMar>
              <w:top w:w="38" w:type="dxa"/>
              <w:left w:w="38" w:type="dxa"/>
              <w:bottom w:w="38" w:type="dxa"/>
              <w:right w:w="38" w:type="dxa"/>
            </w:tcMar>
            <w:vAlign w:val="center"/>
          </w:tcPr>
          <w:p w14:paraId="768B72E0">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b/>
                <w:bCs/>
                <w:i w:val="0"/>
                <w:iCs w:val="0"/>
                <w:caps w:val="0"/>
                <w:color w:val="333333"/>
                <w:spacing w:val="0"/>
                <w:sz w:val="18"/>
                <w:szCs w:val="18"/>
              </w:rPr>
            </w:pPr>
            <w:r>
              <w:rPr>
                <w:rFonts w:hint="default" w:ascii="Times New Roman" w:hAnsi="Times New Roman" w:eastAsia="宋体" w:cs="Times New Roman"/>
                <w:b/>
                <w:bCs/>
                <w:i w:val="0"/>
                <w:iCs w:val="0"/>
                <w:caps w:val="0"/>
                <w:color w:val="333333"/>
                <w:spacing w:val="0"/>
                <w:kern w:val="0"/>
                <w:sz w:val="18"/>
                <w:szCs w:val="18"/>
                <w:lang w:val="en-US" w:eastAsia="zh-CN" w:bidi="ar"/>
              </w:rPr>
              <w:t>本次证券上市地点</w:t>
            </w:r>
          </w:p>
        </w:tc>
        <w:tc>
          <w:tcPr>
            <w:tcW w:w="3343" w:type="pct"/>
            <w:tcBorders>
              <w:tl2br w:val="nil"/>
              <w:tr2bl w:val="nil"/>
            </w:tcBorders>
            <w:shd w:val="clear" w:color="auto" w:fill="FFFFFF"/>
            <w:tcMar>
              <w:top w:w="38" w:type="dxa"/>
              <w:left w:w="38" w:type="dxa"/>
              <w:bottom w:w="38" w:type="dxa"/>
              <w:right w:w="38" w:type="dxa"/>
            </w:tcMar>
            <w:vAlign w:val="center"/>
          </w:tcPr>
          <w:p w14:paraId="29B77E0F">
            <w:pPr>
              <w:keepNext w:val="0"/>
              <w:keepLines w:val="0"/>
              <w:widowControl/>
              <w:suppressLineNumbers w:val="0"/>
              <w:wordWrap w:val="0"/>
              <w:spacing w:before="0" w:beforeAutospacing="0" w:after="0" w:afterAutospacing="0"/>
              <w:ind w:left="0" w:right="0"/>
              <w:jc w:val="center"/>
              <w:rPr>
                <w:rFonts w:hint="default" w:ascii="Times New Roman" w:hAnsi="Times New Roman" w:eastAsia="宋体" w:cs="Times New Roman"/>
                <w:i w:val="0"/>
                <w:iCs w:val="0"/>
                <w:caps w:val="0"/>
                <w:color w:val="333333"/>
                <w:spacing w:val="0"/>
                <w:sz w:val="18"/>
                <w:szCs w:val="18"/>
              </w:rPr>
            </w:pPr>
            <w:r>
              <w:rPr>
                <w:rFonts w:hint="default" w:ascii="Times New Roman" w:hAnsi="Times New Roman" w:eastAsia="宋体" w:cs="Times New Roman"/>
                <w:i w:val="0"/>
                <w:iCs w:val="0"/>
                <w:caps w:val="0"/>
                <w:color w:val="333333"/>
                <w:spacing w:val="0"/>
                <w:kern w:val="0"/>
                <w:sz w:val="18"/>
                <w:szCs w:val="18"/>
                <w:lang w:val="en-US" w:eastAsia="zh-CN" w:bidi="ar"/>
              </w:rPr>
              <w:t>深圳证券交易所</w:t>
            </w:r>
          </w:p>
        </w:tc>
      </w:tr>
    </w:tbl>
    <w:p w14:paraId="21E7C750">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四、保荐</w:t>
      </w:r>
      <w:r>
        <w:rPr>
          <w:rFonts w:hint="eastAsia" w:ascii="Times New Roman" w:hAnsi="Times New Roman" w:eastAsia="宋体" w:cs="Times New Roman"/>
          <w:b/>
          <w:bCs/>
          <w:sz w:val="28"/>
          <w:szCs w:val="36"/>
          <w:lang w:val="en-US" w:eastAsia="zh-CN"/>
        </w:rPr>
        <w:t>工作</w:t>
      </w:r>
      <w:r>
        <w:rPr>
          <w:rFonts w:hint="default" w:ascii="Times New Roman" w:hAnsi="Times New Roman" w:eastAsia="宋体" w:cs="Times New Roman"/>
          <w:b/>
          <w:bCs/>
          <w:sz w:val="28"/>
          <w:szCs w:val="36"/>
        </w:rPr>
        <w:t>概述</w:t>
      </w:r>
    </w:p>
    <w:p w14:paraId="45C5D263">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eastAsia" w:ascii="Times New Roman" w:hAnsi="Times New Roman" w:eastAsia="宋体" w:cs="Times New Roman"/>
          <w:b/>
          <w:bCs/>
          <w:sz w:val="24"/>
          <w:szCs w:val="32"/>
          <w:lang w:val="en-US" w:eastAsia="zh-CN"/>
        </w:rPr>
      </w:pPr>
      <w:r>
        <w:rPr>
          <w:rFonts w:hint="eastAsia" w:ascii="Times New Roman" w:hAnsi="Times New Roman" w:eastAsia="宋体" w:cs="Times New Roman"/>
          <w:b/>
          <w:bCs/>
          <w:sz w:val="24"/>
          <w:szCs w:val="32"/>
          <w:lang w:eastAsia="zh-CN"/>
        </w:rPr>
        <w:t>（</w:t>
      </w:r>
      <w:r>
        <w:rPr>
          <w:rFonts w:hint="eastAsia" w:ascii="Times New Roman" w:hAnsi="Times New Roman" w:eastAsia="宋体" w:cs="Times New Roman"/>
          <w:b/>
          <w:bCs/>
          <w:sz w:val="24"/>
          <w:szCs w:val="32"/>
          <w:lang w:val="en-US" w:eastAsia="zh-CN"/>
        </w:rPr>
        <w:t>一</w:t>
      </w:r>
      <w:r>
        <w:rPr>
          <w:rFonts w:hint="eastAsia" w:ascii="Times New Roman" w:hAnsi="Times New Roman" w:eastAsia="宋体" w:cs="Times New Roman"/>
          <w:b/>
          <w:bCs/>
          <w:sz w:val="24"/>
          <w:szCs w:val="32"/>
          <w:lang w:eastAsia="zh-CN"/>
        </w:rPr>
        <w:t>）</w:t>
      </w:r>
      <w:r>
        <w:rPr>
          <w:rFonts w:hint="default" w:ascii="Times New Roman" w:hAnsi="Times New Roman" w:eastAsia="宋体" w:cs="Times New Roman"/>
          <w:b/>
          <w:bCs/>
          <w:sz w:val="24"/>
          <w:szCs w:val="32"/>
        </w:rPr>
        <w:t>尽职推荐工作</w:t>
      </w:r>
      <w:r>
        <w:rPr>
          <w:rFonts w:hint="eastAsia" w:ascii="Times New Roman" w:hAnsi="Times New Roman" w:eastAsia="宋体" w:cs="Times New Roman"/>
          <w:b/>
          <w:bCs/>
          <w:sz w:val="24"/>
          <w:szCs w:val="32"/>
          <w:lang w:val="en-US" w:eastAsia="zh-CN"/>
        </w:rPr>
        <w:t>阶段</w:t>
      </w:r>
    </w:p>
    <w:p w14:paraId="6686B282">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保荐机构积极协调各中介机构，严格按照法律、行政法规和中国证监会的规定，对公司进行尽职调查和审慎核查，组织编制申请文件并出具推荐文件；提交推荐文件后，主动配合中国证监会的审核工作，组织发行人及其他中介机构对中国证监会的意见进行答复；按照中国证监会的要求对涉及本次证券发行上市的特定事项进行尽职调查或核查，并与中国证监会进行专业沟通；按照证券交易所上市规则的要求，向证券交易所提交推荐股票上市所要求的相关文件，并报中国证监会备案。</w:t>
      </w:r>
    </w:p>
    <w:p w14:paraId="52553539">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bCs/>
          <w:sz w:val="24"/>
          <w:szCs w:val="32"/>
        </w:rPr>
      </w:pPr>
      <w:r>
        <w:rPr>
          <w:rFonts w:hint="eastAsia" w:ascii="Times New Roman" w:hAnsi="Times New Roman" w:eastAsia="宋体" w:cs="Times New Roman"/>
          <w:b/>
          <w:bCs/>
          <w:sz w:val="24"/>
          <w:szCs w:val="32"/>
          <w:lang w:eastAsia="zh-CN"/>
        </w:rPr>
        <w:t>（</w:t>
      </w:r>
      <w:r>
        <w:rPr>
          <w:rFonts w:hint="eastAsia" w:ascii="Times New Roman" w:hAnsi="Times New Roman" w:eastAsia="宋体" w:cs="Times New Roman"/>
          <w:b/>
          <w:bCs/>
          <w:sz w:val="24"/>
          <w:szCs w:val="32"/>
          <w:lang w:val="en-US" w:eastAsia="zh-CN"/>
        </w:rPr>
        <w:t>二</w:t>
      </w:r>
      <w:r>
        <w:rPr>
          <w:rFonts w:hint="eastAsia" w:ascii="Times New Roman" w:hAnsi="Times New Roman" w:eastAsia="宋体" w:cs="Times New Roman"/>
          <w:b/>
          <w:bCs/>
          <w:sz w:val="24"/>
          <w:szCs w:val="32"/>
          <w:lang w:eastAsia="zh-CN"/>
        </w:rPr>
        <w:t>）</w:t>
      </w:r>
      <w:r>
        <w:rPr>
          <w:rFonts w:hint="default" w:ascii="Times New Roman" w:hAnsi="Times New Roman" w:eastAsia="宋体" w:cs="Times New Roman"/>
          <w:b/>
          <w:bCs/>
          <w:sz w:val="24"/>
          <w:szCs w:val="32"/>
        </w:rPr>
        <w:t>持续督导阶段</w:t>
      </w:r>
    </w:p>
    <w:p w14:paraId="519F836E">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在持续督导阶段，保荐机构主要工作包括但不限于：</w:t>
      </w:r>
    </w:p>
    <w:p w14:paraId="364B7FA9">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1、</w:t>
      </w:r>
      <w:r>
        <w:rPr>
          <w:rFonts w:hint="default" w:ascii="Times New Roman" w:hAnsi="Times New Roman" w:eastAsia="宋体" w:cs="Times New Roman"/>
          <w:sz w:val="24"/>
          <w:szCs w:val="32"/>
        </w:rPr>
        <w:t>督导发行人及其董事、监事、高级管理人员遵守法律规定，有效执行并完善防止控股股东、实际控制人、其他关联方违规占用发行人资源的制度，督导发行人建立健全并有效执行公司治理制度，包括但不限于股东会、董事会、 监事会议事规则以及董事、监事和高级管理人员的行为规范等；</w:t>
      </w:r>
    </w:p>
    <w:p w14:paraId="23E657A1">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2、</w:t>
      </w:r>
      <w:r>
        <w:rPr>
          <w:rFonts w:hint="default" w:ascii="Times New Roman" w:hAnsi="Times New Roman" w:eastAsia="宋体" w:cs="Times New Roman"/>
          <w:sz w:val="24"/>
          <w:szCs w:val="32"/>
        </w:rPr>
        <w:t>督导发行人有效执行并完善防止其董事、监事、高级管理人员利用职务之便损害发行人利益的内控制度，包括但不限于财务管理制度、会计核算制度和内部审计制度，以及募集资金使用、关联交易、对外担保、对外投资、对子公司的控制等重大经营决策的程序与规则等；</w:t>
      </w:r>
    </w:p>
    <w:p w14:paraId="3D349F9C">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3、</w:t>
      </w:r>
      <w:r>
        <w:rPr>
          <w:rFonts w:hint="default" w:ascii="Times New Roman" w:hAnsi="Times New Roman" w:eastAsia="宋体" w:cs="Times New Roman"/>
          <w:sz w:val="24"/>
          <w:szCs w:val="32"/>
        </w:rPr>
        <w:t>督导发行人有效执行并完善保障关联交易公允性和合规性的制度，并对关联交易发表意见；</w:t>
      </w:r>
    </w:p>
    <w:p w14:paraId="3C340B3D">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4、</w:t>
      </w:r>
      <w:r>
        <w:rPr>
          <w:rFonts w:hint="default" w:ascii="Times New Roman" w:hAnsi="Times New Roman" w:eastAsia="宋体" w:cs="Times New Roman"/>
          <w:sz w:val="24"/>
          <w:szCs w:val="32"/>
        </w:rPr>
        <w:t>督导发行人建立健全并有效执行信息披露制度，审阅信息披露文件及其他相关文件；</w:t>
      </w:r>
    </w:p>
    <w:p w14:paraId="50281203">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5、</w:t>
      </w:r>
      <w:r>
        <w:rPr>
          <w:rFonts w:hint="default" w:ascii="Times New Roman" w:hAnsi="Times New Roman" w:eastAsia="宋体" w:cs="Times New Roman"/>
          <w:sz w:val="24"/>
          <w:szCs w:val="32"/>
        </w:rPr>
        <w:t>持续关注发行人及其主要股东、董事、监事、高级管理人员等作出的承诺的履行情况，持续关注发行人募集资金的专户存储、投资项目的实施等承诺事项；</w:t>
      </w:r>
    </w:p>
    <w:p w14:paraId="4D205384">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6、</w:t>
      </w:r>
      <w:r>
        <w:rPr>
          <w:rFonts w:hint="default" w:ascii="Times New Roman" w:hAnsi="Times New Roman" w:eastAsia="宋体" w:cs="Times New Roman"/>
          <w:sz w:val="24"/>
          <w:szCs w:val="32"/>
        </w:rPr>
        <w:t>持续关注发行人或其控股股东、实际控制人、董事、监事、高级管理人员受到中国证监会行政处罚、证券交易所纪律处分或者被证券交易所出具监管关注函的情况；</w:t>
      </w:r>
    </w:p>
    <w:p w14:paraId="581448AD">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7、</w:t>
      </w:r>
      <w:r>
        <w:rPr>
          <w:rFonts w:hint="default" w:ascii="Times New Roman" w:hAnsi="Times New Roman" w:eastAsia="宋体" w:cs="Times New Roman"/>
          <w:sz w:val="24"/>
          <w:szCs w:val="32"/>
        </w:rPr>
        <w:t>持续关注公共传媒关于发行人的报道，及时针对市场传闻进行核查；</w:t>
      </w:r>
    </w:p>
    <w:p w14:paraId="61A1E3F0">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8、</w:t>
      </w:r>
      <w:r>
        <w:rPr>
          <w:rFonts w:hint="default" w:ascii="Times New Roman" w:hAnsi="Times New Roman" w:eastAsia="宋体" w:cs="Times New Roman"/>
          <w:sz w:val="24"/>
          <w:szCs w:val="32"/>
        </w:rPr>
        <w:t>持续关注发行人为他人提供担保等事项，并发表意见；</w:t>
      </w:r>
    </w:p>
    <w:p w14:paraId="1B59B7B0">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9</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rPr>
        <w:t>根据监管规定，对发行人进行现场检查；</w:t>
      </w:r>
    </w:p>
    <w:p w14:paraId="4B50A3D4">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10、</w:t>
      </w:r>
      <w:r>
        <w:rPr>
          <w:rFonts w:hint="default" w:ascii="Times New Roman" w:hAnsi="Times New Roman" w:eastAsia="宋体" w:cs="Times New Roman"/>
          <w:sz w:val="24"/>
          <w:szCs w:val="32"/>
        </w:rPr>
        <w:t>中国证监会、证券交易所规定及《保荐协议》《持续督导协议》约定的其他工作。</w:t>
      </w:r>
    </w:p>
    <w:p w14:paraId="2BE55EE1">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五、保荐机构在履行保荐职责期间发生的重大事项及处理情况</w:t>
      </w:r>
    </w:p>
    <w:p w14:paraId="1D637C5B">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 xml:space="preserve">（一） </w:t>
      </w:r>
      <w:r>
        <w:rPr>
          <w:rFonts w:hint="eastAsia" w:ascii="Times New Roman" w:hAnsi="Times New Roman" w:eastAsia="宋体" w:cs="Times New Roman"/>
          <w:b/>
          <w:bCs/>
          <w:sz w:val="24"/>
          <w:szCs w:val="32"/>
          <w:lang w:eastAsia="zh-CN"/>
        </w:rPr>
        <w:t>股东持股</w:t>
      </w:r>
      <w:r>
        <w:rPr>
          <w:rFonts w:hint="eastAsia" w:ascii="Times New Roman" w:hAnsi="Times New Roman" w:eastAsia="宋体" w:cs="Times New Roman"/>
          <w:b/>
          <w:bCs/>
          <w:sz w:val="24"/>
          <w:szCs w:val="32"/>
          <w:lang w:val="en-US" w:eastAsia="zh-CN"/>
        </w:rPr>
        <w:t>情况</w:t>
      </w:r>
    </w:p>
    <w:p w14:paraId="38F209C1">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hAnsi="Times New Roman" w:eastAsia="宋体" w:cs="Times New Roman"/>
          <w:b w:val="0"/>
          <w:bCs w:val="0"/>
          <w:sz w:val="24"/>
          <w:szCs w:val="32"/>
          <w:lang w:eastAsia="zh-CN"/>
        </w:rPr>
      </w:pPr>
      <w:r>
        <w:rPr>
          <w:rFonts w:hint="eastAsia" w:ascii="Times New Roman" w:hAnsi="Times New Roman" w:eastAsia="宋体" w:cs="Times New Roman"/>
          <w:b w:val="0"/>
          <w:bCs w:val="0"/>
          <w:sz w:val="24"/>
          <w:szCs w:val="32"/>
          <w:lang w:eastAsia="zh-CN"/>
        </w:rPr>
        <w:t>公司于2022年11月11日发布了《关于股东减持股份的预披露公告》，公司股东奥邦投资、思科瑞投资、信度投资均拟减持不同比例的公司股份。前述减持公告发布后，奥邦投资于2023年2月21日公告减持完毕，且于2023年1月18日发布《简式权益变动报告书》，报告显示奥邦投资于2023年1月16日通过大宗交易减持66万股，持股比例由5.40%降至4.40%。</w:t>
      </w:r>
    </w:p>
    <w:p w14:paraId="667DEC11">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hAnsi="Times New Roman" w:eastAsia="宋体" w:cs="Times New Roman"/>
          <w:b w:val="0"/>
          <w:bCs w:val="0"/>
          <w:sz w:val="24"/>
          <w:szCs w:val="32"/>
          <w:lang w:eastAsia="zh-CN"/>
        </w:rPr>
      </w:pPr>
      <w:r>
        <w:rPr>
          <w:rFonts w:hint="eastAsia" w:ascii="Times New Roman" w:hAnsi="Times New Roman" w:eastAsia="宋体" w:cs="Times New Roman"/>
          <w:b w:val="0"/>
          <w:bCs w:val="0"/>
          <w:sz w:val="24"/>
          <w:szCs w:val="32"/>
          <w:lang w:eastAsia="zh-CN"/>
        </w:rPr>
        <w:t>保荐机构已专门发送提醒函，提醒公司及时关注股东及董监高减持情况并履行信息披露义务，严格按照承诺事项跟踪管理股东的股份减持行为。</w:t>
      </w:r>
    </w:p>
    <w:p w14:paraId="25205F5A">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bCs/>
          <w:sz w:val="24"/>
          <w:szCs w:val="32"/>
          <w:lang w:val="en-US" w:eastAsia="zh-CN"/>
        </w:rPr>
      </w:pPr>
      <w:r>
        <w:rPr>
          <w:rFonts w:hint="eastAsia" w:ascii="Times New Roman" w:hAnsi="Times New Roman" w:eastAsia="宋体" w:cs="Times New Roman"/>
          <w:b/>
          <w:bCs/>
          <w:sz w:val="24"/>
          <w:szCs w:val="32"/>
          <w:lang w:eastAsia="zh-CN"/>
        </w:rPr>
        <w:t>（</w:t>
      </w:r>
      <w:r>
        <w:rPr>
          <w:rFonts w:hint="eastAsia" w:ascii="Times New Roman" w:hAnsi="Times New Roman" w:eastAsia="宋体" w:cs="Times New Roman"/>
          <w:b/>
          <w:bCs/>
          <w:sz w:val="24"/>
          <w:szCs w:val="32"/>
          <w:lang w:val="en-US" w:eastAsia="zh-CN"/>
        </w:rPr>
        <w:t>二</w:t>
      </w:r>
      <w:r>
        <w:rPr>
          <w:rFonts w:hint="eastAsia" w:ascii="Times New Roman" w:hAnsi="Times New Roman" w:eastAsia="宋体" w:cs="Times New Roman"/>
          <w:b/>
          <w:bCs/>
          <w:sz w:val="24"/>
          <w:szCs w:val="32"/>
          <w:lang w:eastAsia="zh-CN"/>
        </w:rPr>
        <w:t>）</w:t>
      </w:r>
      <w:r>
        <w:rPr>
          <w:rFonts w:hint="default" w:ascii="Times New Roman" w:hAnsi="Times New Roman" w:eastAsia="宋体" w:cs="Times New Roman"/>
          <w:b/>
          <w:bCs/>
          <w:sz w:val="24"/>
          <w:szCs w:val="32"/>
        </w:rPr>
        <w:t>关于变更募投项目实施主体、实施地点及部分募集资金用途</w:t>
      </w:r>
      <w:r>
        <w:rPr>
          <w:rFonts w:hint="eastAsia" w:ascii="Times New Roman" w:hAnsi="Times New Roman" w:eastAsia="宋体" w:cs="Times New Roman"/>
          <w:b/>
          <w:bCs/>
          <w:sz w:val="24"/>
          <w:szCs w:val="32"/>
          <w:lang w:val="en-US" w:eastAsia="zh-CN"/>
        </w:rPr>
        <w:t>以及募投项目延期</w:t>
      </w:r>
    </w:p>
    <w:p w14:paraId="1F437346">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公司于2023年8月2日召开了第三届董事会第十四次会议和第三届监事会第十二次会议，并于2023年8月21日召开2023年第三次临时股东大会，审议通过了《关于变更募投项目实施主体、实施地点及部分募集资金用途的议案》：将原募投项目“大数据应用技术中心建设项目”扩展升级为“深圳综合运营中心项目”，将实施地点变更为深圳市南山区。同时取消原“营销服务体系升级建设项目”并将其募集资金合并用于“深圳综合运营中心项目”的建设。公司独立董事、监事会就该事项发表同意意见。</w:t>
      </w:r>
    </w:p>
    <w:p w14:paraId="34B2DCFE">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公司于2024年8月28日召开了第三届董事会第二十四次会议和第三届监事会第二十二次会议审议通过《关于部分募集资金投资项目延期的议案》，对项目进度规划进行调整，将“深圳综合运营中心项目”达到预定可使用状态时间由2024年8月25日延长至2025年8月24日。公司监事会就该事项发表了同意意见。</w:t>
      </w:r>
      <w:bookmarkStart w:id="0" w:name="_GoBack"/>
      <w:bookmarkEnd w:id="0"/>
    </w:p>
    <w:p w14:paraId="697AB082">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hAnsi="Times New Roman" w:eastAsia="宋体" w:cs="Times New Roman"/>
          <w:sz w:val="24"/>
          <w:szCs w:val="32"/>
          <w:lang w:eastAsia="zh-CN"/>
        </w:rPr>
      </w:pPr>
      <w:r>
        <w:rPr>
          <w:rFonts w:hint="default" w:ascii="Times New Roman" w:hAnsi="Times New Roman" w:eastAsia="宋体" w:cs="Times New Roman"/>
          <w:sz w:val="24"/>
          <w:szCs w:val="32"/>
        </w:rPr>
        <w:t>保荐机构对上述事项进行了认真审慎</w:t>
      </w:r>
      <w:r>
        <w:rPr>
          <w:rFonts w:hint="eastAsia" w:ascii="Times New Roman" w:hAnsi="Times New Roman" w:eastAsia="宋体" w:cs="Times New Roman"/>
          <w:sz w:val="24"/>
          <w:szCs w:val="32"/>
          <w:lang w:eastAsia="zh-CN"/>
        </w:rPr>
        <w:t>地</w:t>
      </w:r>
      <w:r>
        <w:rPr>
          <w:rFonts w:hint="default" w:ascii="Times New Roman" w:hAnsi="Times New Roman" w:eastAsia="宋体" w:cs="Times New Roman"/>
          <w:sz w:val="24"/>
          <w:szCs w:val="32"/>
        </w:rPr>
        <w:t>核查，并出具了核查意见</w:t>
      </w:r>
      <w:r>
        <w:rPr>
          <w:rFonts w:hint="eastAsia" w:ascii="Times New Roman" w:hAnsi="Times New Roman" w:eastAsia="宋体" w:cs="Times New Roman"/>
          <w:sz w:val="24"/>
          <w:szCs w:val="32"/>
          <w:lang w:eastAsia="zh-CN"/>
        </w:rPr>
        <w:t>。</w:t>
      </w:r>
    </w:p>
    <w:p w14:paraId="2FA71416">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rPr>
        <w:t>（</w:t>
      </w:r>
      <w:r>
        <w:rPr>
          <w:rFonts w:hint="eastAsia" w:ascii="Times New Roman" w:hAnsi="Times New Roman" w:eastAsia="宋体" w:cs="Times New Roman"/>
          <w:b/>
          <w:bCs/>
          <w:sz w:val="24"/>
          <w:szCs w:val="32"/>
          <w:lang w:val="en-US" w:eastAsia="zh-CN"/>
        </w:rPr>
        <w:t>三</w:t>
      </w:r>
      <w:r>
        <w:rPr>
          <w:rFonts w:hint="default" w:ascii="Times New Roman" w:hAnsi="Times New Roman" w:eastAsia="宋体" w:cs="Times New Roman"/>
          <w:b/>
          <w:bCs/>
          <w:sz w:val="24"/>
          <w:szCs w:val="32"/>
        </w:rPr>
        <w:t>）</w:t>
      </w:r>
      <w:r>
        <w:rPr>
          <w:rFonts w:hint="eastAsia" w:ascii="Times New Roman" w:hAnsi="Times New Roman" w:eastAsia="宋体" w:cs="Times New Roman"/>
          <w:b/>
          <w:bCs/>
          <w:sz w:val="24"/>
          <w:szCs w:val="32"/>
          <w:lang w:val="en-US" w:eastAsia="zh-CN"/>
        </w:rPr>
        <w:t>关于</w:t>
      </w:r>
      <w:r>
        <w:rPr>
          <w:rFonts w:hint="default" w:ascii="Times New Roman" w:hAnsi="Times New Roman" w:eastAsia="宋体" w:cs="Times New Roman"/>
          <w:b/>
          <w:bCs/>
          <w:sz w:val="24"/>
          <w:szCs w:val="32"/>
        </w:rPr>
        <w:t>变更部分募集资金用途</w:t>
      </w:r>
    </w:p>
    <w:p w14:paraId="79DCBE44">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公司于2024年12月11日召开了第三届董事会第二十六次会议和第三届监事会第二十四次会议，并于2024年12月27日召开2024年第四次临时股东会，审议通过了《关于变更部分募集资金用途的议案》，同意终止原募投项目“智慧城市综合解决方案升级项目”，将其部分募集资金11,716.00万元变更用于实施“算力集群服务项目”，剩余募集资金及其孳息将根据公司未来经营需要，适时投入其他项目建设或其他用途。公司监事会就该事项发表同意意见。</w:t>
      </w:r>
    </w:p>
    <w:p w14:paraId="3DFEE11C">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ascii="Times New Roman" w:hAnsi="Times New Roman" w:eastAsia="宋体" w:cs="Times New Roman"/>
          <w:sz w:val="24"/>
          <w:szCs w:val="32"/>
          <w:lang w:eastAsia="zh-CN"/>
        </w:rPr>
      </w:pPr>
      <w:r>
        <w:rPr>
          <w:rFonts w:hint="default" w:ascii="Times New Roman" w:hAnsi="Times New Roman" w:eastAsia="宋体" w:cs="Times New Roman"/>
          <w:sz w:val="24"/>
          <w:szCs w:val="32"/>
        </w:rPr>
        <w:t>保荐机构对上述事项进行了认真审慎</w:t>
      </w:r>
      <w:r>
        <w:rPr>
          <w:rFonts w:hint="eastAsia" w:ascii="Times New Roman" w:hAnsi="Times New Roman" w:eastAsia="宋体" w:cs="Times New Roman"/>
          <w:sz w:val="24"/>
          <w:szCs w:val="32"/>
          <w:lang w:eastAsia="zh-CN"/>
        </w:rPr>
        <w:t>地</w:t>
      </w:r>
      <w:r>
        <w:rPr>
          <w:rFonts w:hint="default" w:ascii="Times New Roman" w:hAnsi="Times New Roman" w:eastAsia="宋体" w:cs="Times New Roman"/>
          <w:sz w:val="24"/>
          <w:szCs w:val="32"/>
        </w:rPr>
        <w:t>核查，并出具了核查意见</w:t>
      </w:r>
      <w:r>
        <w:rPr>
          <w:rFonts w:hint="eastAsia" w:ascii="Times New Roman" w:hAnsi="Times New Roman" w:eastAsia="宋体" w:cs="Times New Roman"/>
          <w:sz w:val="24"/>
          <w:szCs w:val="32"/>
          <w:lang w:eastAsia="zh-CN"/>
        </w:rPr>
        <w:t>。</w:t>
      </w:r>
    </w:p>
    <w:p w14:paraId="04751ABA">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六、对上市公司配合保荐工作情况的说明及评价</w:t>
      </w:r>
    </w:p>
    <w:p w14:paraId="6B4B8F5A">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eastAsia" w:ascii="Times New Roman" w:hAnsi="Times New Roman" w:eastAsia="宋体" w:cs="Times New Roman"/>
          <w:sz w:val="24"/>
          <w:szCs w:val="32"/>
          <w:lang w:val="en-US" w:eastAsia="zh-CN"/>
        </w:rPr>
        <w:t>在</w:t>
      </w:r>
      <w:r>
        <w:rPr>
          <w:rFonts w:hint="default" w:ascii="Times New Roman" w:hAnsi="Times New Roman" w:eastAsia="宋体" w:cs="Times New Roman"/>
          <w:sz w:val="24"/>
          <w:szCs w:val="32"/>
        </w:rPr>
        <w:t>尽职推荐阶段</w:t>
      </w:r>
      <w:r>
        <w:rPr>
          <w:rFonts w:hint="eastAsia" w:ascii="Times New Roman" w:hAnsi="Times New Roman" w:eastAsia="宋体" w:cs="Times New Roman"/>
          <w:sz w:val="24"/>
          <w:szCs w:val="32"/>
          <w:lang w:eastAsia="zh-CN"/>
        </w:rPr>
        <w:t>，</w:t>
      </w:r>
      <w:r>
        <w:rPr>
          <w:rFonts w:hint="default" w:ascii="Times New Roman" w:hAnsi="Times New Roman" w:eastAsia="宋体" w:cs="Times New Roman"/>
          <w:sz w:val="24"/>
          <w:szCs w:val="32"/>
        </w:rPr>
        <w:t>发行人能够按照相关法律法规及时向本保荐机构及其他中介机构提供本次发行所需要的文件、资料和相关信息，并保证所提供文件、资料及信息真实、准确、完整，不存在虚假记载、误导性陈述或重大遗漏；按照相关法律法规要求，积极配合本保荐机构的尽职核查工作，为本次股票发行和上市的推荐工作提供了必要的条件和便利。</w:t>
      </w:r>
    </w:p>
    <w:p w14:paraId="274F94FD">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在持续督导期间，发行人能够根据有关</w:t>
      </w:r>
      <w:r>
        <w:rPr>
          <w:rFonts w:hint="eastAsia" w:ascii="Times New Roman" w:hAnsi="Times New Roman" w:eastAsia="宋体" w:cs="Times New Roman"/>
          <w:sz w:val="24"/>
          <w:szCs w:val="32"/>
          <w:lang w:eastAsia="zh-CN"/>
        </w:rPr>
        <w:t>法律法规</w:t>
      </w:r>
      <w:r>
        <w:rPr>
          <w:rFonts w:hint="default" w:ascii="Times New Roman" w:hAnsi="Times New Roman" w:eastAsia="宋体" w:cs="Times New Roman"/>
          <w:sz w:val="24"/>
          <w:szCs w:val="32"/>
        </w:rPr>
        <w:t>和规范性文件的要求规范运作，及时、准确</w:t>
      </w:r>
      <w:r>
        <w:rPr>
          <w:rFonts w:hint="eastAsia" w:ascii="Times New Roman" w:hAnsi="Times New Roman" w:eastAsia="宋体" w:cs="Times New Roman"/>
          <w:sz w:val="24"/>
          <w:szCs w:val="32"/>
          <w:lang w:eastAsia="zh-CN"/>
        </w:rPr>
        <w:t>地</w:t>
      </w:r>
      <w:r>
        <w:rPr>
          <w:rFonts w:hint="default" w:ascii="Times New Roman" w:hAnsi="Times New Roman" w:eastAsia="宋体" w:cs="Times New Roman"/>
          <w:sz w:val="24"/>
          <w:szCs w:val="32"/>
        </w:rPr>
        <w:t>按照要求进行信息披露，重要事项能够及时通知保荐人，根据保荐人要求及时提供相关文件资料，并积极配合保荐人开展定期现场检查工作和培训工作，为保荐人履行持续督导职责提供了必要的条件和便利。</w:t>
      </w:r>
    </w:p>
    <w:p w14:paraId="1A844C9D">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 xml:space="preserve">七、对发行人信息披露审阅的结论性意见 </w:t>
      </w:r>
    </w:p>
    <w:p w14:paraId="09FB5323">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 xml:space="preserve">在持续督导期间，保荐机构对公司的信息披露进行持续关注，审阅其信息披露文件等，公司的信息披露情况符合证券法律法规的规定。 </w:t>
      </w:r>
    </w:p>
    <w:p w14:paraId="171B9CE3">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 xml:space="preserve">八、对发行人募集资金使用审阅的结论性意见 </w:t>
      </w:r>
    </w:p>
    <w:p w14:paraId="247B7930">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在持续督导期间，公司募集资金使用和管理制度执行情况良好，募集资金</w:t>
      </w:r>
      <w:r>
        <w:rPr>
          <w:rFonts w:hint="eastAsia" w:ascii="Times New Roman" w:hAnsi="Times New Roman" w:eastAsia="宋体" w:cs="Times New Roman"/>
          <w:sz w:val="24"/>
          <w:szCs w:val="32"/>
          <w:lang w:eastAsia="zh-CN"/>
        </w:rPr>
        <w:t>的</w:t>
      </w:r>
      <w:r>
        <w:rPr>
          <w:rFonts w:hint="default" w:ascii="Times New Roman" w:hAnsi="Times New Roman" w:eastAsia="宋体" w:cs="Times New Roman"/>
          <w:sz w:val="24"/>
          <w:szCs w:val="32"/>
        </w:rPr>
        <w:t xml:space="preserve">使用符合证券法律法规的规定。 </w:t>
      </w:r>
    </w:p>
    <w:p w14:paraId="4AAA74E6">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 xml:space="preserve">九、尚未完结的保荐事项 </w:t>
      </w:r>
    </w:p>
    <w:p w14:paraId="367A5BD3">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 xml:space="preserve">截至2024 年12月31日，公司首次公开发行所募集资金尚未使用完毕，保荐机构将继续履行对公司剩余募集资金管理及使用情况的持续督导责任。 </w:t>
      </w:r>
    </w:p>
    <w:p w14:paraId="70FF908C">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sz w:val="28"/>
          <w:szCs w:val="36"/>
        </w:rPr>
      </w:pPr>
      <w:r>
        <w:rPr>
          <w:rFonts w:hint="default" w:ascii="Times New Roman" w:hAnsi="Times New Roman" w:eastAsia="宋体" w:cs="Times New Roman"/>
          <w:b/>
          <w:bCs/>
          <w:sz w:val="28"/>
          <w:szCs w:val="36"/>
        </w:rPr>
        <w:t xml:space="preserve">十、中国证监会及深圳证券交易所要求的其他事项 </w:t>
      </w:r>
    </w:p>
    <w:p w14:paraId="3D252EF3">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无。</w:t>
      </w:r>
    </w:p>
    <w:p w14:paraId="1F09B1F0">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sz w:val="24"/>
          <w:szCs w:val="32"/>
        </w:rPr>
      </w:pPr>
    </w:p>
    <w:p w14:paraId="5FDCCF85">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sz w:val="24"/>
          <w:szCs w:val="32"/>
        </w:rPr>
      </w:pPr>
    </w:p>
    <w:p w14:paraId="0E7A3B91">
      <w:pPr>
        <w:keepNext w:val="0"/>
        <w:keepLines w:val="0"/>
        <w:pageBreakBefore w:val="0"/>
        <w:widowControl w:val="0"/>
        <w:kinsoku/>
        <w:wordWrap/>
        <w:overflowPunct/>
        <w:topLinePunct w:val="0"/>
        <w:autoSpaceDE/>
        <w:autoSpaceDN/>
        <w:bidi w:val="0"/>
        <w:adjustRightInd/>
        <w:snapToGrid/>
        <w:spacing w:before="120" w:beforeLines="50" w:line="360" w:lineRule="auto"/>
        <w:textAlignment w:val="auto"/>
        <w:rPr>
          <w:rFonts w:ascii="Times New Roman" w:hAnsi="Times New Roman" w:eastAsia="宋体" w:cs="Times New Roman"/>
          <w:sz w:val="24"/>
          <w:szCs w:val="24"/>
          <w:lang w:bidi="ar"/>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712A592">
      <w:pPr>
        <w:spacing w:before="120" w:beforeLines="50" w:line="360" w:lineRule="auto"/>
        <w:rPr>
          <w:rFonts w:ascii="Times New Roman" w:hAnsi="Times New Roman" w:eastAsia="宋体" w:cs="Times New Roman"/>
          <w:sz w:val="24"/>
          <w:szCs w:val="24"/>
        </w:rPr>
      </w:pPr>
      <w:r>
        <w:rPr>
          <w:rFonts w:ascii="Times New Roman" w:hAnsi="Times New Roman" w:eastAsia="宋体" w:cs="Times New Roman"/>
          <w:sz w:val="24"/>
          <w:szCs w:val="24"/>
          <w:lang w:bidi="ar"/>
        </w:rPr>
        <w:t>（本页无正文，为《五矿证券有限公司关于广东天亿马信息产业股份有限公司</w:t>
      </w:r>
      <w:r>
        <w:rPr>
          <w:rFonts w:hint="eastAsia" w:ascii="Times New Roman" w:hAnsi="Times New Roman" w:eastAsia="宋体" w:cs="Times New Roman"/>
          <w:sz w:val="24"/>
          <w:szCs w:val="24"/>
          <w:lang w:bidi="ar"/>
        </w:rPr>
        <w:t>首次公开发行股票并在创业板上市之保荐总结报告书</w:t>
      </w:r>
      <w:r>
        <w:rPr>
          <w:rFonts w:ascii="Times New Roman" w:hAnsi="Times New Roman" w:eastAsia="宋体" w:cs="Times New Roman"/>
          <w:sz w:val="24"/>
          <w:szCs w:val="24"/>
          <w:lang w:bidi="ar"/>
        </w:rPr>
        <w:t xml:space="preserve">》之签章页） </w:t>
      </w:r>
    </w:p>
    <w:p w14:paraId="56670D3B">
      <w:pPr>
        <w:spacing w:before="120" w:beforeLines="50" w:line="360" w:lineRule="auto"/>
        <w:rPr>
          <w:rFonts w:ascii="Times New Roman" w:hAnsi="Times New Roman" w:eastAsia="宋体" w:cs="Times New Roman"/>
          <w:sz w:val="24"/>
          <w:szCs w:val="24"/>
          <w:lang w:bidi="ar"/>
        </w:rPr>
      </w:pPr>
    </w:p>
    <w:p w14:paraId="1ABA3F21">
      <w:pPr>
        <w:spacing w:before="120" w:beforeLines="50" w:line="360" w:lineRule="auto"/>
        <w:rPr>
          <w:sz w:val="24"/>
          <w:szCs w:val="24"/>
          <w:lang w:bidi="ar"/>
        </w:rPr>
      </w:pPr>
    </w:p>
    <w:p w14:paraId="17FFA8D9">
      <w:pPr>
        <w:spacing w:before="120" w:beforeLines="50" w:line="360" w:lineRule="auto"/>
        <w:rPr>
          <w:rFonts w:ascii="Times New Roman" w:hAnsi="Times New Roman" w:eastAsia="宋体" w:cs="Times New Roman"/>
          <w:sz w:val="24"/>
          <w:szCs w:val="24"/>
          <w:lang w:bidi="ar"/>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3"/>
        <w:gridCol w:w="1707"/>
        <w:gridCol w:w="1584"/>
        <w:gridCol w:w="1708"/>
        <w:gridCol w:w="1630"/>
      </w:tblGrid>
      <w:tr w14:paraId="22710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3" w:type="dxa"/>
          </w:tcPr>
          <w:p w14:paraId="6797F69A">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保荐代表人：</w:t>
            </w:r>
          </w:p>
        </w:tc>
        <w:tc>
          <w:tcPr>
            <w:tcW w:w="1707" w:type="dxa"/>
          </w:tcPr>
          <w:p w14:paraId="05C14E55">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584" w:type="dxa"/>
          </w:tcPr>
          <w:p w14:paraId="5D782E52">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c>
          <w:tcPr>
            <w:tcW w:w="1708" w:type="dxa"/>
          </w:tcPr>
          <w:p w14:paraId="70AF3507">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630" w:type="dxa"/>
          </w:tcPr>
          <w:p w14:paraId="4CD3EA68">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r w14:paraId="0A436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3" w:type="dxa"/>
          </w:tcPr>
          <w:p w14:paraId="4829E10D">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707" w:type="dxa"/>
            <w:tcBorders>
              <w:bottom w:val="single" w:color="auto" w:sz="4" w:space="0"/>
            </w:tcBorders>
          </w:tcPr>
          <w:p w14:paraId="67C6BD51">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584" w:type="dxa"/>
          </w:tcPr>
          <w:p w14:paraId="2CF49DFD">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c>
          <w:tcPr>
            <w:tcW w:w="1708" w:type="dxa"/>
            <w:tcBorders>
              <w:bottom w:val="single" w:color="auto" w:sz="4" w:space="0"/>
            </w:tcBorders>
          </w:tcPr>
          <w:p w14:paraId="2C56FEEA">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630" w:type="dxa"/>
          </w:tcPr>
          <w:p w14:paraId="3F762912">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r w14:paraId="785CA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3" w:type="dxa"/>
          </w:tcPr>
          <w:p w14:paraId="5B6B83A1">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707" w:type="dxa"/>
            <w:tcBorders>
              <w:top w:val="single" w:color="auto" w:sz="4" w:space="0"/>
              <w:bottom w:val="nil"/>
            </w:tcBorders>
          </w:tcPr>
          <w:p w14:paraId="70647DCA">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温  波</w:t>
            </w:r>
          </w:p>
        </w:tc>
        <w:tc>
          <w:tcPr>
            <w:tcW w:w="1584" w:type="dxa"/>
            <w:tcBorders>
              <w:bottom w:val="nil"/>
            </w:tcBorders>
          </w:tcPr>
          <w:p w14:paraId="3155DFEA">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c>
          <w:tcPr>
            <w:tcW w:w="1708" w:type="dxa"/>
            <w:tcBorders>
              <w:top w:val="single" w:color="auto" w:sz="4" w:space="0"/>
              <w:bottom w:val="nil"/>
            </w:tcBorders>
          </w:tcPr>
          <w:p w14:paraId="10EFAB19">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宋  平</w:t>
            </w:r>
          </w:p>
        </w:tc>
        <w:tc>
          <w:tcPr>
            <w:tcW w:w="1630" w:type="dxa"/>
          </w:tcPr>
          <w:p w14:paraId="7488DAFF">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r w14:paraId="2ECE1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3" w:type="dxa"/>
            <w:tcBorders>
              <w:bottom w:val="nil"/>
            </w:tcBorders>
          </w:tcPr>
          <w:p w14:paraId="5B50AA0A">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707" w:type="dxa"/>
            <w:tcBorders>
              <w:top w:val="nil"/>
              <w:bottom w:val="nil"/>
            </w:tcBorders>
          </w:tcPr>
          <w:p w14:paraId="2A2D3935">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584" w:type="dxa"/>
            <w:tcBorders>
              <w:top w:val="nil"/>
              <w:bottom w:val="nil"/>
            </w:tcBorders>
          </w:tcPr>
          <w:p w14:paraId="14BF4378">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c>
          <w:tcPr>
            <w:tcW w:w="1708" w:type="dxa"/>
            <w:tcBorders>
              <w:top w:val="nil"/>
              <w:bottom w:val="nil"/>
            </w:tcBorders>
          </w:tcPr>
          <w:p w14:paraId="3E7298D0">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630" w:type="dxa"/>
          </w:tcPr>
          <w:p w14:paraId="7FDBF094">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r w14:paraId="4A108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3" w:type="dxa"/>
            <w:tcBorders>
              <w:bottom w:val="nil"/>
            </w:tcBorders>
          </w:tcPr>
          <w:p w14:paraId="2E5BC374">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707" w:type="dxa"/>
            <w:tcBorders>
              <w:top w:val="nil"/>
              <w:bottom w:val="nil"/>
            </w:tcBorders>
          </w:tcPr>
          <w:p w14:paraId="62DD5E5B">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584" w:type="dxa"/>
            <w:tcBorders>
              <w:top w:val="nil"/>
              <w:bottom w:val="nil"/>
            </w:tcBorders>
          </w:tcPr>
          <w:p w14:paraId="366F1D0E">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c>
          <w:tcPr>
            <w:tcW w:w="1708" w:type="dxa"/>
            <w:tcBorders>
              <w:top w:val="nil"/>
              <w:bottom w:val="nil"/>
            </w:tcBorders>
          </w:tcPr>
          <w:p w14:paraId="47F45830">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630" w:type="dxa"/>
          </w:tcPr>
          <w:p w14:paraId="2D189C8C">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r w14:paraId="418F3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540" w:type="dxa"/>
            <w:gridSpan w:val="2"/>
            <w:tcBorders>
              <w:top w:val="nil"/>
              <w:bottom w:val="nil"/>
            </w:tcBorders>
          </w:tcPr>
          <w:p w14:paraId="489628E3">
            <w:pPr>
              <w:keepNext w:val="0"/>
              <w:keepLines w:val="0"/>
              <w:suppressLineNumbers w:val="0"/>
              <w:spacing w:before="120" w:beforeLines="50" w:beforeAutospacing="0" w:after="0" w:afterAutospacing="0" w:line="360" w:lineRule="auto"/>
              <w:ind w:left="0" w:right="0"/>
              <w:jc w:val="left"/>
              <w:rPr>
                <w:rFonts w:hint="default" w:ascii="Times New Roman" w:hAnsi="Times New Roman" w:eastAsia="宋体" w:cs="Times New Roman"/>
                <w:kern w:val="2"/>
                <w:sz w:val="24"/>
                <w:szCs w:val="24"/>
                <w:lang w:bidi="ar"/>
              </w:rPr>
            </w:pPr>
            <w:r>
              <w:rPr>
                <w:rFonts w:hint="eastAsia" w:ascii="Times New Roman" w:hAnsi="Times New Roman" w:eastAsia="宋体" w:cs="Times New Roman"/>
                <w:kern w:val="2"/>
                <w:sz w:val="24"/>
                <w:szCs w:val="24"/>
                <w:lang w:val="en-US" w:eastAsia="zh-CN" w:bidi="ar"/>
              </w:rPr>
              <w:t>保荐机构法定代表人签名：</w:t>
            </w:r>
          </w:p>
        </w:tc>
        <w:tc>
          <w:tcPr>
            <w:tcW w:w="1584" w:type="dxa"/>
            <w:tcBorders>
              <w:top w:val="nil"/>
              <w:bottom w:val="single" w:color="auto" w:sz="4" w:space="0"/>
            </w:tcBorders>
          </w:tcPr>
          <w:p w14:paraId="16372348">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c>
          <w:tcPr>
            <w:tcW w:w="1708" w:type="dxa"/>
            <w:tcBorders>
              <w:top w:val="nil"/>
              <w:bottom w:val="nil"/>
            </w:tcBorders>
          </w:tcPr>
          <w:p w14:paraId="06EC5AFE">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630" w:type="dxa"/>
          </w:tcPr>
          <w:p w14:paraId="58A20EBD">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r w14:paraId="6DA38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3" w:type="dxa"/>
            <w:tcBorders>
              <w:top w:val="nil"/>
            </w:tcBorders>
          </w:tcPr>
          <w:p w14:paraId="609F58DC">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707" w:type="dxa"/>
            <w:tcBorders>
              <w:top w:val="nil"/>
              <w:bottom w:val="nil"/>
            </w:tcBorders>
          </w:tcPr>
          <w:p w14:paraId="33DA1C1F">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584" w:type="dxa"/>
            <w:tcBorders>
              <w:top w:val="single" w:color="auto" w:sz="4" w:space="0"/>
              <w:bottom w:val="nil"/>
            </w:tcBorders>
          </w:tcPr>
          <w:p w14:paraId="0135D5F9">
            <w:pPr>
              <w:keepNext w:val="0"/>
              <w:keepLines w:val="0"/>
              <w:suppressLineNumbers w:val="0"/>
              <w:spacing w:before="120" w:beforeLines="50" w:beforeAutospacing="0" w:after="0" w:afterAutospacing="0" w:line="360" w:lineRule="auto"/>
              <w:ind w:left="0" w:right="0"/>
              <w:jc w:val="center"/>
              <w:rPr>
                <w:rFonts w:hint="eastAsia" w:eastAsiaTheme="minorEastAsia"/>
                <w:kern w:val="2"/>
                <w:sz w:val="24"/>
                <w:szCs w:val="24"/>
                <w:lang w:val="en-US" w:eastAsia="zh-CN" w:bidi="ar"/>
              </w:rPr>
            </w:pPr>
            <w:r>
              <w:rPr>
                <w:rFonts w:hint="eastAsia"/>
                <w:kern w:val="2"/>
                <w:sz w:val="24"/>
                <w:szCs w:val="24"/>
                <w:lang w:val="en-US" w:eastAsia="zh-CN" w:bidi="ar"/>
              </w:rPr>
              <w:t>郑宇</w:t>
            </w:r>
          </w:p>
        </w:tc>
        <w:tc>
          <w:tcPr>
            <w:tcW w:w="1708" w:type="dxa"/>
            <w:tcBorders>
              <w:top w:val="nil"/>
              <w:bottom w:val="nil"/>
            </w:tcBorders>
          </w:tcPr>
          <w:p w14:paraId="2F99E4CA">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630" w:type="dxa"/>
          </w:tcPr>
          <w:p w14:paraId="3C1A00BB">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r w14:paraId="65DF8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3" w:type="dxa"/>
          </w:tcPr>
          <w:p w14:paraId="7EC62263">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707" w:type="dxa"/>
            <w:tcBorders>
              <w:top w:val="nil"/>
            </w:tcBorders>
          </w:tcPr>
          <w:p w14:paraId="2E5BE06D">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584" w:type="dxa"/>
            <w:tcBorders>
              <w:top w:val="nil"/>
            </w:tcBorders>
          </w:tcPr>
          <w:p w14:paraId="52B82594">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c>
          <w:tcPr>
            <w:tcW w:w="1708" w:type="dxa"/>
            <w:tcBorders>
              <w:top w:val="nil"/>
            </w:tcBorders>
          </w:tcPr>
          <w:p w14:paraId="731ABCAC">
            <w:pPr>
              <w:keepNext w:val="0"/>
              <w:keepLines w:val="0"/>
              <w:suppressLineNumbers w:val="0"/>
              <w:spacing w:before="120" w:beforeLines="50" w:beforeAutospacing="0" w:after="0" w:afterAutospacing="0" w:line="360" w:lineRule="auto"/>
              <w:ind w:left="0" w:right="0"/>
              <w:jc w:val="center"/>
              <w:rPr>
                <w:rFonts w:hint="default" w:ascii="Times New Roman" w:hAnsi="Times New Roman" w:eastAsia="宋体" w:cs="Times New Roman"/>
                <w:kern w:val="2"/>
                <w:sz w:val="24"/>
                <w:szCs w:val="24"/>
                <w:lang w:bidi="ar"/>
              </w:rPr>
            </w:pPr>
          </w:p>
        </w:tc>
        <w:tc>
          <w:tcPr>
            <w:tcW w:w="1630" w:type="dxa"/>
          </w:tcPr>
          <w:p w14:paraId="0A035FB2">
            <w:pPr>
              <w:keepNext w:val="0"/>
              <w:keepLines w:val="0"/>
              <w:suppressLineNumbers w:val="0"/>
              <w:spacing w:before="120" w:beforeLines="50" w:beforeAutospacing="0" w:after="0" w:afterAutospacing="0" w:line="360" w:lineRule="auto"/>
              <w:ind w:left="0" w:right="0"/>
              <w:jc w:val="center"/>
              <w:rPr>
                <w:rFonts w:hint="default"/>
                <w:kern w:val="2"/>
                <w:sz w:val="24"/>
                <w:szCs w:val="24"/>
                <w:lang w:bidi="ar"/>
              </w:rPr>
            </w:pPr>
          </w:p>
        </w:tc>
      </w:tr>
    </w:tbl>
    <w:p w14:paraId="5E853CE7">
      <w:pPr>
        <w:spacing w:before="120" w:beforeLines="50" w:line="360" w:lineRule="auto"/>
        <w:rPr>
          <w:rFonts w:ascii="Times New Roman" w:hAnsi="Times New Roman" w:eastAsia="宋体" w:cs="Times New Roman"/>
          <w:sz w:val="24"/>
          <w:szCs w:val="24"/>
          <w:lang w:bidi="ar"/>
        </w:rPr>
      </w:pPr>
    </w:p>
    <w:p w14:paraId="565B01B3">
      <w:pPr>
        <w:spacing w:before="120" w:beforeLines="50" w:line="360" w:lineRule="auto"/>
        <w:rPr>
          <w:rFonts w:ascii="Times New Roman" w:hAnsi="Times New Roman" w:eastAsia="宋体" w:cs="Times New Roman"/>
          <w:sz w:val="24"/>
          <w:szCs w:val="24"/>
          <w:lang w:bidi="ar"/>
        </w:rPr>
      </w:pPr>
    </w:p>
    <w:p w14:paraId="2FA43538">
      <w:pPr>
        <w:spacing w:before="120" w:beforeLines="50" w:line="360" w:lineRule="auto"/>
        <w:jc w:val="right"/>
        <w:rPr>
          <w:rFonts w:ascii="Times New Roman" w:hAnsi="Times New Roman" w:eastAsia="宋体" w:cs="Times New Roman"/>
          <w:sz w:val="24"/>
          <w:szCs w:val="24"/>
          <w:lang w:bidi="ar"/>
        </w:rPr>
      </w:pPr>
      <w:r>
        <w:rPr>
          <w:rFonts w:ascii="Times New Roman" w:hAnsi="Times New Roman" w:eastAsia="宋体" w:cs="Times New Roman"/>
          <w:sz w:val="24"/>
          <w:szCs w:val="24"/>
          <w:lang w:bidi="ar"/>
        </w:rPr>
        <w:t xml:space="preserve">五矿证券有限公司 </w:t>
      </w:r>
    </w:p>
    <w:p w14:paraId="1EA931E4">
      <w:pPr>
        <w:spacing w:before="120" w:beforeLines="50" w:line="360" w:lineRule="auto"/>
        <w:jc w:val="right"/>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bidi="ar"/>
        </w:rPr>
        <w:t>2025</w:t>
      </w:r>
      <w:r>
        <w:rPr>
          <w:rFonts w:ascii="Times New Roman" w:hAnsi="Times New Roman" w:eastAsia="宋体" w:cs="Times New Roman"/>
          <w:sz w:val="24"/>
          <w:szCs w:val="24"/>
          <w:lang w:bidi="ar"/>
        </w:rPr>
        <w:t>年</w:t>
      </w:r>
      <w:r>
        <w:rPr>
          <w:rFonts w:hint="eastAsia" w:ascii="Times New Roman" w:hAnsi="Times New Roman" w:eastAsia="宋体" w:cs="Times New Roman"/>
          <w:sz w:val="24"/>
          <w:szCs w:val="24"/>
          <w:lang w:val="en-US" w:eastAsia="zh-CN" w:bidi="ar"/>
        </w:rPr>
        <w:t>5</w:t>
      </w:r>
      <w:r>
        <w:rPr>
          <w:rFonts w:ascii="Times New Roman" w:hAnsi="Times New Roman" w:eastAsia="宋体" w:cs="Times New Roman"/>
          <w:sz w:val="24"/>
          <w:szCs w:val="24"/>
          <w:lang w:bidi="ar"/>
        </w:rPr>
        <w:t>月</w:t>
      </w:r>
      <w:r>
        <w:rPr>
          <w:rFonts w:hint="eastAsia" w:ascii="Times New Roman" w:hAnsi="Times New Roman" w:eastAsia="宋体" w:cs="Times New Roman"/>
          <w:sz w:val="24"/>
          <w:szCs w:val="24"/>
          <w:lang w:val="en-US" w:eastAsia="zh-CN" w:bidi="ar"/>
        </w:rPr>
        <w:t>8</w:t>
      </w:r>
      <w:r>
        <w:rPr>
          <w:rFonts w:ascii="Times New Roman" w:hAnsi="Times New Roman" w:eastAsia="宋体" w:cs="Times New Roman"/>
          <w:sz w:val="24"/>
          <w:szCs w:val="24"/>
          <w:lang w:bidi="ar"/>
        </w:rPr>
        <w:t>日</w:t>
      </w:r>
    </w:p>
    <w:p w14:paraId="620A01BD">
      <w:pPr>
        <w:spacing w:before="120" w:beforeLines="50" w:line="360" w:lineRule="auto"/>
        <w:rPr>
          <w:rFonts w:ascii="Times New Roman" w:hAnsi="Times New Roman" w:eastAsia="宋体" w:cs="Times New Roman"/>
          <w:sz w:val="28"/>
          <w:szCs w:val="28"/>
        </w:rPr>
      </w:pPr>
    </w:p>
    <w:p w14:paraId="48F3EADD">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sz w:val="24"/>
          <w:szCs w:val="32"/>
        </w:rPr>
      </w:pPr>
    </w:p>
    <w:p w14:paraId="2BFA5899">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sz w:val="24"/>
          <w:szCs w:val="32"/>
        </w:rPr>
      </w:pPr>
    </w:p>
    <w:p w14:paraId="7D78DDE9">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sz w:val="24"/>
          <w:szCs w:val="32"/>
        </w:rPr>
      </w:pPr>
    </w:p>
    <w:sectPr>
      <w:pgSz w:w="11906" w:h="16838"/>
      <w:pgMar w:top="1440" w:right="186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3D3486"/>
    <w:rsid w:val="012F6E0E"/>
    <w:rsid w:val="128D64A2"/>
    <w:rsid w:val="12D13D3C"/>
    <w:rsid w:val="15616B29"/>
    <w:rsid w:val="18522B34"/>
    <w:rsid w:val="1B97702C"/>
    <w:rsid w:val="1C4703BA"/>
    <w:rsid w:val="259B10EE"/>
    <w:rsid w:val="2B671B1E"/>
    <w:rsid w:val="2CC64B8E"/>
    <w:rsid w:val="2CD81447"/>
    <w:rsid w:val="33095248"/>
    <w:rsid w:val="4AC6189E"/>
    <w:rsid w:val="4C572F5B"/>
    <w:rsid w:val="4EB72D88"/>
    <w:rsid w:val="51B1254B"/>
    <w:rsid w:val="5313575B"/>
    <w:rsid w:val="5517128A"/>
    <w:rsid w:val="604C3E55"/>
    <w:rsid w:val="649046A1"/>
    <w:rsid w:val="64A439A6"/>
    <w:rsid w:val="688D02FE"/>
    <w:rsid w:val="6AA627B9"/>
    <w:rsid w:val="6E280DDB"/>
    <w:rsid w:val="6E9A5102"/>
    <w:rsid w:val="716C4598"/>
    <w:rsid w:val="783D3486"/>
    <w:rsid w:val="783E09ED"/>
    <w:rsid w:val="793D06A7"/>
    <w:rsid w:val="7A066A91"/>
    <w:rsid w:val="7E732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table" w:styleId="3">
    <w:name w:val="Table Grid"/>
    <w:basedOn w:val="2"/>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Emphasis"/>
    <w:basedOn w:val="4"/>
    <w:qFormat/>
    <w:uiPriority w:val="0"/>
    <w:rPr>
      <w:i/>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3143</Words>
  <Characters>3298</Characters>
  <Lines>0</Lines>
  <Paragraphs>0</Paragraphs>
  <TotalTime>0</TotalTime>
  <ScaleCrop>false</ScaleCrop>
  <LinksUpToDate>false</LinksUpToDate>
  <CharactersWithSpaces>3318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2025-04-22T09:33:00Z</dcterms:created>
  <dc:creator>CICI</dc:creator>
  <cp:lastModifiedBy>黄舒倩</cp:lastModifiedBy>
  <dcterms:modified xsi:type="dcterms:W3CDTF">2025-05-08T08:47:08Z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C56669E3FC8940C792E16238D568279E_11</vt:lpwstr>
  </property>
  <property fmtid="{D5CDD505-2E9C-101B-9397-08002B2CF9AE}" pid="4" name="KSOTemplateDocerSaveRecord">
    <vt:lpwstr>eyJoZGlkIjoiYjc3NTVmODk5OWI4YTU0YmU5MTlhYzJjMjBkNzFlNmEiLCJ1c2VySWQiOiIyNDMwNTgyMjAifQ==</vt:lpwstr>
  </property>
</Properties>
</file>