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B969B">
      <w:pPr>
        <w:jc w:val="left"/>
        <w:rPr>
          <w:rFonts w:ascii="仿宋" w:hAnsi="仿宋" w:eastAsia="仿宋"/>
          <w:sz w:val="24"/>
          <w:szCs w:val="24"/>
        </w:rPr>
      </w:pPr>
      <w:r>
        <w:rPr>
          <w:rFonts w:hint="eastAsia" w:ascii="仿宋" w:hAnsi="仿宋" w:eastAsia="仿宋"/>
          <w:sz w:val="24"/>
          <w:szCs w:val="24"/>
        </w:rPr>
        <w:t xml:space="preserve">证券代码：301178 </w:t>
      </w:r>
      <w:r>
        <w:rPr>
          <w:rFonts w:hint="eastAsia" w:ascii="仿宋" w:hAnsi="仿宋" w:eastAsia="仿宋"/>
          <w:sz w:val="24"/>
          <w:szCs w:val="24"/>
        </w:rPr>
        <w:tab/>
      </w:r>
      <w:r>
        <w:rPr>
          <w:rFonts w:hint="eastAsia" w:ascii="仿宋" w:hAnsi="仿宋" w:eastAsia="仿宋"/>
          <w:sz w:val="24"/>
          <w:szCs w:val="24"/>
        </w:rPr>
        <w:t xml:space="preserve">                                   证券简称：天亿马</w:t>
      </w:r>
    </w:p>
    <w:p w14:paraId="7A0E1D9C">
      <w:pPr>
        <w:adjustRightInd w:val="0"/>
        <w:snapToGrid w:val="0"/>
        <w:spacing w:line="400" w:lineRule="exact"/>
        <w:jc w:val="center"/>
        <w:rPr>
          <w:rFonts w:ascii="仿宋" w:hAnsi="仿宋" w:eastAsia="仿宋"/>
          <w:b/>
          <w:color w:val="000000"/>
          <w:sz w:val="32"/>
          <w:szCs w:val="32"/>
        </w:rPr>
      </w:pPr>
      <w:r>
        <w:rPr>
          <w:rFonts w:hint="eastAsia" w:ascii="仿宋" w:hAnsi="仿宋" w:eastAsia="仿宋"/>
          <w:b/>
          <w:color w:val="000000"/>
          <w:sz w:val="32"/>
          <w:szCs w:val="32"/>
        </w:rPr>
        <w:t>广东天亿马信息产业股份有限公司</w:t>
      </w:r>
      <w:r>
        <w:rPr>
          <w:rFonts w:hint="eastAsia" w:ascii="仿宋" w:hAnsi="仿宋" w:eastAsia="仿宋"/>
          <w:b/>
          <w:color w:val="000000"/>
          <w:sz w:val="32"/>
          <w:szCs w:val="32"/>
        </w:rPr>
        <w:br w:type="textWrapping"/>
      </w:r>
      <w:r>
        <w:rPr>
          <w:rFonts w:hint="eastAsia" w:ascii="仿宋" w:hAnsi="仿宋" w:eastAsia="仿宋"/>
          <w:b/>
          <w:color w:val="000000"/>
          <w:sz w:val="32"/>
          <w:szCs w:val="32"/>
        </w:rPr>
        <w:br w:type="textWrapping"/>
      </w:r>
      <w:r>
        <w:rPr>
          <w:rFonts w:hint="eastAsia" w:ascii="仿宋" w:hAnsi="仿宋" w:eastAsia="仿宋"/>
          <w:b/>
          <w:color w:val="000000"/>
          <w:sz w:val="32"/>
          <w:szCs w:val="32"/>
        </w:rPr>
        <w:t>2024年度业绩说明会投资者活动记录表</w:t>
      </w:r>
    </w:p>
    <w:p w14:paraId="2753DF1B">
      <w:pPr>
        <w:wordWrap w:val="0"/>
        <w:jc w:val="right"/>
        <w:rPr>
          <w:rFonts w:ascii="仿宋" w:hAnsi="仿宋" w:eastAsia="仿宋"/>
        </w:rPr>
      </w:pPr>
      <w:r>
        <w:rPr>
          <w:rFonts w:hint="eastAsia" w:ascii="仿宋" w:hAnsi="仿宋" w:eastAsia="仿宋"/>
          <w:color w:val="000000"/>
          <w:sz w:val="28"/>
          <w:szCs w:val="28"/>
        </w:rPr>
        <w:t>编号：20250509</w:t>
      </w:r>
    </w:p>
    <w:tbl>
      <w:tblPr>
        <w:tblStyle w:val="17"/>
        <w:tblW w:w="8987" w:type="dxa"/>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0"/>
        <w:gridCol w:w="7267"/>
      </w:tblGrid>
      <w:tr w14:paraId="3077F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0645689D">
            <w:pPr>
              <w:wordWrap w:val="0"/>
              <w:adjustRightInd w:val="0"/>
              <w:snapToGrid w:val="0"/>
              <w:spacing w:after="0" w:line="360" w:lineRule="auto"/>
              <w:jc w:val="center"/>
              <w:rPr>
                <w:rFonts w:ascii="仿宋" w:hAnsi="仿宋" w:eastAsia="仿宋"/>
                <w:sz w:val="24"/>
                <w:szCs w:val="24"/>
              </w:rPr>
            </w:pPr>
            <w:r>
              <w:rPr>
                <w:rFonts w:hint="eastAsia" w:ascii="仿宋" w:hAnsi="仿宋" w:eastAsia="仿宋"/>
                <w:sz w:val="24"/>
                <w:szCs w:val="24"/>
              </w:rPr>
              <w:t>投资者关系活动类别</w:t>
            </w:r>
          </w:p>
        </w:tc>
        <w:tc>
          <w:tcPr>
            <w:tcW w:w="7267" w:type="dxa"/>
            <w:tcBorders>
              <w:top w:val="single" w:color="auto" w:sz="4" w:space="0"/>
              <w:left w:val="nil"/>
              <w:bottom w:val="single" w:color="auto" w:sz="4" w:space="0"/>
              <w:right w:val="single" w:color="auto" w:sz="4" w:space="0"/>
            </w:tcBorders>
            <w:vAlign w:val="center"/>
          </w:tcPr>
          <w:p w14:paraId="324C91C2">
            <w:pPr>
              <w:widowControl w:val="0"/>
              <w:wordWrap w:val="0"/>
              <w:autoSpaceDE w:val="0"/>
              <w:autoSpaceDN w:val="0"/>
              <w:adjustRightInd w:val="0"/>
              <w:snapToGrid w:val="0"/>
              <w:spacing w:before="156" w:beforeLines="50" w:after="156" w:afterLines="50"/>
              <w:jc w:val="left"/>
              <w:rPr>
                <w:rFonts w:ascii="仿宋" w:hAnsi="仿宋" w:eastAsia="仿宋"/>
                <w:color w:val="000000"/>
                <w:sz w:val="24"/>
                <w:szCs w:val="24"/>
              </w:rPr>
            </w:pPr>
            <w:r>
              <w:rPr>
                <w:rFonts w:hint="eastAsia" w:ascii="仿宋" w:hAnsi="仿宋" w:eastAsia="仿宋"/>
                <w:color w:val="000000"/>
                <w:sz w:val="24"/>
                <w:szCs w:val="24"/>
              </w:rPr>
              <w:t xml:space="preserve">□特定对象调研                   □分析师会议 </w:t>
            </w:r>
          </w:p>
          <w:p w14:paraId="286BFC16">
            <w:pPr>
              <w:widowControl w:val="0"/>
              <w:wordWrap w:val="0"/>
              <w:autoSpaceDE w:val="0"/>
              <w:autoSpaceDN w:val="0"/>
              <w:adjustRightInd w:val="0"/>
              <w:snapToGrid w:val="0"/>
              <w:spacing w:before="156" w:beforeLines="50" w:after="156" w:afterLines="50"/>
              <w:jc w:val="left"/>
              <w:rPr>
                <w:rFonts w:ascii="仿宋" w:hAnsi="仿宋" w:eastAsia="仿宋"/>
                <w:color w:val="000000"/>
                <w:sz w:val="24"/>
                <w:szCs w:val="24"/>
              </w:rPr>
            </w:pPr>
            <w:r>
              <w:rPr>
                <w:rFonts w:hint="eastAsia" w:ascii="仿宋" w:hAnsi="仿宋" w:eastAsia="仿宋"/>
                <w:color w:val="000000"/>
                <w:sz w:val="24"/>
                <w:szCs w:val="24"/>
              </w:rPr>
              <w:t>□媒体采访                       √业绩说明会</w:t>
            </w:r>
          </w:p>
          <w:p w14:paraId="1DE26B72">
            <w:pPr>
              <w:widowControl w:val="0"/>
              <w:wordWrap w:val="0"/>
              <w:autoSpaceDE w:val="0"/>
              <w:autoSpaceDN w:val="0"/>
              <w:adjustRightInd w:val="0"/>
              <w:snapToGrid w:val="0"/>
              <w:spacing w:before="156" w:beforeLines="50" w:after="156" w:afterLines="50"/>
              <w:jc w:val="left"/>
              <w:rPr>
                <w:rFonts w:ascii="仿宋" w:hAnsi="仿宋" w:eastAsia="仿宋"/>
                <w:color w:val="000000"/>
                <w:sz w:val="24"/>
                <w:szCs w:val="24"/>
              </w:rPr>
            </w:pPr>
            <w:r>
              <w:rPr>
                <w:rFonts w:hint="eastAsia" w:ascii="仿宋" w:hAnsi="仿宋" w:eastAsia="仿宋"/>
                <w:color w:val="000000"/>
                <w:sz w:val="24"/>
                <w:szCs w:val="24"/>
              </w:rPr>
              <w:t>□新闻发布会                     □路演活动</w:t>
            </w:r>
          </w:p>
          <w:p w14:paraId="32F71648">
            <w:pPr>
              <w:widowControl w:val="0"/>
              <w:wordWrap w:val="0"/>
              <w:autoSpaceDE w:val="0"/>
              <w:autoSpaceDN w:val="0"/>
              <w:adjustRightInd w:val="0"/>
              <w:snapToGrid w:val="0"/>
              <w:spacing w:before="156" w:beforeLines="50" w:after="156" w:afterLines="50"/>
              <w:jc w:val="left"/>
              <w:rPr>
                <w:rFonts w:ascii="仿宋" w:hAnsi="仿宋" w:eastAsia="仿宋"/>
                <w:color w:val="000000"/>
                <w:sz w:val="24"/>
                <w:szCs w:val="24"/>
              </w:rPr>
            </w:pPr>
            <w:r>
              <w:rPr>
                <w:rFonts w:hint="eastAsia" w:ascii="仿宋" w:hAnsi="仿宋" w:eastAsia="仿宋"/>
                <w:color w:val="000000"/>
                <w:sz w:val="24"/>
                <w:szCs w:val="24"/>
              </w:rPr>
              <w:t>□现场参观                       □电话会议</w:t>
            </w:r>
          </w:p>
          <w:p w14:paraId="5EEF78D8">
            <w:pPr>
              <w:widowControl w:val="0"/>
              <w:wordWrap w:val="0"/>
              <w:autoSpaceDE w:val="0"/>
              <w:autoSpaceDN w:val="0"/>
              <w:adjustRightInd w:val="0"/>
              <w:snapToGrid w:val="0"/>
              <w:spacing w:before="156" w:beforeLines="50" w:after="156" w:afterLines="50"/>
              <w:jc w:val="left"/>
              <w:rPr>
                <w:rFonts w:ascii="仿宋" w:hAnsi="仿宋" w:eastAsia="仿宋"/>
                <w:color w:val="000000"/>
                <w:sz w:val="24"/>
                <w:szCs w:val="24"/>
                <w:u w:val="single"/>
              </w:rPr>
            </w:pPr>
            <w:r>
              <w:rPr>
                <w:rFonts w:hint="eastAsia" w:ascii="仿宋" w:hAnsi="仿宋" w:eastAsia="仿宋"/>
                <w:color w:val="000000"/>
                <w:sz w:val="24"/>
                <w:szCs w:val="24"/>
              </w:rPr>
              <w:t>□其他：</w:t>
            </w:r>
            <w:r>
              <w:rPr>
                <w:rFonts w:hint="eastAsia" w:ascii="仿宋" w:hAnsi="仿宋" w:eastAsia="仿宋"/>
                <w:color w:val="000000"/>
                <w:sz w:val="24"/>
                <w:szCs w:val="24"/>
                <w:u w:val="single"/>
              </w:rPr>
              <w:t xml:space="preserve"> （请文字说明其他活动内容）</w:t>
            </w:r>
          </w:p>
        </w:tc>
      </w:tr>
      <w:tr w14:paraId="5FB1E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3B1FBAB8">
            <w:pPr>
              <w:wordWrap w:val="0"/>
              <w:adjustRightInd w:val="0"/>
              <w:snapToGrid w:val="0"/>
              <w:spacing w:after="0" w:line="360" w:lineRule="auto"/>
              <w:jc w:val="center"/>
              <w:rPr>
                <w:rFonts w:ascii="仿宋" w:hAnsi="仿宋" w:eastAsia="仿宋"/>
                <w:color w:val="000000"/>
                <w:sz w:val="24"/>
                <w:szCs w:val="24"/>
              </w:rPr>
            </w:pPr>
            <w:r>
              <w:rPr>
                <w:rFonts w:hint="eastAsia" w:ascii="仿宋" w:hAnsi="仿宋" w:eastAsia="仿宋"/>
                <w:color w:val="000000"/>
                <w:sz w:val="24"/>
                <w:szCs w:val="24"/>
              </w:rPr>
              <w:t>参与</w:t>
            </w:r>
            <w:r>
              <w:rPr>
                <w:rFonts w:hint="eastAsia" w:ascii="仿宋" w:hAnsi="仿宋" w:eastAsia="仿宋"/>
                <w:sz w:val="24"/>
                <w:szCs w:val="24"/>
              </w:rPr>
              <w:t>单位</w:t>
            </w:r>
            <w:r>
              <w:rPr>
                <w:rFonts w:hint="eastAsia" w:ascii="仿宋" w:hAnsi="仿宋" w:eastAsia="仿宋"/>
                <w:color w:val="000000"/>
                <w:sz w:val="24"/>
                <w:szCs w:val="24"/>
              </w:rPr>
              <w:t>名称</w:t>
            </w:r>
          </w:p>
          <w:p w14:paraId="03965832">
            <w:pPr>
              <w:wordWrap w:val="0"/>
              <w:adjustRightInd w:val="0"/>
              <w:snapToGrid w:val="0"/>
              <w:spacing w:after="0" w:line="360" w:lineRule="auto"/>
              <w:jc w:val="center"/>
              <w:rPr>
                <w:rFonts w:ascii="仿宋" w:hAnsi="仿宋" w:eastAsia="仿宋"/>
                <w:color w:val="000000"/>
                <w:sz w:val="24"/>
                <w:szCs w:val="24"/>
              </w:rPr>
            </w:pPr>
            <w:r>
              <w:rPr>
                <w:rFonts w:hint="eastAsia" w:ascii="仿宋" w:hAnsi="仿宋" w:eastAsia="仿宋"/>
                <w:color w:val="000000"/>
                <w:sz w:val="24"/>
                <w:szCs w:val="24"/>
              </w:rPr>
              <w:t>及人员姓名</w:t>
            </w:r>
          </w:p>
        </w:tc>
        <w:tc>
          <w:tcPr>
            <w:tcW w:w="7267" w:type="dxa"/>
            <w:tcBorders>
              <w:top w:val="single" w:color="auto" w:sz="4" w:space="0"/>
              <w:left w:val="nil"/>
              <w:bottom w:val="single" w:color="auto" w:sz="4" w:space="0"/>
              <w:right w:val="single" w:color="auto" w:sz="4" w:space="0"/>
            </w:tcBorders>
            <w:vAlign w:val="center"/>
          </w:tcPr>
          <w:p w14:paraId="1ECFEE53">
            <w:pPr>
              <w:widowControl w:val="0"/>
              <w:wordWrap w:val="0"/>
              <w:autoSpaceDE w:val="0"/>
              <w:autoSpaceDN w:val="0"/>
              <w:adjustRightInd w:val="0"/>
              <w:snapToGrid w:val="0"/>
              <w:spacing w:before="156" w:beforeLines="50" w:after="156" w:afterLines="50"/>
              <w:jc w:val="left"/>
              <w:rPr>
                <w:rFonts w:ascii="仿宋" w:hAnsi="仿宋" w:eastAsia="仿宋"/>
                <w:sz w:val="24"/>
                <w:szCs w:val="24"/>
              </w:rPr>
            </w:pPr>
            <w:r>
              <w:rPr>
                <w:rFonts w:hint="eastAsia" w:ascii="仿宋" w:hAnsi="仿宋" w:eastAsia="仿宋"/>
                <w:color w:val="000000"/>
                <w:sz w:val="24"/>
                <w:szCs w:val="24"/>
              </w:rPr>
              <w:t>天亿马2024年度业绩说明会采用网络远程方式进行，面向全体投资者。</w:t>
            </w:r>
          </w:p>
        </w:tc>
      </w:tr>
      <w:tr w14:paraId="1E9E9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5230B283">
            <w:pPr>
              <w:wordWrap w:val="0"/>
              <w:adjustRightInd w:val="0"/>
              <w:snapToGrid w:val="0"/>
              <w:spacing w:after="0" w:line="360" w:lineRule="auto"/>
              <w:jc w:val="center"/>
              <w:rPr>
                <w:rFonts w:ascii="仿宋" w:hAnsi="仿宋" w:eastAsia="仿宋"/>
                <w:sz w:val="24"/>
                <w:szCs w:val="24"/>
              </w:rPr>
            </w:pPr>
            <w:r>
              <w:rPr>
                <w:rFonts w:hint="eastAsia" w:ascii="仿宋" w:hAnsi="仿宋" w:eastAsia="仿宋"/>
                <w:color w:val="000000"/>
                <w:sz w:val="24"/>
                <w:szCs w:val="24"/>
              </w:rPr>
              <w:t>时间</w:t>
            </w:r>
          </w:p>
        </w:tc>
        <w:tc>
          <w:tcPr>
            <w:tcW w:w="7267" w:type="dxa"/>
            <w:tcBorders>
              <w:top w:val="single" w:color="auto" w:sz="4" w:space="0"/>
              <w:left w:val="nil"/>
              <w:bottom w:val="single" w:color="auto" w:sz="4" w:space="0"/>
              <w:right w:val="single" w:color="auto" w:sz="4" w:space="0"/>
            </w:tcBorders>
            <w:vAlign w:val="center"/>
          </w:tcPr>
          <w:p w14:paraId="03F20F48">
            <w:pPr>
              <w:wordWrap w:val="0"/>
              <w:adjustRightInd w:val="0"/>
              <w:snapToGrid w:val="0"/>
              <w:jc w:val="left"/>
              <w:rPr>
                <w:rFonts w:ascii="仿宋" w:hAnsi="仿宋" w:eastAsia="仿宋"/>
                <w:sz w:val="24"/>
                <w:szCs w:val="24"/>
              </w:rPr>
            </w:pPr>
            <w:r>
              <w:rPr>
                <w:rFonts w:hint="eastAsia" w:ascii="仿宋" w:hAnsi="仿宋" w:eastAsia="仿宋"/>
                <w:color w:val="000000"/>
                <w:sz w:val="24"/>
                <w:szCs w:val="24"/>
              </w:rPr>
              <w:t>2025年5月9日16:00-17:00</w:t>
            </w:r>
          </w:p>
        </w:tc>
      </w:tr>
      <w:tr w14:paraId="1E17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71C9CAA2">
            <w:pPr>
              <w:wordWrap w:val="0"/>
              <w:adjustRightInd w:val="0"/>
              <w:snapToGrid w:val="0"/>
              <w:spacing w:after="0" w:line="360" w:lineRule="auto"/>
              <w:jc w:val="center"/>
              <w:rPr>
                <w:rFonts w:ascii="仿宋" w:hAnsi="仿宋" w:eastAsia="仿宋"/>
                <w:sz w:val="24"/>
                <w:szCs w:val="24"/>
              </w:rPr>
            </w:pPr>
            <w:r>
              <w:rPr>
                <w:rFonts w:hint="eastAsia" w:ascii="仿宋" w:hAnsi="仿宋" w:eastAsia="仿宋"/>
                <w:color w:val="000000"/>
                <w:sz w:val="24"/>
                <w:szCs w:val="24"/>
              </w:rPr>
              <w:t>地点</w:t>
            </w:r>
          </w:p>
        </w:tc>
        <w:tc>
          <w:tcPr>
            <w:tcW w:w="7267" w:type="dxa"/>
            <w:tcBorders>
              <w:top w:val="single" w:color="auto" w:sz="4" w:space="0"/>
              <w:left w:val="nil"/>
              <w:bottom w:val="single" w:color="auto" w:sz="4" w:space="0"/>
              <w:right w:val="single" w:color="auto" w:sz="4" w:space="0"/>
            </w:tcBorders>
            <w:vAlign w:val="center"/>
          </w:tcPr>
          <w:p w14:paraId="687A1622">
            <w:pPr>
              <w:widowControl w:val="0"/>
              <w:wordWrap w:val="0"/>
              <w:autoSpaceDE w:val="0"/>
              <w:autoSpaceDN w:val="0"/>
              <w:adjustRightInd w:val="0"/>
              <w:snapToGrid w:val="0"/>
              <w:spacing w:before="0" w:after="0" w:line="271" w:lineRule="auto"/>
              <w:jc w:val="left"/>
              <w:rPr>
                <w:rFonts w:ascii="仿宋" w:hAnsi="仿宋" w:eastAsia="仿宋"/>
                <w:color w:val="000000"/>
                <w:sz w:val="24"/>
                <w:szCs w:val="24"/>
              </w:rPr>
            </w:pPr>
            <w:r>
              <w:rPr>
                <w:rFonts w:hint="eastAsia" w:ascii="仿宋" w:hAnsi="仿宋" w:eastAsia="仿宋"/>
                <w:color w:val="000000"/>
                <w:sz w:val="24"/>
                <w:szCs w:val="24"/>
              </w:rPr>
              <w:t>深圳证券交易所“互动易平台”http://irm.cninfo.com.cn“云访谈”栏目</w:t>
            </w:r>
          </w:p>
        </w:tc>
      </w:tr>
      <w:tr w14:paraId="618CA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0FD02762">
            <w:pPr>
              <w:wordWrap w:val="0"/>
              <w:adjustRightInd w:val="0"/>
              <w:snapToGrid w:val="0"/>
              <w:spacing w:after="0" w:line="360" w:lineRule="auto"/>
              <w:jc w:val="center"/>
              <w:rPr>
                <w:rFonts w:ascii="仿宋" w:hAnsi="仿宋" w:eastAsia="仿宋"/>
                <w:color w:val="000000"/>
                <w:sz w:val="24"/>
                <w:szCs w:val="24"/>
              </w:rPr>
            </w:pPr>
            <w:r>
              <w:rPr>
                <w:rFonts w:hint="eastAsia" w:ascii="仿宋" w:hAnsi="仿宋" w:eastAsia="仿宋"/>
                <w:color w:val="000000"/>
                <w:sz w:val="24"/>
                <w:szCs w:val="24"/>
              </w:rPr>
              <w:t>公司接待人员</w:t>
            </w:r>
          </w:p>
          <w:p w14:paraId="67325D8E">
            <w:pPr>
              <w:wordWrap w:val="0"/>
              <w:adjustRightInd w:val="0"/>
              <w:snapToGrid w:val="0"/>
              <w:spacing w:after="0" w:line="360" w:lineRule="auto"/>
              <w:jc w:val="center"/>
              <w:rPr>
                <w:rFonts w:ascii="仿宋" w:hAnsi="仿宋" w:eastAsia="仿宋"/>
                <w:sz w:val="24"/>
                <w:szCs w:val="24"/>
              </w:rPr>
            </w:pPr>
            <w:r>
              <w:rPr>
                <w:rFonts w:hint="eastAsia" w:ascii="仿宋" w:hAnsi="仿宋" w:eastAsia="仿宋"/>
                <w:color w:val="000000"/>
                <w:sz w:val="24"/>
                <w:szCs w:val="24"/>
              </w:rPr>
              <w:t>姓名</w:t>
            </w:r>
          </w:p>
        </w:tc>
        <w:tc>
          <w:tcPr>
            <w:tcW w:w="7267" w:type="dxa"/>
            <w:tcBorders>
              <w:top w:val="single" w:color="auto" w:sz="4" w:space="0"/>
              <w:left w:val="nil"/>
              <w:bottom w:val="single" w:color="auto" w:sz="4" w:space="0"/>
              <w:right w:val="single" w:color="auto" w:sz="4" w:space="0"/>
            </w:tcBorders>
            <w:vAlign w:val="center"/>
          </w:tcPr>
          <w:p w14:paraId="24E43A91">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主持人：天亿马</w:t>
            </w:r>
          </w:p>
          <w:p w14:paraId="060232D9">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董事长：林明玲</w:t>
            </w:r>
          </w:p>
          <w:p w14:paraId="050BCA2F">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副董事长、总经理：马学沛</w:t>
            </w:r>
          </w:p>
          <w:p w14:paraId="6845A21F">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独立董事：曹丽梅</w:t>
            </w:r>
          </w:p>
          <w:p w14:paraId="29D29A9A">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财务总监：陈焕盛</w:t>
            </w:r>
          </w:p>
          <w:p w14:paraId="5B4A582B">
            <w:pPr>
              <w:widowControl w:val="0"/>
              <w:wordWrap w:val="0"/>
              <w:autoSpaceDE w:val="0"/>
              <w:autoSpaceDN w:val="0"/>
              <w:adjustRightInd w:val="0"/>
              <w:snapToGrid w:val="0"/>
              <w:spacing w:before="156" w:beforeLines="50" w:after="93" w:afterLines="30" w:line="360" w:lineRule="auto"/>
              <w:jc w:val="left"/>
              <w:rPr>
                <w:rFonts w:hint="eastAsia" w:ascii="仿宋" w:hAnsi="仿宋" w:eastAsia="仿宋"/>
                <w:color w:val="000000"/>
                <w:sz w:val="24"/>
                <w:szCs w:val="24"/>
              </w:rPr>
            </w:pPr>
            <w:r>
              <w:rPr>
                <w:rFonts w:hint="eastAsia" w:ascii="仿宋" w:hAnsi="仿宋" w:eastAsia="仿宋"/>
                <w:color w:val="000000"/>
                <w:sz w:val="24"/>
                <w:szCs w:val="24"/>
              </w:rPr>
              <w:t>保荐代表人：温波</w:t>
            </w:r>
          </w:p>
          <w:p w14:paraId="32773BEE">
            <w:pPr>
              <w:widowControl w:val="0"/>
              <w:wordWrap w:val="0"/>
              <w:autoSpaceDE w:val="0"/>
              <w:autoSpaceDN w:val="0"/>
              <w:adjustRightInd w:val="0"/>
              <w:snapToGrid w:val="0"/>
              <w:spacing w:before="156" w:beforeLines="50" w:after="93" w:afterLines="30" w:line="360" w:lineRule="auto"/>
              <w:jc w:val="left"/>
              <w:rPr>
                <w:rFonts w:ascii="仿宋" w:hAnsi="仿宋" w:eastAsia="仿宋"/>
                <w:color w:val="000000"/>
                <w:sz w:val="24"/>
                <w:szCs w:val="24"/>
              </w:rPr>
            </w:pPr>
            <w:r>
              <w:rPr>
                <w:rFonts w:hint="eastAsia" w:ascii="仿宋" w:hAnsi="仿宋" w:eastAsia="仿宋"/>
                <w:color w:val="000000"/>
                <w:sz w:val="24"/>
                <w:szCs w:val="24"/>
              </w:rPr>
              <w:t>董事会秘书：曹维</w:t>
            </w:r>
          </w:p>
        </w:tc>
      </w:tr>
      <w:tr w14:paraId="47977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5C55D749">
            <w:pPr>
              <w:wordWrap w:val="0"/>
              <w:adjustRightInd w:val="0"/>
              <w:snapToGrid w:val="0"/>
              <w:spacing w:after="0" w:line="360" w:lineRule="auto"/>
              <w:jc w:val="center"/>
              <w:rPr>
                <w:rFonts w:ascii="仿宋" w:hAnsi="仿宋" w:eastAsia="仿宋"/>
                <w:color w:val="000000"/>
                <w:sz w:val="24"/>
                <w:szCs w:val="24"/>
              </w:rPr>
            </w:pPr>
            <w:r>
              <w:rPr>
                <w:rFonts w:hint="eastAsia" w:ascii="仿宋" w:hAnsi="仿宋" w:eastAsia="仿宋"/>
                <w:color w:val="000000"/>
                <w:sz w:val="24"/>
                <w:szCs w:val="24"/>
              </w:rPr>
              <w:t>投资者关系活动主要内容介绍</w:t>
            </w:r>
          </w:p>
        </w:tc>
        <w:tc>
          <w:tcPr>
            <w:tcW w:w="7267" w:type="dxa"/>
            <w:tcBorders>
              <w:top w:val="single" w:color="auto" w:sz="4" w:space="0"/>
              <w:left w:val="nil"/>
              <w:bottom w:val="single" w:color="auto" w:sz="4" w:space="0"/>
              <w:right w:val="single" w:color="auto" w:sz="4" w:space="0"/>
            </w:tcBorders>
            <w:vAlign w:val="center"/>
          </w:tcPr>
          <w:p w14:paraId="5161B194">
            <w:pPr>
              <w:rPr>
                <w:rFonts w:ascii="仿宋" w:hAnsi="仿宋" w:eastAsia="仿宋"/>
                <w:sz w:val="24"/>
                <w:szCs w:val="24"/>
              </w:rPr>
            </w:pPr>
            <w:r>
              <w:rPr>
                <w:rFonts w:hint="eastAsia" w:ascii="仿宋" w:hAnsi="仿宋" w:eastAsia="仿宋"/>
                <w:sz w:val="24"/>
                <w:szCs w:val="24"/>
              </w:rPr>
              <w:t>投资者提出的问题及公司回复情况公司就投资者在本次说明会中提出的问题进行了回复：</w:t>
            </w:r>
          </w:p>
          <w:p w14:paraId="6A93EAF2">
            <w:pPr>
              <w:rPr>
                <w:rFonts w:ascii="仿宋" w:hAnsi="仿宋" w:eastAsia="仿宋"/>
                <w:b/>
                <w:bCs/>
                <w:sz w:val="24"/>
                <w:szCs w:val="24"/>
              </w:rPr>
            </w:pPr>
            <w:r>
              <w:rPr>
                <w:rFonts w:hint="eastAsia" w:ascii="仿宋" w:hAnsi="仿宋" w:eastAsia="仿宋"/>
                <w:b/>
                <w:bCs/>
                <w:sz w:val="24"/>
                <w:szCs w:val="24"/>
              </w:rPr>
              <w:t>1、公司本期盈利水平如何？</w:t>
            </w:r>
          </w:p>
          <w:p w14:paraId="7AA25C44">
            <w:pPr>
              <w:ind w:firstLine="480" w:firstLineChars="200"/>
              <w:rPr>
                <w:rFonts w:ascii="仿宋" w:hAnsi="仿宋" w:eastAsia="仿宋"/>
                <w:sz w:val="24"/>
                <w:szCs w:val="24"/>
              </w:rPr>
            </w:pPr>
            <w:r>
              <w:rPr>
                <w:rFonts w:hint="eastAsia" w:ascii="仿宋" w:hAnsi="仿宋" w:eastAsia="仿宋"/>
                <w:sz w:val="24"/>
                <w:szCs w:val="24"/>
              </w:rPr>
              <w:t>2024年度外部环境复杂多变，智慧城市行业竞争加剧，公司实现营业收入223,633,009.1元，归母净利润-49,552,838.46元。公司将继续围绕“转型、提质”的战略总目标，紧抓“数字经济”发展机遇，巩固夯实“智慧政务、智慧教育、智慧医疗、智慧交通、智慧企业”等领域既有优势，全力提升方案解决能力，同时稳步拓展算力服务、智慧轨道、数字能源等新业务。在战略总目标指引下，公司将构建算力支撑坚实、数据驱动高效、应用创新活跃的全方位、多层次数字化服务体系，为公司在数字经济时代的可持续发展打开全新空间。</w:t>
            </w:r>
          </w:p>
          <w:p w14:paraId="77C4518B">
            <w:pPr>
              <w:ind w:firstLine="480" w:firstLineChars="200"/>
              <w:rPr>
                <w:rFonts w:ascii="仿宋" w:hAnsi="仿宋" w:eastAsia="仿宋"/>
                <w:sz w:val="24"/>
                <w:szCs w:val="24"/>
              </w:rPr>
            </w:pPr>
            <w:r>
              <w:rPr>
                <w:rFonts w:hint="eastAsia" w:ascii="仿宋" w:hAnsi="仿宋" w:eastAsia="仿宋"/>
                <w:sz w:val="24"/>
                <w:szCs w:val="24"/>
              </w:rPr>
              <w:t>2025年一季度，公司实现营业收入48,422,939.96元，归母净利润567,488.39元，归母扣非净利润1,414,010.09元，实现扭亏为盈。</w:t>
            </w:r>
          </w:p>
          <w:p w14:paraId="7CCDD12C">
            <w:pPr>
              <w:rPr>
                <w:rFonts w:ascii="仿宋" w:hAnsi="仿宋" w:eastAsia="仿宋"/>
                <w:b/>
                <w:bCs/>
                <w:sz w:val="24"/>
                <w:szCs w:val="24"/>
              </w:rPr>
            </w:pPr>
            <w:r>
              <w:rPr>
                <w:rFonts w:hint="eastAsia" w:ascii="仿宋" w:hAnsi="仿宋" w:eastAsia="仿宋"/>
                <w:b/>
                <w:bCs/>
                <w:sz w:val="24"/>
                <w:szCs w:val="24"/>
              </w:rPr>
              <w:t>2、2024年公司业绩下滑的原因</w:t>
            </w:r>
          </w:p>
          <w:p w14:paraId="5B9B8FE6">
            <w:pPr>
              <w:ind w:firstLine="480" w:firstLineChars="200"/>
              <w:rPr>
                <w:rFonts w:ascii="仿宋" w:hAnsi="仿宋" w:eastAsia="仿宋"/>
                <w:sz w:val="24"/>
                <w:szCs w:val="24"/>
              </w:rPr>
            </w:pPr>
            <w:r>
              <w:rPr>
                <w:rFonts w:hint="eastAsia" w:ascii="仿宋" w:hAnsi="仿宋" w:eastAsia="仿宋"/>
                <w:sz w:val="24"/>
                <w:szCs w:val="24"/>
              </w:rPr>
              <w:t>公司2024年全年实现营业收入22,363.30万元，实现扣非净利润-4,889.07万元，主要下滑原因是智慧城市行业市场需求放缓、竞争加剧，公司谨慎承接业务，导致本期营业收入和净利润同比有较大幅度下滑。同时报告期末应收账款较大，基于谨慎性原则，公司按照会计政策计提了应收账款减值准备2,511.00万元以及股权激励等费用951.18万元，对本期利润产生了较大影响。</w:t>
            </w:r>
          </w:p>
          <w:p w14:paraId="46505DCE">
            <w:pPr>
              <w:rPr>
                <w:rFonts w:ascii="仿宋" w:hAnsi="仿宋" w:eastAsia="仿宋"/>
                <w:b/>
                <w:bCs/>
                <w:sz w:val="24"/>
                <w:szCs w:val="24"/>
              </w:rPr>
            </w:pPr>
            <w:r>
              <w:rPr>
                <w:rFonts w:hint="eastAsia" w:ascii="仿宋" w:hAnsi="仿宋" w:eastAsia="仿宋"/>
                <w:b/>
                <w:bCs/>
                <w:sz w:val="24"/>
                <w:szCs w:val="24"/>
              </w:rPr>
              <w:t>3、公司之后的盈利有什么增长点？</w:t>
            </w:r>
          </w:p>
          <w:p w14:paraId="1753106E">
            <w:pPr>
              <w:ind w:firstLine="480" w:firstLineChars="200"/>
              <w:rPr>
                <w:rFonts w:hint="eastAsia" w:ascii="仿宋" w:hAnsi="仿宋" w:eastAsia="仿宋"/>
                <w:sz w:val="24"/>
                <w:szCs w:val="24"/>
              </w:rPr>
            </w:pPr>
            <w:r>
              <w:rPr>
                <w:rFonts w:hint="eastAsia" w:ascii="仿宋" w:hAnsi="仿宋" w:eastAsia="仿宋"/>
                <w:sz w:val="24"/>
                <w:szCs w:val="24"/>
              </w:rPr>
              <w:t>2024年，公司在继续巩固政务、教育、医疗等领域优势的同时，进一步开拓了智慧轨道交通、智慧企业、智慧能源业务。在智慧轨道交通方面，控股子公司广图粤科为智能电网及轨道交通智能供电智能运维的专家级技术供应商及核心服务商，报告期内持续中标广深铁路、衡阳供电段、广州供电段等重大项目。在智慧企业方面，公司凭借信息技术领域的深厚实力和创新能力，中标南方电网“信息化项目”“业务财务融合”等项目，成功入选汕头市中小企业数字化转型城市试点数字化牵引单位。智慧能源方面，公司已顺利切入智慧能源业务，目前在建与拟建项目共计约100MW，已实现并网发电项目3个，约30MW。</w:t>
            </w:r>
          </w:p>
          <w:p w14:paraId="5016C150">
            <w:pPr>
              <w:ind w:firstLine="480" w:firstLineChars="200"/>
              <w:rPr>
                <w:rFonts w:ascii="仿宋" w:hAnsi="仿宋" w:eastAsia="仿宋"/>
                <w:sz w:val="24"/>
                <w:szCs w:val="24"/>
              </w:rPr>
            </w:pPr>
            <w:r>
              <w:rPr>
                <w:rFonts w:hint="eastAsia" w:ascii="仿宋" w:hAnsi="仿宋" w:eastAsia="仿宋"/>
                <w:sz w:val="24"/>
                <w:szCs w:val="24"/>
              </w:rPr>
              <w:t>同时，公司加速布局数据要素和算力服务领域。数据要素方面，公司完成具有广东省首批数据经纪人资质的翼启数据的战略并购，翼启数据已开发出“养殖户经营健康指数”等多个数据产品推向市场，正在构建数据治理、确权、交易全链条服务能力，未来将依托国家大力发展数据产业的政策东风，持续拓展数据要素业务。算力服务方面，公司投资建设了位于深圳的算力集群服务项目，项目总算力规模达1000P@FP16，为首个落地深圳的国内头部大模型算力底座。公司将以该项目为契机，结合公司核心技术、资源等持续打造具有竞争力的算力服务综合解决方案。</w:t>
            </w:r>
          </w:p>
          <w:p w14:paraId="2B105980">
            <w:pPr>
              <w:ind w:firstLine="480" w:firstLineChars="200"/>
              <w:rPr>
                <w:rFonts w:ascii="仿宋" w:hAnsi="仿宋" w:eastAsia="仿宋"/>
                <w:sz w:val="24"/>
                <w:szCs w:val="24"/>
              </w:rPr>
            </w:pPr>
            <w:r>
              <w:rPr>
                <w:rFonts w:hint="eastAsia" w:ascii="仿宋" w:hAnsi="仿宋" w:eastAsia="仿宋"/>
                <w:sz w:val="24"/>
                <w:szCs w:val="24"/>
              </w:rPr>
              <w:t>截至报告期末，公司已获得在手订单约8亿元，为2025年业绩提升和改善打下坚实的基础。</w:t>
            </w:r>
          </w:p>
          <w:p w14:paraId="17925139">
            <w:pPr>
              <w:rPr>
                <w:rFonts w:ascii="仿宋" w:hAnsi="仿宋" w:eastAsia="仿宋"/>
                <w:b/>
                <w:bCs/>
                <w:sz w:val="24"/>
                <w:szCs w:val="24"/>
              </w:rPr>
            </w:pPr>
            <w:r>
              <w:rPr>
                <w:rFonts w:hint="eastAsia" w:ascii="仿宋" w:hAnsi="仿宋" w:eastAsia="仿宋"/>
                <w:b/>
                <w:bCs/>
                <w:sz w:val="24"/>
                <w:szCs w:val="24"/>
              </w:rPr>
              <w:t>4、你们行业本期整体业绩怎么样？你们跟其他公司比如何？</w:t>
            </w:r>
          </w:p>
          <w:p w14:paraId="078CA415">
            <w:pPr>
              <w:ind w:firstLine="480" w:firstLineChars="200"/>
              <w:rPr>
                <w:rFonts w:ascii="仿宋" w:hAnsi="仿宋" w:eastAsia="仿宋"/>
                <w:sz w:val="24"/>
                <w:szCs w:val="24"/>
              </w:rPr>
            </w:pPr>
            <w:r>
              <w:rPr>
                <w:rFonts w:hint="eastAsia" w:ascii="仿宋" w:hAnsi="仿宋" w:eastAsia="仿宋"/>
                <w:sz w:val="24"/>
                <w:szCs w:val="24"/>
              </w:rPr>
              <w:t>2024年智慧城市行业市场需求放缓、竞争加剧。公司谨慎承接业务，继续巩固政务、教育、医疗等领域优势，进一步开拓了智慧轨道交通、智慧企业、智慧能源业务；同时，公司加速布局数据要素和算力服务领域。2025年一季度财报，公司营收同比增长21.95%，净利润扭亏为盈，经营活动现金流同比改善超79%，反映出运营管理的成效。</w:t>
            </w:r>
          </w:p>
          <w:p w14:paraId="20D19BDE">
            <w:pPr>
              <w:rPr>
                <w:rFonts w:ascii="仿宋" w:hAnsi="仿宋" w:eastAsia="仿宋"/>
                <w:b/>
                <w:bCs/>
                <w:sz w:val="24"/>
                <w:szCs w:val="24"/>
              </w:rPr>
            </w:pPr>
            <w:r>
              <w:rPr>
                <w:rFonts w:hint="eastAsia" w:ascii="仿宋" w:hAnsi="仿宋" w:eastAsia="仿宋"/>
                <w:b/>
                <w:bCs/>
                <w:sz w:val="24"/>
                <w:szCs w:val="24"/>
              </w:rPr>
              <w:t>5、贵公司在整个市场环境下行的情况下能否详细的阐述一下未来发展战略规划！</w:t>
            </w:r>
          </w:p>
          <w:p w14:paraId="672ED121">
            <w:pPr>
              <w:ind w:firstLine="480" w:firstLineChars="200"/>
              <w:rPr>
                <w:rFonts w:ascii="仿宋" w:hAnsi="仿宋" w:eastAsia="仿宋"/>
                <w:sz w:val="24"/>
                <w:szCs w:val="24"/>
              </w:rPr>
            </w:pPr>
            <w:r>
              <w:rPr>
                <w:rFonts w:hint="eastAsia" w:ascii="仿宋" w:hAnsi="仿宋" w:eastAsia="仿宋"/>
                <w:sz w:val="24"/>
                <w:szCs w:val="24"/>
              </w:rPr>
              <w:t>2025年，公司继续围绕“转型、提质”的战略总目标，紧抓“数字经济”发展机遇，坚持内生增长与外部并购相结合策略，不断增强自身实力和核心竞争力。</w:t>
            </w:r>
          </w:p>
          <w:p w14:paraId="39231383">
            <w:pPr>
              <w:ind w:firstLine="480" w:firstLineChars="200"/>
              <w:rPr>
                <w:rFonts w:ascii="仿宋" w:hAnsi="仿宋" w:eastAsia="仿宋"/>
                <w:sz w:val="24"/>
                <w:szCs w:val="24"/>
              </w:rPr>
            </w:pPr>
            <w:r>
              <w:rPr>
                <w:rFonts w:hint="eastAsia" w:ascii="仿宋" w:hAnsi="仿宋" w:eastAsia="仿宋"/>
                <w:sz w:val="24"/>
                <w:szCs w:val="24"/>
              </w:rPr>
              <w:t>在原有核心业务方面，我们巩固夯实“智慧政务、智慧教育、智慧医疗、智慧交通、智慧企业”等领域既有优势，全力提升方案解决能力；同时稳步拓展算力服务、智慧轨道、数字能源等新业务。截至报告期末，公司已获得在手订单约8亿元，为2025年业绩提升和改善打下坚实的基础。</w:t>
            </w:r>
          </w:p>
          <w:p w14:paraId="05519940">
            <w:pPr>
              <w:ind w:firstLine="480" w:firstLineChars="200"/>
              <w:rPr>
                <w:rFonts w:ascii="仿宋" w:hAnsi="仿宋" w:eastAsia="仿宋"/>
                <w:sz w:val="24"/>
                <w:szCs w:val="24"/>
              </w:rPr>
            </w:pPr>
            <w:r>
              <w:rPr>
                <w:rFonts w:hint="eastAsia" w:ascii="仿宋" w:hAnsi="仿宋" w:eastAsia="仿宋"/>
                <w:sz w:val="24"/>
                <w:szCs w:val="24"/>
              </w:rPr>
              <w:t>另一方面，公司大力推进外部并购，积极布局新赛道。公司将充分利用上市公司的平台和资源优势，通过资本运作实现企业价值再发现与资源再配置。2025年公司将抓紧抓实重点项目，加强项目储备和渠道拜访，广泛调研、实地走访、接触优质企业，积累标的资产备选库资源。加强资本运作力度，不断增强自身实力和核心竞争力，优化产业布局和产品结构，推进公司业务提质、转型。</w:t>
            </w:r>
          </w:p>
          <w:p w14:paraId="682BBAA3">
            <w:pPr>
              <w:rPr>
                <w:rFonts w:ascii="仿宋" w:hAnsi="仿宋" w:eastAsia="仿宋"/>
                <w:b/>
                <w:bCs/>
                <w:sz w:val="24"/>
                <w:szCs w:val="24"/>
              </w:rPr>
            </w:pPr>
            <w:r>
              <w:rPr>
                <w:rFonts w:hint="eastAsia" w:ascii="仿宋" w:hAnsi="仿宋" w:eastAsia="仿宋"/>
                <w:b/>
                <w:bCs/>
                <w:sz w:val="24"/>
                <w:szCs w:val="24"/>
              </w:rPr>
              <w:t>6、请问贵司目前算力业务在手订单量多少，公司接下来会加大算力业务的经营比重不？</w:t>
            </w:r>
          </w:p>
          <w:p w14:paraId="6C0DA146">
            <w:pPr>
              <w:ind w:firstLine="480" w:firstLineChars="200"/>
              <w:rPr>
                <w:rFonts w:ascii="仿宋" w:hAnsi="仿宋" w:eastAsia="仿宋"/>
                <w:sz w:val="24"/>
                <w:szCs w:val="24"/>
              </w:rPr>
            </w:pPr>
            <w:r>
              <w:rPr>
                <w:rFonts w:hint="eastAsia" w:ascii="仿宋" w:hAnsi="仿宋" w:eastAsia="仿宋"/>
                <w:sz w:val="24"/>
                <w:szCs w:val="24"/>
              </w:rPr>
              <w:t>公司已于2024年12月6日披露了《关于签订日常经营重大合同暨算力服务项目进展公告》，公司与中国移动通信集团广东有限公司深圳分公司签订了《深圳分公司与某客户算力网络集群服务项目算力服务实施合同》和《深圳分公司与某客户算力网络集群服务项目算力维保服务实施合同》，合同金额分别为人民币330,860,400.00元（含税）和人民币51,697,584.00元（含税），公司算力项目已于2024年12月9日完成合同约定的算力服务整体交付内容，总算力规模达1000P@FP16。上述项目已于2025年2月1日正式计费，未来公司将继续积极拓展算力业务。</w:t>
            </w:r>
          </w:p>
          <w:p w14:paraId="1F3812D8">
            <w:pPr>
              <w:rPr>
                <w:rFonts w:ascii="仿宋" w:hAnsi="仿宋" w:eastAsia="仿宋"/>
                <w:b/>
                <w:bCs/>
                <w:sz w:val="24"/>
                <w:szCs w:val="24"/>
              </w:rPr>
            </w:pPr>
            <w:r>
              <w:rPr>
                <w:rFonts w:hint="eastAsia" w:ascii="仿宋" w:hAnsi="仿宋" w:eastAsia="仿宋"/>
                <w:b/>
                <w:bCs/>
                <w:sz w:val="24"/>
                <w:szCs w:val="24"/>
              </w:rPr>
              <w:t>7、最近算力市场竞争激烈，同时算力还是重资产投入的行业，公司如何保证持续健康发展？具体有什么措施？</w:t>
            </w:r>
          </w:p>
          <w:p w14:paraId="310D0CA8">
            <w:pPr>
              <w:ind w:firstLine="480" w:firstLineChars="200"/>
              <w:rPr>
                <w:rFonts w:ascii="仿宋" w:hAnsi="仿宋" w:eastAsia="仿宋"/>
                <w:sz w:val="24"/>
                <w:szCs w:val="24"/>
              </w:rPr>
            </w:pPr>
            <w:r>
              <w:rPr>
                <w:rFonts w:hint="eastAsia" w:ascii="仿宋" w:hAnsi="仿宋" w:eastAsia="仿宋"/>
                <w:sz w:val="24"/>
                <w:szCs w:val="24"/>
              </w:rPr>
              <w:t>面对算力市场的激烈竞争与重资产投入特性，公司通过多维战略布局与精细化运营实现可持续发展。在技术创新层面，公司依托深圳研发中心的建成运营，持续加大研发投入，吸引高端科研人才。</w:t>
            </w:r>
          </w:p>
          <w:p w14:paraId="513AEA86">
            <w:pPr>
              <w:ind w:firstLine="480" w:firstLineChars="200"/>
              <w:rPr>
                <w:rFonts w:ascii="仿宋" w:hAnsi="仿宋" w:eastAsia="仿宋"/>
                <w:sz w:val="24"/>
                <w:szCs w:val="24"/>
              </w:rPr>
            </w:pPr>
            <w:r>
              <w:rPr>
                <w:rFonts w:hint="eastAsia" w:ascii="仿宋" w:hAnsi="仿宋" w:eastAsia="仿宋"/>
                <w:sz w:val="24"/>
                <w:szCs w:val="24"/>
              </w:rPr>
              <w:t>在业务拓展方面，天亿马继续围绕“转型、提质”的战略总目标。一方面巩固智慧政府、智慧教育、智慧医疗等智慧城市领域优势；另一方面加速布局算力服务、智慧能源、智慧轨道交通、数据要素等新赛道。</w:t>
            </w:r>
          </w:p>
          <w:p w14:paraId="3D7BFC2A">
            <w:pPr>
              <w:ind w:firstLine="480" w:firstLineChars="200"/>
              <w:rPr>
                <w:rFonts w:ascii="仿宋" w:hAnsi="仿宋" w:eastAsia="仿宋"/>
                <w:sz w:val="24"/>
                <w:szCs w:val="24"/>
              </w:rPr>
            </w:pPr>
            <w:r>
              <w:rPr>
                <w:rFonts w:hint="eastAsia" w:ascii="仿宋" w:hAnsi="仿宋" w:eastAsia="仿宋"/>
                <w:sz w:val="24"/>
                <w:szCs w:val="24"/>
              </w:rPr>
              <w:t>2024年底建成的深圳开放智算中心1000P@FP16智能算力已正式投入运营，成为大湾区人工智能算力底座。同时，公司通过并购广东翼启，完善数据要素全链条服务能力，开发融合公共数据与企业数据的产品，并在广州数据交易所上架，拓展数据交易市场。此外，公司利用全国首批DRCA证书与数据治理、确权、交易全链条服务能力优势，推动数据合规流动与价值释放。同时，公司将充分利用上市公司平台和资源优势，加强资本运作并购力度，大力推进外部并购，积极布局新赛道，优化产业布局和产品结构。</w:t>
            </w:r>
          </w:p>
          <w:p w14:paraId="2F5D479B">
            <w:pPr>
              <w:ind w:firstLine="480" w:firstLineChars="200"/>
              <w:rPr>
                <w:rFonts w:ascii="仿宋" w:hAnsi="仿宋" w:eastAsia="仿宋"/>
                <w:sz w:val="24"/>
                <w:szCs w:val="24"/>
              </w:rPr>
            </w:pPr>
            <w:r>
              <w:rPr>
                <w:rFonts w:hint="eastAsia" w:ascii="仿宋" w:hAnsi="仿宋" w:eastAsia="仿宋"/>
                <w:sz w:val="24"/>
                <w:szCs w:val="24"/>
              </w:rPr>
              <w:t>2025年一季度财报显示，公司营收同比增长21.95%，净利润扭亏为盈，经营活动现金流同比改善超79%，反映出运营管理的成效。同时，公司加强项目全周期管理，特别是对算力集群等重资产项目的风险管控，通过精细化运营平衡投入与回报。未来，公司将继续聚焦数字经济发展趋势，通过技术引领、生态协同与精细化运营，在算力市场中构建可持续的竞争优势。</w:t>
            </w:r>
          </w:p>
          <w:p w14:paraId="6B83E6BF">
            <w:pPr>
              <w:rPr>
                <w:rFonts w:ascii="仿宋" w:hAnsi="仿宋" w:eastAsia="仿宋"/>
                <w:b/>
                <w:bCs/>
                <w:sz w:val="24"/>
                <w:szCs w:val="24"/>
              </w:rPr>
            </w:pPr>
            <w:r>
              <w:rPr>
                <w:rFonts w:hint="eastAsia" w:ascii="仿宋" w:hAnsi="仿宋" w:eastAsia="仿宋"/>
                <w:b/>
                <w:bCs/>
                <w:sz w:val="24"/>
                <w:szCs w:val="24"/>
              </w:rPr>
              <w:t>8、公司与DeepSeek进展到哪一环节了？</w:t>
            </w:r>
          </w:p>
          <w:p w14:paraId="3AF0EA10">
            <w:pPr>
              <w:ind w:firstLine="480" w:firstLineChars="200"/>
              <w:rPr>
                <w:rFonts w:ascii="仿宋" w:hAnsi="仿宋" w:eastAsia="仿宋"/>
                <w:sz w:val="24"/>
                <w:szCs w:val="24"/>
              </w:rPr>
            </w:pPr>
            <w:r>
              <w:rPr>
                <w:rFonts w:hint="eastAsia" w:ascii="仿宋" w:hAnsi="仿宋" w:eastAsia="仿宋"/>
                <w:sz w:val="24"/>
                <w:szCs w:val="24"/>
              </w:rPr>
              <w:t>公司内部办公系统已完成DeepSeek的本地化接入和部署，通过智能交互进一步提升工作效率。公司下属公司“广东翼启”开发的政务服务智能导引和问答的产品：翼启AI政务管家已接入DeepSeek，并且正在向建设企业内部应用的人工智能体方向拓展。该事项暂未产生业务收入，敬请各位投资者注意投资风险、理性投资。</w:t>
            </w:r>
          </w:p>
          <w:p w14:paraId="650446A5">
            <w:pPr>
              <w:rPr>
                <w:rFonts w:ascii="仿宋" w:hAnsi="仿宋" w:eastAsia="仿宋"/>
                <w:b/>
                <w:bCs/>
                <w:sz w:val="24"/>
                <w:szCs w:val="24"/>
              </w:rPr>
            </w:pPr>
            <w:r>
              <w:rPr>
                <w:rFonts w:hint="eastAsia" w:ascii="仿宋" w:hAnsi="仿宋" w:eastAsia="仿宋"/>
                <w:b/>
                <w:bCs/>
                <w:sz w:val="24"/>
                <w:szCs w:val="24"/>
              </w:rPr>
              <w:t>9、股东近期减持是如何考量？</w:t>
            </w:r>
          </w:p>
          <w:p w14:paraId="3C2AF1CD">
            <w:pPr>
              <w:ind w:firstLine="480" w:firstLineChars="200"/>
              <w:rPr>
                <w:rFonts w:ascii="仿宋" w:hAnsi="仿宋" w:eastAsia="仿宋"/>
                <w:sz w:val="24"/>
                <w:szCs w:val="24"/>
              </w:rPr>
            </w:pPr>
            <w:r>
              <w:rPr>
                <w:rFonts w:hint="eastAsia" w:ascii="仿宋" w:hAnsi="仿宋" w:eastAsia="仿宋"/>
                <w:sz w:val="24"/>
                <w:szCs w:val="24"/>
              </w:rPr>
              <w:t>公司股东减持往往是基于多种因素考量，包括但不限于股东自身资金需求等原因。公司控股股东、实际控制人基于对公司未来发展的信心，自上市以来从未减持其持有的公司股份，也无减持计划。同时，公司董事长、总经理和全体员工一起在不断为提高公司综合实力和核心竞争力努力奋斗，尽最大的努力为股东创造更大价值。</w:t>
            </w:r>
          </w:p>
        </w:tc>
      </w:tr>
      <w:tr w14:paraId="3FC2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4DAD12B4">
            <w:pPr>
              <w:wordWrap w:val="0"/>
              <w:adjustRightInd w:val="0"/>
              <w:snapToGrid w:val="0"/>
              <w:spacing w:after="0" w:line="360" w:lineRule="auto"/>
              <w:jc w:val="center"/>
              <w:rPr>
                <w:rFonts w:ascii="仿宋" w:hAnsi="仿宋" w:eastAsia="仿宋"/>
                <w:sz w:val="24"/>
                <w:szCs w:val="24"/>
              </w:rPr>
            </w:pPr>
            <w:r>
              <w:rPr>
                <w:rFonts w:hint="eastAsia" w:ascii="仿宋" w:hAnsi="仿宋" w:eastAsia="仿宋"/>
                <w:color w:val="000000"/>
                <w:sz w:val="24"/>
                <w:szCs w:val="24"/>
              </w:rPr>
              <w:t>附件清单</w:t>
            </w:r>
          </w:p>
        </w:tc>
        <w:tc>
          <w:tcPr>
            <w:tcW w:w="7267" w:type="dxa"/>
            <w:tcBorders>
              <w:top w:val="single" w:color="auto" w:sz="4" w:space="0"/>
              <w:left w:val="nil"/>
              <w:bottom w:val="single" w:color="auto" w:sz="4" w:space="0"/>
              <w:right w:val="single" w:color="auto" w:sz="4" w:space="0"/>
            </w:tcBorders>
            <w:vAlign w:val="center"/>
          </w:tcPr>
          <w:p w14:paraId="6501F071">
            <w:pPr>
              <w:wordWrap w:val="0"/>
              <w:adjustRightInd w:val="0"/>
              <w:snapToGrid w:val="0"/>
              <w:jc w:val="left"/>
              <w:rPr>
                <w:rFonts w:ascii="仿宋" w:hAnsi="仿宋" w:eastAsia="仿宋"/>
                <w:sz w:val="24"/>
                <w:szCs w:val="24"/>
              </w:rPr>
            </w:pPr>
            <w:r>
              <w:rPr>
                <w:rFonts w:hint="eastAsia" w:ascii="仿宋" w:hAnsi="仿宋" w:eastAsia="仿宋"/>
                <w:color w:val="000000"/>
                <w:sz w:val="24"/>
                <w:szCs w:val="24"/>
              </w:rPr>
              <w:t>无</w:t>
            </w:r>
          </w:p>
        </w:tc>
      </w:tr>
      <w:tr w14:paraId="7326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tcBorders>
              <w:top w:val="single" w:color="auto" w:sz="4" w:space="0"/>
              <w:left w:val="single" w:color="auto" w:sz="4" w:space="0"/>
              <w:bottom w:val="single" w:color="auto" w:sz="4" w:space="0"/>
              <w:right w:val="single" w:color="auto" w:sz="4" w:space="0"/>
            </w:tcBorders>
            <w:vAlign w:val="center"/>
          </w:tcPr>
          <w:p w14:paraId="00AF9D0C">
            <w:pPr>
              <w:wordWrap w:val="0"/>
              <w:adjustRightInd w:val="0"/>
              <w:snapToGrid w:val="0"/>
              <w:spacing w:after="0" w:line="360" w:lineRule="auto"/>
              <w:jc w:val="center"/>
              <w:rPr>
                <w:rFonts w:ascii="仿宋" w:hAnsi="仿宋" w:eastAsia="仿宋"/>
                <w:sz w:val="24"/>
                <w:szCs w:val="24"/>
              </w:rPr>
            </w:pPr>
            <w:r>
              <w:rPr>
                <w:rFonts w:hint="eastAsia" w:ascii="仿宋" w:hAnsi="仿宋" w:eastAsia="仿宋"/>
                <w:color w:val="000000"/>
                <w:sz w:val="24"/>
                <w:szCs w:val="24"/>
              </w:rPr>
              <w:t>日期</w:t>
            </w:r>
          </w:p>
        </w:tc>
        <w:tc>
          <w:tcPr>
            <w:tcW w:w="7267" w:type="dxa"/>
            <w:tcBorders>
              <w:top w:val="single" w:color="auto" w:sz="4" w:space="0"/>
              <w:left w:val="nil"/>
              <w:bottom w:val="single" w:color="auto" w:sz="4" w:space="0"/>
              <w:right w:val="single" w:color="auto" w:sz="4" w:space="0"/>
            </w:tcBorders>
            <w:vAlign w:val="center"/>
          </w:tcPr>
          <w:p w14:paraId="4E0DABA1">
            <w:pPr>
              <w:wordWrap w:val="0"/>
              <w:adjustRightInd w:val="0"/>
              <w:snapToGrid w:val="0"/>
              <w:jc w:val="left"/>
              <w:rPr>
                <w:rFonts w:ascii="仿宋" w:hAnsi="仿宋" w:eastAsia="仿宋"/>
                <w:sz w:val="24"/>
                <w:szCs w:val="24"/>
              </w:rPr>
            </w:pPr>
            <w:r>
              <w:rPr>
                <w:rFonts w:hint="eastAsia" w:ascii="仿宋" w:hAnsi="仿宋" w:eastAsia="仿宋"/>
                <w:color w:val="000000"/>
                <w:sz w:val="24"/>
                <w:szCs w:val="24"/>
              </w:rPr>
              <w:t>2025年5月12日</w:t>
            </w:r>
          </w:p>
        </w:tc>
      </w:tr>
    </w:tbl>
    <w:p w14:paraId="6B2B7775">
      <w:pPr>
        <w:jc w:val="left"/>
        <w:rPr>
          <w:rFonts w:ascii="仿宋" w:hAnsi="仿宋" w:eastAsia="仿宋"/>
        </w:rPr>
      </w:pPr>
      <w:r>
        <w:rPr>
          <w:rFonts w:hint="eastAsia" w:ascii="仿宋" w:hAnsi="仿宋" w:eastAsia="仿宋"/>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Times New Roman"/>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40"/>
  <w:drawingGridVerticalSpacing w:val="156"/>
  <w:displayHorizontalDrawingGridEvery w:val="0"/>
  <w:displayVerticalDrawingGridEvery w:val="2"/>
  <w:noPunctuationKerning w:val="1"/>
  <w:characterSpacingControl w:val="compressPunctuation"/>
  <w:footnotePr>
    <w:footnote w:id="0"/>
    <w:footnote w:id="1"/>
  </w:footnotePr>
  <w:compat>
    <w:balanceSingleByteDoubleByteWidth/>
    <w:doNotExpandShiftReturn/>
    <w:adjustLineHeightInTable/>
    <w:doNotSnapToGridInCell/>
    <w:doNotWrapTextWithPunct/>
    <w:doNotUseEastAsianBreakRules/>
    <w:useFELayout/>
    <w:compatSetting w:name="compatibilityMode" w:uri="http://schemas.microsoft.com/office/word" w:val="14"/>
  </w:compat>
  <w:rsids>
    <w:rsidRoot w:val="00521E9B"/>
    <w:rsid w:val="003006CC"/>
    <w:rsid w:val="003B1B35"/>
    <w:rsid w:val="00521E9B"/>
    <w:rsid w:val="007575E5"/>
    <w:rsid w:val="007950DF"/>
    <w:rsid w:val="007A4819"/>
    <w:rsid w:val="008256C4"/>
    <w:rsid w:val="008950FC"/>
    <w:rsid w:val="00C425ED"/>
    <w:rsid w:val="00D34D9B"/>
    <w:rsid w:val="00DB37ED"/>
    <w:rsid w:val="00E30B5A"/>
    <w:rsid w:val="00ED550F"/>
    <w:rsid w:val="1FF561AE"/>
    <w:rsid w:val="61AB3F6F"/>
    <w:rsid w:val="71BB3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semiHidden="0" w:name="Table Simple 1"/>
    <w:lsdException w:uiPriority="99" w:semiHidden="0" w:name="Table Simple 2"/>
    <w:lsdException w:uiPriority="99" w:semiHidden="0" w:name="Table Simple 3"/>
    <w:lsdException w:uiPriority="99" w:semiHidden="0" w:name="Table Classic 1"/>
    <w:lsdException w:uiPriority="99" w:semiHidden="0" w:name="Table Classic 2"/>
    <w:lsdException w:uiPriority="99" w:semiHidden="0" w:name="Table Classic 3"/>
    <w:lsdException w:uiPriority="99" w:semiHidden="0" w:name="Table Classic 4"/>
    <w:lsdException w:uiPriority="99" w:semiHidden="0" w:name="Table Colorful 1"/>
    <w:lsdException w:uiPriority="99" w:semiHidden="0" w:name="Table Colorful 2"/>
    <w:lsdException w:uiPriority="99" w:semiHidden="0" w:name="Table Colorful 3"/>
    <w:lsdException w:uiPriority="99" w:semiHidden="0" w:name="Table Columns 1"/>
    <w:lsdException w:uiPriority="99" w:semiHidden="0" w:name="Table Columns 2"/>
    <w:lsdException w:uiPriority="99" w:semiHidden="0" w:name="Table Columns 3"/>
    <w:lsdException w:uiPriority="99" w:semiHidden="0" w:name="Table Columns 4"/>
    <w:lsdException w:uiPriority="99" w:semiHidden="0" w:name="Table Columns 5"/>
    <w:lsdException w:uiPriority="99" w:semiHidden="0" w:name="Table Grid 1"/>
    <w:lsdException w:uiPriority="99" w:semiHidden="0" w:name="Table Grid 2"/>
    <w:lsdException w:uiPriority="99" w:semiHidden="0" w:name="Table Grid 3"/>
    <w:lsdException w:uiPriority="99" w:semiHidden="0" w:name="Table Grid 4"/>
    <w:lsdException w:uiPriority="99" w:semiHidden="0" w:name="Table Grid 5"/>
    <w:lsdException w:uiPriority="99" w:semiHidden="0" w:name="Table Grid 6"/>
    <w:lsdException w:uiPriority="99" w:semiHidden="0" w:name="Table Grid 7"/>
    <w:lsdException w:uiPriority="99" w:semiHidden="0" w:name="Table Grid 8"/>
    <w:lsdException w:uiPriority="99" w:semiHidden="0" w:name="Table List 1"/>
    <w:lsdException w:uiPriority="99" w:semiHidden="0" w:name="Table List 2"/>
    <w:lsdException w:uiPriority="99" w:semiHidden="0" w:name="Table List 3"/>
    <w:lsdException w:uiPriority="99" w:semiHidden="0" w:name="Table List 4"/>
    <w:lsdException w:uiPriority="99" w:semiHidden="0" w:name="Table List 5"/>
    <w:lsdException w:uiPriority="99" w:semiHidden="0" w:name="Table List 6"/>
    <w:lsdException w:uiPriority="99" w:semiHidden="0" w:name="Table List 7"/>
    <w:lsdException w:uiPriority="99" w:semiHidden="0" w:name="Table List 8"/>
    <w:lsdException w:uiPriority="99" w:semiHidden="0" w:name="Table 3D effects 1"/>
    <w:lsdException w:uiPriority="99" w:semiHidden="0" w:name="Table 3D effects 2"/>
    <w:lsdException w:uiPriority="99" w:semiHidden="0" w:name="Table 3D effects 3"/>
    <w:lsdException w:uiPriority="99" w:semiHidden="0" w:name="Table Contemporary"/>
    <w:lsdException w:uiPriority="99" w:semiHidden="0" w:name="Table Elegant"/>
    <w:lsdException w:uiPriority="99" w:semiHidden="0" w:name="Table Professional"/>
    <w:lsdException w:uiPriority="99" w:semiHidden="0" w:name="Table Subtle 1"/>
    <w:lsdException w:uiPriority="99" w:semiHidden="0" w:name="Table Subtle 2"/>
    <w:lsdException w:uiPriority="99" w:semiHidden="0" w:name="Table Web 1"/>
    <w:lsdException w:uiPriority="99" w:semiHidden="0" w:name="Table Web 2"/>
    <w:lsdException w:uiPriority="99" w:semiHidden="0" w:name="Table Web 3"/>
    <w:lsdException w:qFormat="1" w:unhideWhenUsed="0" w:uiPriority="0" w:semiHidden="0" w:name="Balloon Text"/>
    <w:lsdException w:qFormat="1" w:uiPriority="9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jc w:val="both"/>
    </w:pPr>
    <w:rPr>
      <w:rFonts w:ascii="等线" w:hAnsi="等线" w:eastAsia="宋体" w:cs="Times New Roman"/>
      <w:kern w:val="2"/>
      <w:sz w:val="22"/>
      <w:szCs w:val="22"/>
      <w:lang w:val="en-US" w:eastAsia="zh-CN" w:bidi="ar-SA"/>
    </w:rPr>
  </w:style>
  <w:style w:type="paragraph" w:styleId="2">
    <w:name w:val="heading 1"/>
    <w:basedOn w:val="3"/>
    <w:next w:val="1"/>
    <w:qFormat/>
    <w:uiPriority w:val="9"/>
    <w:pPr>
      <w:outlineLvl w:val="0"/>
    </w:pPr>
    <w:rPr>
      <w:b/>
      <w:bCs/>
      <w:kern w:val="44"/>
      <w:sz w:val="48"/>
      <w:szCs w:val="48"/>
    </w:rPr>
  </w:style>
  <w:style w:type="paragraph" w:styleId="4">
    <w:name w:val="heading 2"/>
    <w:basedOn w:val="3"/>
    <w:next w:val="1"/>
    <w:qFormat/>
    <w:uiPriority w:val="9"/>
    <w:pPr>
      <w:outlineLvl w:val="1"/>
    </w:pPr>
    <w:rPr>
      <w:b/>
      <w:bCs/>
      <w:sz w:val="36"/>
      <w:szCs w:val="36"/>
    </w:rPr>
  </w:style>
  <w:style w:type="paragraph" w:styleId="5">
    <w:name w:val="heading 3"/>
    <w:basedOn w:val="3"/>
    <w:next w:val="1"/>
    <w:qFormat/>
    <w:uiPriority w:val="9"/>
    <w:pPr>
      <w:outlineLvl w:val="2"/>
    </w:pPr>
    <w:rPr>
      <w:b/>
      <w:bCs/>
      <w:sz w:val="27"/>
      <w:szCs w:val="27"/>
    </w:rPr>
  </w:style>
  <w:style w:type="paragraph" w:styleId="6">
    <w:name w:val="heading 4"/>
    <w:basedOn w:val="3"/>
    <w:next w:val="1"/>
    <w:qFormat/>
    <w:uiPriority w:val="9"/>
    <w:pPr>
      <w:outlineLvl w:val="3"/>
    </w:pPr>
    <w:rPr>
      <w:b/>
      <w:bCs/>
    </w:rPr>
  </w:style>
  <w:style w:type="paragraph" w:styleId="7">
    <w:name w:val="heading 5"/>
    <w:basedOn w:val="3"/>
    <w:next w:val="1"/>
    <w:qFormat/>
    <w:uiPriority w:val="9"/>
    <w:pPr>
      <w:outlineLvl w:val="4"/>
    </w:pPr>
    <w:rPr>
      <w:b/>
      <w:bCs/>
      <w:sz w:val="20"/>
      <w:szCs w:val="20"/>
    </w:rPr>
  </w:style>
  <w:style w:type="paragraph" w:styleId="8">
    <w:name w:val="heading 6"/>
    <w:basedOn w:val="3"/>
    <w:next w:val="1"/>
    <w:qFormat/>
    <w:uiPriority w:val="9"/>
    <w:pPr>
      <w:outlineLvl w:val="5"/>
    </w:pPr>
    <w:rPr>
      <w:b/>
      <w:bCs/>
      <w:sz w:val="15"/>
      <w:szCs w:val="1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3">
    <w:name w:val="msonormal"/>
    <w:basedOn w:val="1"/>
    <w:qFormat/>
    <w:uiPriority w:val="0"/>
    <w:pPr>
      <w:spacing w:before="100" w:beforeAutospacing="1" w:after="100" w:afterAutospacing="1"/>
      <w:jc w:val="left"/>
    </w:pPr>
    <w:rPr>
      <w:rFonts w:ascii="宋体" w:hAnsi="宋体" w:cs="宋体"/>
      <w:kern w:val="0"/>
      <w:sz w:val="24"/>
      <w:szCs w:val="24"/>
    </w:rPr>
  </w:style>
  <w:style w:type="paragraph" w:styleId="9">
    <w:name w:val="annotation text"/>
    <w:basedOn w:val="1"/>
    <w:link w:val="36"/>
    <w:qFormat/>
    <w:uiPriority w:val="0"/>
    <w:pPr>
      <w:jc w:val="left"/>
    </w:pPr>
  </w:style>
  <w:style w:type="paragraph" w:styleId="10">
    <w:name w:val="Balloon Text"/>
    <w:basedOn w:val="1"/>
    <w:link w:val="35"/>
    <w:qFormat/>
    <w:uiPriority w:val="0"/>
    <w:pPr>
      <w:spacing w:before="0" w:after="0"/>
    </w:pPr>
    <w:rPr>
      <w:sz w:val="18"/>
      <w:szCs w:val="18"/>
    </w:rPr>
  </w:style>
  <w:style w:type="paragraph" w:styleId="11">
    <w:name w:val="footer"/>
    <w:basedOn w:val="3"/>
    <w:qFormat/>
    <w:uiPriority w:val="0"/>
    <w:pPr>
      <w:snapToGrid w:val="0"/>
      <w:spacing w:before="120" w:beforeAutospacing="0" w:after="240" w:afterAutospacing="0"/>
    </w:pPr>
    <w:rPr>
      <w:rFonts w:ascii="等线" w:hAnsi="等线" w:cs="Times New Roman"/>
      <w:kern w:val="2"/>
      <w:sz w:val="18"/>
      <w:szCs w:val="18"/>
    </w:rPr>
  </w:style>
  <w:style w:type="paragraph" w:styleId="12">
    <w:name w:val="header"/>
    <w:basedOn w:val="3"/>
    <w:qFormat/>
    <w:uiPriority w:val="0"/>
    <w:pPr>
      <w:pBdr>
        <w:bottom w:val="single" w:color="auto" w:sz="6" w:space="1"/>
      </w:pBdr>
      <w:snapToGrid w:val="0"/>
      <w:spacing w:before="120" w:beforeAutospacing="0" w:after="240" w:afterAutospacing="0"/>
      <w:jc w:val="center"/>
    </w:pPr>
    <w:rPr>
      <w:rFonts w:ascii="等线" w:hAnsi="等线" w:cs="Times New Roman"/>
      <w:kern w:val="2"/>
      <w:sz w:val="18"/>
      <w:szCs w:val="18"/>
    </w:rPr>
  </w:style>
  <w:style w:type="paragraph" w:styleId="13">
    <w:name w:val="HTML Preformatted"/>
    <w:basedOn w:val="3"/>
    <w:qFormat/>
    <w:uiPriority w:val="0"/>
  </w:style>
  <w:style w:type="paragraph" w:styleId="14">
    <w:name w:val="Normal (Web)"/>
    <w:basedOn w:val="3"/>
    <w:qFormat/>
    <w:uiPriority w:val="0"/>
    <w:rPr>
      <w:rFonts w:ascii="Times New Roman" w:hAnsi="Times New Roman" w:cs="Times New Roman"/>
    </w:rPr>
  </w:style>
  <w:style w:type="paragraph" w:styleId="15">
    <w:name w:val="annotation subject"/>
    <w:basedOn w:val="9"/>
    <w:next w:val="9"/>
    <w:link w:val="37"/>
    <w:qFormat/>
    <w:uiPriority w:val="0"/>
    <w:rPr>
      <w:b/>
      <w:bCs/>
    </w:rPr>
  </w:style>
  <w:style w:type="table" w:styleId="17">
    <w:name w:val="Table Grid"/>
    <w:basedOn w:val="16"/>
    <w:unhideWhenUsed/>
    <w:qFormat/>
    <w:uiPriority w:val="99"/>
    <w:rPr>
      <w:rFonts w:ascii="等线" w:hAnsi="等线"/>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qFormat/>
    <w:uiPriority w:val="0"/>
    <w:rPr>
      <w:sz w:val="21"/>
      <w:szCs w:val="21"/>
    </w:rPr>
  </w:style>
  <w:style w:type="paragraph" w:customStyle="1" w:styleId="20">
    <w:name w:val="pre Char"/>
    <w:basedOn w:val="3"/>
    <w:qFormat/>
    <w:uiPriority w:val="0"/>
  </w:style>
  <w:style w:type="character" w:customStyle="1" w:styleId="21">
    <w:name w:val="页眉 Char"/>
    <w:basedOn w:val="18"/>
    <w:qFormat/>
    <w:uiPriority w:val="0"/>
    <w:rPr>
      <w:rFonts w:ascii="等线" w:hAnsi="等线" w:eastAsia="宋体"/>
      <w:kern w:val="2"/>
      <w:sz w:val="18"/>
      <w:szCs w:val="18"/>
    </w:rPr>
  </w:style>
  <w:style w:type="character" w:customStyle="1" w:styleId="22">
    <w:name w:val="页脚 Char"/>
    <w:basedOn w:val="18"/>
    <w:qFormat/>
    <w:uiPriority w:val="0"/>
    <w:rPr>
      <w:rFonts w:ascii="等线" w:hAnsi="等线" w:eastAsia="宋体"/>
      <w:kern w:val="2"/>
      <w:sz w:val="18"/>
      <w:szCs w:val="18"/>
    </w:rPr>
  </w:style>
  <w:style w:type="character" w:customStyle="1" w:styleId="23">
    <w:name w:val="HTML 预设格式 Char"/>
    <w:basedOn w:val="18"/>
    <w:qFormat/>
    <w:uiPriority w:val="0"/>
    <w:rPr>
      <w:rFonts w:ascii="Courier New" w:hAnsi="Courier New" w:eastAsia="宋体" w:cs="Courier New"/>
      <w:kern w:val="2"/>
    </w:rPr>
  </w:style>
  <w:style w:type="paragraph" w:customStyle="1" w:styleId="24">
    <w:name w:val="p Char"/>
    <w:basedOn w:val="3"/>
    <w:qFormat/>
    <w:uiPriority w:val="0"/>
    <w:rPr>
      <w:rFonts w:ascii="Times New Roman" w:hAnsi="Times New Roman" w:cs="Times New Roman"/>
    </w:rPr>
  </w:style>
  <w:style w:type="character" w:customStyle="1" w:styleId="25">
    <w:name w:val="10"/>
    <w:basedOn w:val="18"/>
    <w:qFormat/>
    <w:uiPriority w:val="0"/>
    <w:rPr>
      <w:rFonts w:hint="default" w:ascii="Times New Roman" w:hAnsi="Times New Roman" w:cs="Times New Roman"/>
    </w:rPr>
  </w:style>
  <w:style w:type="character" w:customStyle="1" w:styleId="26">
    <w:name w:val="15"/>
    <w:basedOn w:val="18"/>
    <w:qFormat/>
    <w:uiPriority w:val="0"/>
    <w:rPr>
      <w:rFonts w:hint="default" w:ascii="等线" w:hAnsi="等线" w:cs="Times New Roman"/>
      <w:sz w:val="18"/>
      <w:szCs w:val="18"/>
    </w:rPr>
  </w:style>
  <w:style w:type="character" w:customStyle="1" w:styleId="27">
    <w:name w:val="16"/>
    <w:basedOn w:val="18"/>
    <w:qFormat/>
    <w:uiPriority w:val="0"/>
    <w:rPr>
      <w:rFonts w:hint="default" w:ascii="Times New Roman" w:hAnsi="Times New Roman" w:cs="Times New Roman"/>
    </w:rPr>
  </w:style>
  <w:style w:type="character" w:customStyle="1" w:styleId="28">
    <w:name w:val="17"/>
    <w:basedOn w:val="18"/>
    <w:qFormat/>
    <w:uiPriority w:val="0"/>
    <w:rPr>
      <w:rFonts w:hint="default" w:ascii="等线" w:hAnsi="等线" w:cs="Times New Roman"/>
      <w:sz w:val="18"/>
      <w:szCs w:val="18"/>
    </w:rPr>
  </w:style>
  <w:style w:type="character" w:customStyle="1" w:styleId="29">
    <w:name w:val="标题 6 Char"/>
    <w:basedOn w:val="18"/>
    <w:qFormat/>
    <w:uiPriority w:val="9"/>
    <w:rPr>
      <w:rFonts w:asciiTheme="majorHAnsi" w:hAnsiTheme="majorHAnsi" w:eastAsiaTheme="majorEastAsia" w:cstheme="majorBidi"/>
      <w:b/>
      <w:bCs/>
      <w:kern w:val="2"/>
      <w:sz w:val="24"/>
      <w:szCs w:val="24"/>
    </w:rPr>
  </w:style>
  <w:style w:type="character" w:customStyle="1" w:styleId="30">
    <w:name w:val="标题 5 Char"/>
    <w:basedOn w:val="18"/>
    <w:qFormat/>
    <w:uiPriority w:val="9"/>
    <w:rPr>
      <w:rFonts w:ascii="等线" w:hAnsi="等线" w:eastAsia="宋体"/>
      <w:b/>
      <w:bCs/>
      <w:kern w:val="2"/>
      <w:sz w:val="28"/>
      <w:szCs w:val="28"/>
    </w:rPr>
  </w:style>
  <w:style w:type="character" w:customStyle="1" w:styleId="31">
    <w:name w:val="标题 4 Char"/>
    <w:basedOn w:val="18"/>
    <w:qFormat/>
    <w:uiPriority w:val="9"/>
    <w:rPr>
      <w:rFonts w:asciiTheme="majorHAnsi" w:hAnsiTheme="majorHAnsi" w:eastAsiaTheme="majorEastAsia" w:cstheme="majorBidi"/>
      <w:b/>
      <w:bCs/>
      <w:kern w:val="2"/>
      <w:sz w:val="28"/>
      <w:szCs w:val="28"/>
    </w:rPr>
  </w:style>
  <w:style w:type="character" w:customStyle="1" w:styleId="32">
    <w:name w:val="标题 3 Char"/>
    <w:basedOn w:val="18"/>
    <w:qFormat/>
    <w:uiPriority w:val="9"/>
    <w:rPr>
      <w:rFonts w:ascii="等线" w:hAnsi="等线" w:eastAsia="宋体"/>
      <w:b/>
      <w:bCs/>
      <w:kern w:val="2"/>
      <w:sz w:val="32"/>
      <w:szCs w:val="32"/>
    </w:rPr>
  </w:style>
  <w:style w:type="character" w:customStyle="1" w:styleId="33">
    <w:name w:val="标题 2 Char"/>
    <w:basedOn w:val="18"/>
    <w:qFormat/>
    <w:uiPriority w:val="9"/>
    <w:rPr>
      <w:rFonts w:asciiTheme="majorHAnsi" w:hAnsiTheme="majorHAnsi" w:eastAsiaTheme="majorEastAsia" w:cstheme="majorBidi"/>
      <w:b/>
      <w:bCs/>
      <w:kern w:val="2"/>
      <w:sz w:val="32"/>
      <w:szCs w:val="32"/>
    </w:rPr>
  </w:style>
  <w:style w:type="character" w:customStyle="1" w:styleId="34">
    <w:name w:val="标题 1 Char"/>
    <w:basedOn w:val="18"/>
    <w:qFormat/>
    <w:uiPriority w:val="9"/>
    <w:rPr>
      <w:rFonts w:ascii="等线" w:hAnsi="等线" w:eastAsia="宋体"/>
      <w:b/>
      <w:bCs/>
      <w:kern w:val="44"/>
      <w:sz w:val="44"/>
      <w:szCs w:val="44"/>
    </w:rPr>
  </w:style>
  <w:style w:type="character" w:customStyle="1" w:styleId="35">
    <w:name w:val="批注框文本 Char"/>
    <w:basedOn w:val="18"/>
    <w:link w:val="10"/>
    <w:qFormat/>
    <w:uiPriority w:val="0"/>
    <w:rPr>
      <w:rFonts w:ascii="等线" w:hAnsi="等线" w:eastAsia="宋体"/>
      <w:kern w:val="2"/>
      <w:sz w:val="18"/>
      <w:szCs w:val="18"/>
    </w:rPr>
  </w:style>
  <w:style w:type="character" w:customStyle="1" w:styleId="36">
    <w:name w:val="批注文字 Char"/>
    <w:basedOn w:val="18"/>
    <w:link w:val="9"/>
    <w:qFormat/>
    <w:uiPriority w:val="0"/>
    <w:rPr>
      <w:rFonts w:ascii="等线" w:hAnsi="等线" w:eastAsia="宋体"/>
      <w:kern w:val="2"/>
      <w:sz w:val="22"/>
      <w:szCs w:val="22"/>
    </w:rPr>
  </w:style>
  <w:style w:type="character" w:customStyle="1" w:styleId="37">
    <w:name w:val="批注主题 Char"/>
    <w:basedOn w:val="36"/>
    <w:link w:val="15"/>
    <w:qFormat/>
    <w:uiPriority w:val="0"/>
    <w:rPr>
      <w:rFonts w:ascii="等线" w:hAnsi="等线" w:eastAsia="宋体"/>
      <w:b/>
      <w:bCs/>
      <w:kern w:val="2"/>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3108</Words>
  <Characters>3399</Characters>
  <Lines>25</Lines>
  <Paragraphs>7</Paragraphs>
  <TotalTime>191</TotalTime>
  <ScaleCrop>false</ScaleCrop>
  <LinksUpToDate>false</LinksUpToDate>
  <CharactersWithSpaces>3526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2025-05-09T09:38:00Z</dcterms:created>
  <dc:creator>cninfo</dc:creator>
  <cp:lastModifiedBy>黄舒倩</cp:lastModifiedBy>
  <dcterms:modified xsi:type="dcterms:W3CDTF">2025-05-12T04:29:39Z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60883217CD16E1E1F6C91D6836875853_42</vt:lpwstr>
  </property>
  <property fmtid="{D5CDD505-2E9C-101B-9397-08002B2CF9AE}" pid="4" name="KSOTemplateDocerSaveRecord">
    <vt:lpwstr>eyJoZGlkIjoiYjc3NTVmODk5OWI4YTU0YmU5MTlhYzJjMjBkNzFlNmEiLCJ1c2VySWQiOiIyNDMwNTgyMjAifQ==</vt:lpwstr>
  </property>
</Properties>
</file>