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E4D3C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sz w:val="28"/>
          <w:szCs w:val="28"/>
          <w:lang w:val="en-US"/>
        </w:rPr>
      </w:pPr>
      <w:bookmarkStart w:id="0" w:name="CompanyName_3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证券代码：301178    证券简称：天亿马    公告编号：2025-044</w:t>
      </w:r>
    </w:p>
    <w:p w14:paraId="37CEC91E">
      <w:pPr>
        <w:spacing w:line="360" w:lineRule="auto"/>
        <w:ind w:firstLine="482" w:firstLineChars="200"/>
        <w:jc w:val="center"/>
        <w:rPr>
          <w:rFonts w:hint="eastAsia" w:ascii="仿宋" w:hAnsi="仿宋" w:eastAsia="仿宋"/>
          <w:b/>
          <w:bCs/>
          <w:sz w:val="24"/>
          <w:szCs w:val="24"/>
          <w:lang w:val="zh-CN" w:eastAsia="zh-CN"/>
        </w:rPr>
      </w:pPr>
    </w:p>
    <w:p w14:paraId="6F942DDD">
      <w:pPr>
        <w:spacing w:line="360" w:lineRule="auto"/>
        <w:ind w:firstLine="720" w:firstLineChars="200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zh-CN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zh-CN" w:eastAsia="zh-CN"/>
        </w:rPr>
        <w:t>广东天亿马信息产业股份有限公司</w:t>
      </w:r>
    </w:p>
    <w:p w14:paraId="15342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720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val="zh-CN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zh-CN" w:eastAsia="zh-CN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zh-CN" w:eastAsia="zh-CN"/>
        </w:rPr>
        <w:t>年年度股东会决议公告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C797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F18F4">
            <w:pPr>
              <w:widowControl/>
              <w:spacing w:line="440" w:lineRule="exact"/>
              <w:ind w:firstLine="560" w:firstLineChars="200"/>
              <w:rPr>
                <w:rFonts w:ascii="楷体" w:hAnsi="楷体" w:eastAsia="楷体" w:cs="宋体"/>
                <w:color w:val="000000"/>
                <w:kern w:val="0"/>
                <w:sz w:val="28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699D33BA">
      <w:pPr>
        <w:spacing w:line="360" w:lineRule="auto"/>
        <w:jc w:val="both"/>
        <w:rPr>
          <w:rFonts w:hint="eastAsia" w:ascii="仿宋" w:hAnsi="仿宋" w:eastAsia="仿宋"/>
          <w:b/>
          <w:bCs/>
          <w:sz w:val="32"/>
          <w:szCs w:val="32"/>
          <w:lang w:val="zh-CN" w:eastAsia="zh-CN"/>
        </w:rPr>
      </w:pPr>
    </w:p>
    <w:p w14:paraId="4D88408F">
      <w:p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zh-CN" w:eastAsia="zh-CN"/>
        </w:rPr>
        <w:t>特别提示：</w:t>
      </w:r>
    </w:p>
    <w:p w14:paraId="19F08377">
      <w:p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zh-CN" w:eastAsia="zh-CN"/>
        </w:rPr>
        <w:t>1.本次股东会不存在否决议案的情形。</w:t>
      </w:r>
    </w:p>
    <w:p w14:paraId="46142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5" w:afterLines="200" w:line="360" w:lineRule="auto"/>
        <w:ind w:firstLine="560" w:firstLineChars="200"/>
        <w:jc w:val="both"/>
        <w:textAlignment w:val="auto"/>
        <w:rPr>
          <w:rFonts w:hint="eastAsia" w:ascii="仿宋" w:hAnsi="仿宋" w:eastAsia="仿宋"/>
          <w:b/>
          <w:bCs/>
          <w:sz w:val="24"/>
          <w:szCs w:val="24"/>
          <w:lang w:val="zh-CN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zh-CN" w:eastAsia="zh-CN"/>
        </w:rPr>
        <w:t>2.本次股东会不涉及变更以往股东会已通过的决议。</w:t>
      </w:r>
    </w:p>
    <w:p w14:paraId="0ECE2912">
      <w:pPr>
        <w:numPr>
          <w:ilvl w:val="0"/>
          <w:numId w:val="1"/>
        </w:numPr>
        <w:spacing w:line="360" w:lineRule="auto"/>
        <w:ind w:firstLine="562" w:firstLineChars="200"/>
        <w:jc w:val="both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会议召开情况</w:t>
      </w:r>
    </w:p>
    <w:p w14:paraId="4CC81501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（一）召开时间</w:t>
      </w:r>
    </w:p>
    <w:p w14:paraId="0EE707C6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1.现场会议时间：2025年5月13日（星期二）下午15:00。</w:t>
      </w:r>
    </w:p>
    <w:p w14:paraId="68AC6DD3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2.网络投票时间：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1）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深圳证券交易所交易系统投票的时间为现场会议召开当日9:15—9：25，9:30—11:30和13:00—15:00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；2）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深圳证券交易所互联网投票系统投票的时间为现场会议召开当日9:15—15:00。</w:t>
      </w:r>
    </w:p>
    <w:p w14:paraId="5825D199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（二）</w:t>
      </w:r>
      <w:r>
        <w:rPr>
          <w:rFonts w:hint="eastAsia" w:ascii="仿宋" w:hAnsi="仿宋" w:eastAsia="仿宋"/>
          <w:sz w:val="28"/>
          <w:szCs w:val="28"/>
        </w:rPr>
        <w:t>会议地点：广东省汕头市海滨路55号海逸投资大厦4-5层公司会议室</w:t>
      </w:r>
    </w:p>
    <w:p w14:paraId="6C22C739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/>
          <w:color w:val="000000"/>
          <w:sz w:val="28"/>
          <w:szCs w:val="28"/>
        </w:rPr>
        <w:t>）会议召集人：董事会</w:t>
      </w:r>
    </w:p>
    <w:p w14:paraId="1A6C7E60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/>
          <w:sz w:val="28"/>
          <w:szCs w:val="28"/>
        </w:rPr>
        <w:t>）会议的召开方式：本次股东会采用现场投票与网络投票相结合的方式。</w:t>
      </w:r>
    </w:p>
    <w:p w14:paraId="22C0EA5E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（五）会议主持人：林明玲女士</w:t>
      </w:r>
    </w:p>
    <w:p w14:paraId="66D3C578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（六）</w:t>
      </w:r>
      <w:r>
        <w:rPr>
          <w:rFonts w:hint="eastAsia" w:ascii="仿宋" w:hAnsi="仿宋" w:eastAsia="仿宋"/>
          <w:sz w:val="28"/>
          <w:szCs w:val="28"/>
        </w:rPr>
        <w:t>会议召开的合法、合规性：经公司第三届董事会第三十次会议审议通过，决定召开本次股东会。本次股东会会议召开符合有关法律、行政法规、部门规章、规范性文件和《广东天亿马信息产业股份有限公司章程》（以下简称“《公司章程》”）等规定。</w:t>
      </w:r>
    </w:p>
    <w:p w14:paraId="427A06A2">
      <w:pPr>
        <w:numPr>
          <w:ilvl w:val="0"/>
          <w:numId w:val="0"/>
        </w:numPr>
        <w:spacing w:line="360" w:lineRule="auto"/>
        <w:ind w:firstLine="562" w:firstLineChars="200"/>
        <w:jc w:val="both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二、会议出席情况</w:t>
      </w:r>
    </w:p>
    <w:p w14:paraId="570678E7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（一）股东出席情况</w:t>
      </w:r>
    </w:p>
    <w:p w14:paraId="043344ED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通过现场和网络投票的股东及股东代理人合计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38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人，代表股份24,592,910股，占广东天亿马信息产业股份有限公司（以下简称“公司”）有表决权股份总数的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37.3272%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（总股本按剔除最新披露的回购专户股份数计，下同）。其中：通过现场投票的股东及股东代理人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人，代表股份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24,493,130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股，占公司有表决权股份总数的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37.1758%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；通过网络投票的股东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35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人，代表股份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99,780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股，占公司有表决权股份总数的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0.1514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%。出席本次会议的中小股东（除单独或者合计持有公司5%以上股份的股东及持有公司股份的公司董事、监事、高级管理人员以外的其他股东）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36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人，所持有表决权的股份数为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1,082,966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股，占公司有表决权股份总数的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1.6437%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。</w:t>
      </w:r>
    </w:p>
    <w:p w14:paraId="542E6230">
      <w:pPr>
        <w:numPr>
          <w:ilvl w:val="0"/>
          <w:numId w:val="2"/>
        </w:numPr>
        <w:spacing w:line="360" w:lineRule="auto"/>
        <w:ind w:firstLine="560" w:firstLineChars="200"/>
        <w:jc w:val="both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公司在任董事8人，董事长林明玲女士、董事张毅先生现场出席本次会议，独立董事曹丽梅女士、石洁芝女士、蔡浩先生、董事高俊斌先生、马淦江先生通讯出席本次会议。公司监事毛晓玲女士、黄素芳女士、刘培璇女士现场出席本次会议。公司副总经理林少勇先生、财务总监陈焕盛先生、董事会秘书曹维先生通讯出席本次会议。副董事长兼总经理马学沛先生、副总经理李华青先生因公务请假。</w:t>
      </w:r>
    </w:p>
    <w:p w14:paraId="4998B72B">
      <w:pPr>
        <w:numPr>
          <w:ilvl w:val="0"/>
          <w:numId w:val="0"/>
        </w:numPr>
        <w:spacing w:line="360" w:lineRule="auto"/>
        <w:ind w:firstLine="562" w:firstLineChars="200"/>
        <w:jc w:val="both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三、议案审议表决情况</w:t>
      </w:r>
    </w:p>
    <w:p w14:paraId="25164F66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（一）表决方式：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本次股东会议案采用现场表决和网络投票相结合的表决方式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。</w:t>
      </w:r>
    </w:p>
    <w:bookmarkEnd w:id="0"/>
    <w:p w14:paraId="4BC5B18D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/>
          <w:b w:val="0"/>
          <w:bCs w:val="0"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kern w:val="44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 w:val="0"/>
          <w:bCs w:val="0"/>
          <w:kern w:val="44"/>
          <w:sz w:val="28"/>
          <w:szCs w:val="28"/>
          <w:lang w:val="en-US" w:eastAsia="zh-CN"/>
        </w:rPr>
        <w:t>二）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议案审议表决情况</w:t>
      </w:r>
    </w:p>
    <w:p w14:paraId="44689977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1. 《关于&lt;公司2024年度董事会工作报告&gt;的议案》</w:t>
      </w:r>
    </w:p>
    <w:p w14:paraId="5F581419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24,590,310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99.9894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0.0106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650C9E9A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3A05C99E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</w:t>
      </w:r>
      <w:r>
        <w:rPr>
          <w:rFonts w:ascii="仿宋" w:hAnsi="仿宋" w:eastAsia="仿宋"/>
          <w:sz w:val="28"/>
          <w:szCs w:val="28"/>
        </w:rPr>
        <w:t>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ascii="仿宋" w:hAnsi="仿宋" w:eastAsia="仿宋"/>
          <w:sz w:val="28"/>
          <w:szCs w:val="28"/>
        </w:rPr>
        <w:t>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4058612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7F5425A8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表决结果：审议通过《关于&lt;公司2024年度董事会工作报告&gt;的议案》。</w:t>
      </w:r>
    </w:p>
    <w:p w14:paraId="7A2724FA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.《关于&lt;公司2024年度监事会工作报告&gt;的议案》</w:t>
      </w:r>
    </w:p>
    <w:p w14:paraId="3E077A5A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24,590,310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99.9894%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0.0106%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6D626A6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3FEB0E9B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</w:t>
      </w:r>
      <w:r>
        <w:rPr>
          <w:rFonts w:ascii="仿宋" w:hAnsi="仿宋" w:eastAsia="仿宋"/>
          <w:sz w:val="28"/>
          <w:szCs w:val="28"/>
        </w:rPr>
        <w:t>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2,600 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ascii="仿宋" w:hAnsi="仿宋" w:eastAsia="仿宋"/>
          <w:sz w:val="28"/>
          <w:szCs w:val="28"/>
        </w:rPr>
        <w:t>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2020E7A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74339991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表决结果：审议通过《关于&lt;公司2024年度监事会工作报告&gt;的议案》。</w:t>
      </w:r>
    </w:p>
    <w:p w14:paraId="054C5258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. 《关于&lt;2024年度财务决算报告&gt;的议案》</w:t>
      </w:r>
    </w:p>
    <w:p w14:paraId="7DD0C43C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24,590,310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99.9894%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0.0106%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49D84F07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57E1E341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0.2401%</w:t>
      </w:r>
      <w:r>
        <w:rPr>
          <w:rFonts w:hint="eastAsia" w:ascii="仿宋" w:hAnsi="仿宋" w:eastAsia="仿宋"/>
          <w:sz w:val="28"/>
          <w:szCs w:val="28"/>
        </w:rPr>
        <w:t>；弃权0股（其中，因未投票默认弃权0股），占出席会议的中小股东所持股份的0</w:t>
      </w:r>
      <w:r>
        <w:rPr>
          <w:rFonts w:ascii="仿宋" w:hAnsi="仿宋" w:eastAsia="仿宋"/>
          <w:sz w:val="28"/>
          <w:szCs w:val="28"/>
        </w:rPr>
        <w:t>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59610D2B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4DE32C28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表决结果：审议通过《关于&lt;2024年度财务决算报告&gt;的议案》。</w:t>
      </w:r>
    </w:p>
    <w:p w14:paraId="1DB76341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/>
          <w:sz w:val="28"/>
          <w:szCs w:val="28"/>
        </w:rPr>
        <w:t>. 《关于2024年度拟不进行利润分配的议案》</w:t>
      </w:r>
    </w:p>
    <w:p w14:paraId="56C6137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24,581,810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99.9549%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5,100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0.0207%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6,000 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0.0244%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49C0A4AF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576CE00C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1,071,866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98.9750%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5,100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0.4709%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6,000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0.5540%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0BE7AA4E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1CD1AC1A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表决结果：审议通过《关于2024年度拟不进行利润分配的议案》。</w:t>
      </w:r>
    </w:p>
    <w:p w14:paraId="13FD8182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sz w:val="28"/>
          <w:szCs w:val="28"/>
        </w:rPr>
        <w:t>. 《关于公司董事及高级管理人员2025年度薪酬待遇方案的议案》</w:t>
      </w:r>
    </w:p>
    <w:p w14:paraId="0BF41EE6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1,078,466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99.5845%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3,700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0.3417%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800 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0.0739%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5A390D15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65978EF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1,078,466 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99.5845%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3,700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0.3417%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0.0739%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1D1CB10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</w:t>
      </w:r>
      <w:r>
        <w:rPr>
          <w:rFonts w:hint="eastAsia" w:ascii="仿宋" w:hAnsi="仿宋" w:eastAsia="仿宋"/>
          <w:sz w:val="28"/>
          <w:szCs w:val="36"/>
          <w:lang w:eastAsia="zh-CN"/>
        </w:rPr>
        <w:t>关联股东林明玲、马学沛回避表决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37A516B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表决结果：审议通过《关于公司董事及高级管理人员2025年度薪酬待遇方案的议案》。</w:t>
      </w:r>
    </w:p>
    <w:p w14:paraId="563F9A60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b/>
          <w:sz w:val="28"/>
          <w:szCs w:val="28"/>
        </w:rPr>
        <w:t>. 《关于公司监事薪酬待遇方案的议案》</w:t>
      </w:r>
    </w:p>
    <w:p w14:paraId="19BA51A7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24,588,410 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99.9817%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3,700 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0.0150%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800 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0.0033%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7B7556A4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0D2B52EB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1,078,466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99.5845%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3,700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0.3417%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800 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0.0739%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6A18E557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58CC31D5">
      <w:pPr>
        <w:spacing w:line="360" w:lineRule="auto"/>
        <w:ind w:firstLine="560" w:firstLineChars="200"/>
        <w:outlineLvl w:val="1"/>
        <w:rPr>
          <w:rFonts w:hint="eastAsia"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表决结果：审议通过《关于公司监事薪酬待遇方案的议案》。</w:t>
      </w:r>
    </w:p>
    <w:p w14:paraId="627AFFEB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b/>
          <w:bCs w:val="0"/>
          <w:sz w:val="28"/>
          <w:szCs w:val="28"/>
        </w:rPr>
        <w:t>. 《关于子公司拟申请综合授信额度并由公司为其提供担保的议案》</w:t>
      </w:r>
    </w:p>
    <w:p w14:paraId="59C82CC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24,585,110 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99.9683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7,800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0.0317%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54E97EF9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60882DB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1,075,166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99.2798%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7,800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0.7202%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1487A66C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2EE6F8F0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表决结果：审议通过《关于子公司拟申请综合授信额度并由公司为其提供担保的议案》。</w:t>
      </w:r>
    </w:p>
    <w:p w14:paraId="79252FAC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b/>
          <w:sz w:val="28"/>
          <w:szCs w:val="28"/>
        </w:rPr>
        <w:t>.《关于&lt;公司2024年年度报告&gt;及&lt;2024年年度报告摘要&gt;的议案》</w:t>
      </w:r>
    </w:p>
    <w:p w14:paraId="5B1D4390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24,590,310 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99.9894%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2,600 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0.0106%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157487C8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1DB75F6E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1B369D5E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25ADE16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表决结果：审议通过《关于&lt;公司2024年年度报告&gt;及&lt;2024年年度报告摘要&gt;的议案》。</w:t>
      </w:r>
    </w:p>
    <w:p w14:paraId="0A0C55EC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b/>
          <w:sz w:val="28"/>
          <w:szCs w:val="28"/>
        </w:rPr>
        <w:t>.《关于使用部分闲置自有资金进行现金管理的议案》</w:t>
      </w:r>
    </w:p>
    <w:p w14:paraId="6740C270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24,590,310 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99.9894</w:t>
      </w:r>
      <w:r>
        <w:rPr>
          <w:rFonts w:hint="eastAsia" w:ascii="仿宋" w:hAnsi="仿宋" w:eastAsia="仿宋"/>
          <w:sz w:val="28"/>
          <w:szCs w:val="28"/>
          <w:lang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0.0106%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5877B298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02913A99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4D5190A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回避表决情况：本议案不涉及回避表决。</w:t>
      </w:r>
    </w:p>
    <w:p w14:paraId="3F2ED0FA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表决结果：审议通过《关于使用部分闲置自有资金进行现金管理的议案》。</w:t>
      </w:r>
    </w:p>
    <w:p w14:paraId="1CB461C0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b/>
          <w:sz w:val="28"/>
          <w:szCs w:val="28"/>
        </w:rPr>
        <w:t>.《关于回购注销部分已授予但尚未解除限售的限制性股票的议案》</w:t>
      </w:r>
    </w:p>
    <w:p w14:paraId="33B0B584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</w:t>
      </w:r>
      <w:bookmarkStart w:id="1" w:name="_GoBack"/>
      <w:bookmarkEnd w:id="1"/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7B38DC67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63E01FE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1,080,366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99.7599%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2,600</w:t>
      </w:r>
      <w:r>
        <w:rPr>
          <w:rFonts w:hint="eastAsia" w:ascii="仿宋" w:hAnsi="仿宋" w:eastAsia="仿宋"/>
          <w:sz w:val="28"/>
          <w:szCs w:val="28"/>
        </w:rPr>
        <w:t>股，占出席会议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0.2401%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</w:t>
      </w:r>
      <w:r>
        <w:rPr>
          <w:rFonts w:hint="eastAsia" w:ascii="仿宋" w:hAnsi="仿宋" w:eastAsia="仿宋"/>
          <w:sz w:val="28"/>
          <w:szCs w:val="28"/>
          <w:lang w:eastAsia="zh-CN"/>
        </w:rPr>
        <w:t>有表决权</w:t>
      </w:r>
      <w:r>
        <w:rPr>
          <w:rFonts w:hint="eastAsia" w:ascii="仿宋" w:hAnsi="仿宋" w:eastAsia="仿宋"/>
          <w:sz w:val="28"/>
          <w:szCs w:val="28"/>
        </w:rPr>
        <w:t>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21051CA5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6"/>
          <w:lang w:eastAsia="zh-CN"/>
        </w:rPr>
      </w:pPr>
      <w:r>
        <w:rPr>
          <w:rFonts w:hint="eastAsia" w:ascii="仿宋" w:hAnsi="仿宋" w:eastAsia="仿宋"/>
          <w:sz w:val="28"/>
          <w:szCs w:val="36"/>
        </w:rPr>
        <w:t>回避表决情况：</w:t>
      </w:r>
      <w:r>
        <w:rPr>
          <w:rFonts w:hint="eastAsia" w:ascii="仿宋" w:hAnsi="仿宋" w:eastAsia="仿宋"/>
          <w:sz w:val="28"/>
          <w:szCs w:val="36"/>
          <w:lang w:eastAsia="zh-CN"/>
        </w:rPr>
        <w:t>股东林明玲、马学沛回避表决。</w:t>
      </w:r>
    </w:p>
    <w:p w14:paraId="5CC40470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表决结果：审议通过《关于回购注销部分已授予但尚未解除限售的限制性股票的议案》。</w:t>
      </w:r>
    </w:p>
    <w:p w14:paraId="4FF2545A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b/>
          <w:sz w:val="28"/>
          <w:szCs w:val="28"/>
        </w:rPr>
        <w:t>.《关于拟减少公司注册资本并修订章程的议案》</w:t>
      </w:r>
    </w:p>
    <w:p w14:paraId="6445D7EE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24,583,610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99.9622%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3,300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0.0134%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6,000 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0.0244%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7A8AE93D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1C9D9163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1,073,666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99.1412%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3,300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0.3047%</w:t>
      </w:r>
      <w:r>
        <w:rPr>
          <w:rFonts w:hint="eastAsia" w:ascii="仿宋" w:hAnsi="仿宋" w:eastAsia="仿宋"/>
          <w:sz w:val="28"/>
          <w:szCs w:val="28"/>
        </w:rPr>
        <w:t>；弃权 6,000股（其中，因未投票默认弃权0股），占出席会议的中小股东所持股份的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0.5540%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784E02D1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6"/>
          <w:lang w:eastAsia="zh-CN"/>
        </w:rPr>
      </w:pPr>
      <w:r>
        <w:rPr>
          <w:rFonts w:hint="eastAsia" w:ascii="仿宋" w:hAnsi="仿宋" w:eastAsia="仿宋"/>
          <w:sz w:val="28"/>
          <w:szCs w:val="36"/>
        </w:rPr>
        <w:t>回避表决情况：</w:t>
      </w:r>
      <w:r>
        <w:rPr>
          <w:rFonts w:hint="eastAsia" w:ascii="仿宋" w:hAnsi="仿宋" w:eastAsia="仿宋"/>
          <w:sz w:val="28"/>
          <w:szCs w:val="36"/>
          <w:lang w:eastAsia="zh-CN"/>
        </w:rPr>
        <w:t>本议案不涉及回避表决。</w:t>
      </w:r>
    </w:p>
    <w:p w14:paraId="46B50085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表决结果：审议通过《关于拟减少公司注册资本并修订章程的议案》。</w:t>
      </w:r>
    </w:p>
    <w:p w14:paraId="295FA3FF">
      <w:pPr>
        <w:spacing w:line="360" w:lineRule="auto"/>
        <w:ind w:firstLine="562" w:firstLineChars="200"/>
        <w:outlineLvl w:val="1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b/>
          <w:sz w:val="28"/>
          <w:szCs w:val="28"/>
        </w:rPr>
        <w:t>. 《关于未来三年（2025-2027年）股东回报规划的议案》</w:t>
      </w:r>
    </w:p>
    <w:p w14:paraId="53FE5391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24,589,910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99.9878%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3,000</w:t>
      </w:r>
      <w:r>
        <w:rPr>
          <w:rFonts w:hint="eastAsia" w:ascii="仿宋" w:hAnsi="仿宋" w:eastAsia="仿宋"/>
          <w:sz w:val="28"/>
          <w:szCs w:val="28"/>
        </w:rPr>
        <w:t>股，占出席会议所有股东所持股份的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0.0122%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股（其中，因未投票默认弃权0股），占出席会议所有股东所持股份的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2CAF55E6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中小股东总表决情况：</w:t>
      </w:r>
    </w:p>
    <w:p w14:paraId="06833FCA">
      <w:pPr>
        <w:spacing w:line="360" w:lineRule="auto"/>
        <w:ind w:firstLine="560" w:firstLineChars="200"/>
        <w:rPr>
          <w:rFonts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同意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1,079,966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99.7230%</w:t>
      </w:r>
      <w:r>
        <w:rPr>
          <w:rFonts w:hint="eastAsia" w:ascii="仿宋" w:hAnsi="仿宋" w:eastAsia="仿宋"/>
          <w:sz w:val="28"/>
          <w:szCs w:val="28"/>
        </w:rPr>
        <w:t>；反对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3,000</w:t>
      </w:r>
      <w:r>
        <w:rPr>
          <w:rFonts w:hint="eastAsia" w:ascii="仿宋" w:hAnsi="仿宋" w:eastAsia="仿宋"/>
          <w:sz w:val="28"/>
          <w:szCs w:val="28"/>
        </w:rPr>
        <w:t>股，占出席会议的中小股东所持股份的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0.2770%</w:t>
      </w:r>
      <w:r>
        <w:rPr>
          <w:rFonts w:hint="eastAsia" w:ascii="仿宋" w:hAnsi="仿宋" w:eastAsia="仿宋"/>
          <w:sz w:val="28"/>
          <w:szCs w:val="28"/>
        </w:rPr>
        <w:t>；弃权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股（其中，因未投票默认弃权0股），占出席会议的中小股东所持股份的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0.0000%</w:t>
      </w:r>
      <w:r>
        <w:rPr>
          <w:rFonts w:hint="eastAsia" w:ascii="仿宋" w:hAnsi="仿宋" w:eastAsia="仿宋"/>
          <w:sz w:val="28"/>
          <w:szCs w:val="36"/>
        </w:rPr>
        <w:t>。</w:t>
      </w:r>
    </w:p>
    <w:p w14:paraId="2A1F099A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6"/>
          <w:lang w:eastAsia="zh-CN"/>
        </w:rPr>
      </w:pPr>
      <w:r>
        <w:rPr>
          <w:rFonts w:hint="eastAsia" w:ascii="仿宋" w:hAnsi="仿宋" w:eastAsia="仿宋"/>
          <w:sz w:val="28"/>
          <w:szCs w:val="36"/>
        </w:rPr>
        <w:t>回避表决情况：</w:t>
      </w:r>
      <w:r>
        <w:rPr>
          <w:rFonts w:hint="eastAsia" w:ascii="仿宋" w:hAnsi="仿宋" w:eastAsia="仿宋"/>
          <w:sz w:val="28"/>
          <w:szCs w:val="36"/>
          <w:lang w:eastAsia="zh-CN"/>
        </w:rPr>
        <w:t>本议案不涉及回避表决。</w:t>
      </w:r>
    </w:p>
    <w:p w14:paraId="176CAFB2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6"/>
        </w:rPr>
      </w:pPr>
      <w:r>
        <w:rPr>
          <w:rFonts w:hint="eastAsia" w:ascii="仿宋" w:hAnsi="仿宋" w:eastAsia="仿宋"/>
          <w:sz w:val="28"/>
          <w:szCs w:val="36"/>
        </w:rPr>
        <w:t>表决结果：审议通过《关于未来三年（2025-2027年）股东回报规划的议案》。</w:t>
      </w:r>
    </w:p>
    <w:p w14:paraId="21D7F0B5">
      <w:pPr>
        <w:numPr>
          <w:ilvl w:val="0"/>
          <w:numId w:val="0"/>
        </w:numPr>
        <w:spacing w:line="360" w:lineRule="auto"/>
        <w:ind w:firstLine="562" w:firstLineChars="200"/>
        <w:jc w:val="both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四、律师见证情况</w:t>
      </w:r>
    </w:p>
    <w:p w14:paraId="25C6C876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（一）律师事务所名称：广东泛尔律师事务所</w:t>
      </w:r>
    </w:p>
    <w:p w14:paraId="3E0A3CEC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（二）见证律师姓名：</w:t>
      </w:r>
      <w:r>
        <w:rPr>
          <w:rFonts w:hint="eastAsia" w:ascii="仿宋" w:hAnsi="仿宋" w:eastAsia="仿宋"/>
          <w:b w:val="0"/>
          <w:bCs w:val="0"/>
          <w:sz w:val="28"/>
          <w:szCs w:val="28"/>
          <w:highlight w:val="none"/>
          <w:lang w:val="en-US" w:eastAsia="zh-CN"/>
        </w:rPr>
        <w:t>郭锋、胡婕涵</w:t>
      </w:r>
    </w:p>
    <w:p w14:paraId="3168D455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三）结论性意见：公司本次股东会的召集、召开程序、出席会议人员的资格、表决程序和表决结果均符合中国法律法规和《公司章程》的规定，合法有效，公司本次股东会未发生增加、变更、否决提案的情形，本次股东会通过的决议合法有效。</w:t>
      </w:r>
    </w:p>
    <w:p w14:paraId="63866449">
      <w:pPr>
        <w:numPr>
          <w:ilvl w:val="0"/>
          <w:numId w:val="0"/>
        </w:numPr>
        <w:spacing w:line="360" w:lineRule="auto"/>
        <w:ind w:firstLine="562" w:firstLineChars="200"/>
        <w:jc w:val="both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五、备查文件</w:t>
      </w:r>
    </w:p>
    <w:p w14:paraId="021FDE6C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（一）《广东天亿马信息产业股份有限公司2024年年度股东会决议》；</w:t>
      </w:r>
    </w:p>
    <w:p w14:paraId="1443CD61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（二）《广东泛尔律师事务所关于广东天亿马信息产业股份有限公司2024年年度股东会法律意见书》。</w:t>
      </w:r>
    </w:p>
    <w:p w14:paraId="69E1CD5C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特此公告。</w:t>
      </w:r>
    </w:p>
    <w:p w14:paraId="515190EA">
      <w:pPr>
        <w:numPr>
          <w:ilvl w:val="0"/>
          <w:numId w:val="0"/>
        </w:numPr>
        <w:spacing w:line="360" w:lineRule="auto"/>
        <w:ind w:firstLine="560" w:firstLineChars="200"/>
        <w:jc w:val="right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广东天亿马信息产业股份有限公司</w:t>
      </w:r>
    </w:p>
    <w:p w14:paraId="3B5E44D0">
      <w:pPr>
        <w:numPr>
          <w:ilvl w:val="0"/>
          <w:numId w:val="0"/>
        </w:numPr>
        <w:spacing w:line="360" w:lineRule="auto"/>
        <w:ind w:firstLine="560" w:firstLineChars="200"/>
        <w:jc w:val="right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董事会</w:t>
      </w:r>
    </w:p>
    <w:p w14:paraId="6A9F2C7A">
      <w:pPr>
        <w:numPr>
          <w:ilvl w:val="0"/>
          <w:numId w:val="0"/>
        </w:numPr>
        <w:spacing w:line="360" w:lineRule="auto"/>
        <w:ind w:firstLine="560" w:firstLineChars="200"/>
        <w:jc w:val="right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2025年5月13日</w:t>
      </w:r>
    </w:p>
    <w:sectPr>
      <w:headerReference r:id="rId3" w:type="default"/>
      <w:pgSz w:w="11906" w:h="16838"/>
      <w:pgMar w:top="1440" w:right="1800" w:bottom="1440" w:left="1800" w:header="777" w:footer="1029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6AB779">
    <w:pPr>
      <w:pBdr>
        <w:bottom w:val="none" w:color="auto" w:sz="0" w:space="1"/>
      </w:pBdr>
      <w:tabs>
        <w:tab w:val="center" w:pos="4153"/>
        <w:tab w:val="right" w:pos="8306"/>
      </w:tabs>
      <w:snapToGrid w:val="0"/>
      <w:jc w:val="both"/>
      <w:rPr>
        <w:rFonts w:ascii="仿宋" w:hAnsi="仿宋" w:eastAsia="仿宋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BFE02A"/>
    <w:multiLevelType w:val="singleLevel"/>
    <w:tmpl w:val="9FBFE0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FFA0024"/>
    <w:multiLevelType w:val="singleLevel"/>
    <w:tmpl w:val="9FFA002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4F"/>
    <w:rsid w:val="00000893"/>
    <w:rsid w:val="00022EFE"/>
    <w:rsid w:val="000234F3"/>
    <w:rsid w:val="000467D3"/>
    <w:rsid w:val="00077D70"/>
    <w:rsid w:val="000B505A"/>
    <w:rsid w:val="000C05BA"/>
    <w:rsid w:val="000C554F"/>
    <w:rsid w:val="000C60E6"/>
    <w:rsid w:val="000E1E7A"/>
    <w:rsid w:val="000E53CD"/>
    <w:rsid w:val="000F4532"/>
    <w:rsid w:val="000F728F"/>
    <w:rsid w:val="00126FF2"/>
    <w:rsid w:val="001421FA"/>
    <w:rsid w:val="0014781D"/>
    <w:rsid w:val="0015468C"/>
    <w:rsid w:val="00155774"/>
    <w:rsid w:val="00163BD1"/>
    <w:rsid w:val="00165397"/>
    <w:rsid w:val="00180885"/>
    <w:rsid w:val="0019104E"/>
    <w:rsid w:val="001966F2"/>
    <w:rsid w:val="001B6290"/>
    <w:rsid w:val="001C6045"/>
    <w:rsid w:val="001C636C"/>
    <w:rsid w:val="001D133C"/>
    <w:rsid w:val="00205EE0"/>
    <w:rsid w:val="00213E65"/>
    <w:rsid w:val="002158C6"/>
    <w:rsid w:val="00231639"/>
    <w:rsid w:val="002327CF"/>
    <w:rsid w:val="0025214D"/>
    <w:rsid w:val="0025540F"/>
    <w:rsid w:val="0029442A"/>
    <w:rsid w:val="0029660D"/>
    <w:rsid w:val="002B151E"/>
    <w:rsid w:val="002C7DF3"/>
    <w:rsid w:val="002D7034"/>
    <w:rsid w:val="002E6EFE"/>
    <w:rsid w:val="00300798"/>
    <w:rsid w:val="003245E2"/>
    <w:rsid w:val="00385767"/>
    <w:rsid w:val="00386DFB"/>
    <w:rsid w:val="003A232A"/>
    <w:rsid w:val="003B20DD"/>
    <w:rsid w:val="003D4ACB"/>
    <w:rsid w:val="004003E6"/>
    <w:rsid w:val="004062F9"/>
    <w:rsid w:val="00407D39"/>
    <w:rsid w:val="00411867"/>
    <w:rsid w:val="00411882"/>
    <w:rsid w:val="00411FE2"/>
    <w:rsid w:val="0041424D"/>
    <w:rsid w:val="00422504"/>
    <w:rsid w:val="00436003"/>
    <w:rsid w:val="004565E1"/>
    <w:rsid w:val="004641CB"/>
    <w:rsid w:val="00474736"/>
    <w:rsid w:val="00474A71"/>
    <w:rsid w:val="00475C1D"/>
    <w:rsid w:val="004D04AF"/>
    <w:rsid w:val="004D5F2A"/>
    <w:rsid w:val="004E792D"/>
    <w:rsid w:val="00500E0B"/>
    <w:rsid w:val="00527752"/>
    <w:rsid w:val="00532BCC"/>
    <w:rsid w:val="005637BF"/>
    <w:rsid w:val="0057295D"/>
    <w:rsid w:val="0057535F"/>
    <w:rsid w:val="005766C2"/>
    <w:rsid w:val="005817A7"/>
    <w:rsid w:val="00585FDA"/>
    <w:rsid w:val="005861F9"/>
    <w:rsid w:val="005926EC"/>
    <w:rsid w:val="005A5E10"/>
    <w:rsid w:val="005C6FED"/>
    <w:rsid w:val="005E24BB"/>
    <w:rsid w:val="005F3629"/>
    <w:rsid w:val="005F60A6"/>
    <w:rsid w:val="0061186D"/>
    <w:rsid w:val="00612A9A"/>
    <w:rsid w:val="00624D7C"/>
    <w:rsid w:val="006266CC"/>
    <w:rsid w:val="00653082"/>
    <w:rsid w:val="00667D91"/>
    <w:rsid w:val="00694D63"/>
    <w:rsid w:val="006A28F5"/>
    <w:rsid w:val="006E7417"/>
    <w:rsid w:val="006F08F0"/>
    <w:rsid w:val="006F7C68"/>
    <w:rsid w:val="00706E75"/>
    <w:rsid w:val="0071477B"/>
    <w:rsid w:val="007314F2"/>
    <w:rsid w:val="00735129"/>
    <w:rsid w:val="00735A0C"/>
    <w:rsid w:val="007466C4"/>
    <w:rsid w:val="00767A67"/>
    <w:rsid w:val="0077119F"/>
    <w:rsid w:val="0077176B"/>
    <w:rsid w:val="00794225"/>
    <w:rsid w:val="00796B03"/>
    <w:rsid w:val="007A78F3"/>
    <w:rsid w:val="007C3537"/>
    <w:rsid w:val="007E3771"/>
    <w:rsid w:val="007E7C36"/>
    <w:rsid w:val="007E7D99"/>
    <w:rsid w:val="008059DC"/>
    <w:rsid w:val="00816203"/>
    <w:rsid w:val="00826166"/>
    <w:rsid w:val="00830ABF"/>
    <w:rsid w:val="008319B7"/>
    <w:rsid w:val="00842EB6"/>
    <w:rsid w:val="00862F22"/>
    <w:rsid w:val="0086717C"/>
    <w:rsid w:val="00882947"/>
    <w:rsid w:val="00894548"/>
    <w:rsid w:val="008B37C1"/>
    <w:rsid w:val="008B679D"/>
    <w:rsid w:val="008C5164"/>
    <w:rsid w:val="008E2EAC"/>
    <w:rsid w:val="00927417"/>
    <w:rsid w:val="00955197"/>
    <w:rsid w:val="00982702"/>
    <w:rsid w:val="009A3E17"/>
    <w:rsid w:val="009A56FB"/>
    <w:rsid w:val="009B12E0"/>
    <w:rsid w:val="009E3383"/>
    <w:rsid w:val="00A26339"/>
    <w:rsid w:val="00A33D38"/>
    <w:rsid w:val="00A90415"/>
    <w:rsid w:val="00AA139D"/>
    <w:rsid w:val="00AB4445"/>
    <w:rsid w:val="00AE49F3"/>
    <w:rsid w:val="00AE4C63"/>
    <w:rsid w:val="00B02277"/>
    <w:rsid w:val="00B03F79"/>
    <w:rsid w:val="00B078D7"/>
    <w:rsid w:val="00B14654"/>
    <w:rsid w:val="00B14B46"/>
    <w:rsid w:val="00B22D05"/>
    <w:rsid w:val="00B307A8"/>
    <w:rsid w:val="00B32361"/>
    <w:rsid w:val="00B37915"/>
    <w:rsid w:val="00B427DE"/>
    <w:rsid w:val="00B54B87"/>
    <w:rsid w:val="00B74FBF"/>
    <w:rsid w:val="00B77E97"/>
    <w:rsid w:val="00B85D5C"/>
    <w:rsid w:val="00B9323D"/>
    <w:rsid w:val="00B97DFA"/>
    <w:rsid w:val="00BA213C"/>
    <w:rsid w:val="00BC7D21"/>
    <w:rsid w:val="00BD0168"/>
    <w:rsid w:val="00BD455E"/>
    <w:rsid w:val="00BF53F6"/>
    <w:rsid w:val="00C3312F"/>
    <w:rsid w:val="00C6687E"/>
    <w:rsid w:val="00C746DE"/>
    <w:rsid w:val="00C95CF6"/>
    <w:rsid w:val="00CA7431"/>
    <w:rsid w:val="00CB0201"/>
    <w:rsid w:val="00CB5C4D"/>
    <w:rsid w:val="00CB6B6D"/>
    <w:rsid w:val="00CC2F42"/>
    <w:rsid w:val="00CC46A6"/>
    <w:rsid w:val="00CC724F"/>
    <w:rsid w:val="00CD56AF"/>
    <w:rsid w:val="00CE0189"/>
    <w:rsid w:val="00D10372"/>
    <w:rsid w:val="00D11386"/>
    <w:rsid w:val="00D402AB"/>
    <w:rsid w:val="00D45FB6"/>
    <w:rsid w:val="00D81B0C"/>
    <w:rsid w:val="00D84074"/>
    <w:rsid w:val="00D92CD4"/>
    <w:rsid w:val="00D9748F"/>
    <w:rsid w:val="00DA2B43"/>
    <w:rsid w:val="00DB70C6"/>
    <w:rsid w:val="00DC264A"/>
    <w:rsid w:val="00DE6C0F"/>
    <w:rsid w:val="00DF379A"/>
    <w:rsid w:val="00DF63E7"/>
    <w:rsid w:val="00E0297F"/>
    <w:rsid w:val="00E140D7"/>
    <w:rsid w:val="00E2099D"/>
    <w:rsid w:val="00E27120"/>
    <w:rsid w:val="00E47156"/>
    <w:rsid w:val="00E5561E"/>
    <w:rsid w:val="00E62904"/>
    <w:rsid w:val="00E65ABF"/>
    <w:rsid w:val="00E90099"/>
    <w:rsid w:val="00E900DC"/>
    <w:rsid w:val="00E9755A"/>
    <w:rsid w:val="00E97B4F"/>
    <w:rsid w:val="00F00EE1"/>
    <w:rsid w:val="00F117A5"/>
    <w:rsid w:val="00F1481E"/>
    <w:rsid w:val="00F219D7"/>
    <w:rsid w:val="00F22F32"/>
    <w:rsid w:val="00F2625B"/>
    <w:rsid w:val="00F4018E"/>
    <w:rsid w:val="00F41817"/>
    <w:rsid w:val="00F42D74"/>
    <w:rsid w:val="00F44600"/>
    <w:rsid w:val="00F52B1C"/>
    <w:rsid w:val="00F6126D"/>
    <w:rsid w:val="00FF41AE"/>
    <w:rsid w:val="00FF77A8"/>
    <w:rsid w:val="05B057E0"/>
    <w:rsid w:val="06B331CE"/>
    <w:rsid w:val="08805332"/>
    <w:rsid w:val="09D0027E"/>
    <w:rsid w:val="0B3E1AC0"/>
    <w:rsid w:val="0D4C1C87"/>
    <w:rsid w:val="0D4C5E5C"/>
    <w:rsid w:val="0D703BC7"/>
    <w:rsid w:val="0DBA3094"/>
    <w:rsid w:val="12DB7D35"/>
    <w:rsid w:val="15883A78"/>
    <w:rsid w:val="17215F32"/>
    <w:rsid w:val="1A5A2DE1"/>
    <w:rsid w:val="1E0208EF"/>
    <w:rsid w:val="22D1476F"/>
    <w:rsid w:val="2849353B"/>
    <w:rsid w:val="2C151C67"/>
    <w:rsid w:val="2E0A681D"/>
    <w:rsid w:val="30136B4D"/>
    <w:rsid w:val="307072DF"/>
    <w:rsid w:val="314A25F5"/>
    <w:rsid w:val="351A4352"/>
    <w:rsid w:val="38653A79"/>
    <w:rsid w:val="3BAC0F6E"/>
    <w:rsid w:val="3E63708A"/>
    <w:rsid w:val="3EFFB7F8"/>
    <w:rsid w:val="46B0314E"/>
    <w:rsid w:val="494C41EC"/>
    <w:rsid w:val="4B8E5292"/>
    <w:rsid w:val="4D1C7453"/>
    <w:rsid w:val="4E7C1E32"/>
    <w:rsid w:val="4E83377B"/>
    <w:rsid w:val="50056699"/>
    <w:rsid w:val="51530621"/>
    <w:rsid w:val="526F3A1A"/>
    <w:rsid w:val="52ED493F"/>
    <w:rsid w:val="54881636"/>
    <w:rsid w:val="55AA4D69"/>
    <w:rsid w:val="56955A19"/>
    <w:rsid w:val="56AE79BC"/>
    <w:rsid w:val="5B9F5A80"/>
    <w:rsid w:val="5CDC0105"/>
    <w:rsid w:val="5D07484F"/>
    <w:rsid w:val="61617F0B"/>
    <w:rsid w:val="62895C52"/>
    <w:rsid w:val="632779F9"/>
    <w:rsid w:val="63BA086D"/>
    <w:rsid w:val="651421FF"/>
    <w:rsid w:val="6640216C"/>
    <w:rsid w:val="686F7E78"/>
    <w:rsid w:val="68C33A81"/>
    <w:rsid w:val="68C55CEA"/>
    <w:rsid w:val="6AA656A7"/>
    <w:rsid w:val="6B0845B4"/>
    <w:rsid w:val="6E2C3DAF"/>
    <w:rsid w:val="6E623CFD"/>
    <w:rsid w:val="6F67B8E2"/>
    <w:rsid w:val="730438B3"/>
    <w:rsid w:val="75175B20"/>
    <w:rsid w:val="790939D1"/>
    <w:rsid w:val="7BB67C52"/>
    <w:rsid w:val="7BDC361F"/>
    <w:rsid w:val="BD672FB7"/>
    <w:rsid w:val="CF9FCD12"/>
    <w:rsid w:val="D3EFF22D"/>
    <w:rsid w:val="DFFB0CCE"/>
    <w:rsid w:val="FEF7B393"/>
    <w:rsid w:val="FFF7F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0">
    <w:name w:val="p15"/>
    <w:basedOn w:val="1"/>
    <w:qFormat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4156</Words>
  <Characters>5108</Characters>
  <Lines>16</Lines>
  <Paragraphs>4</Paragraphs>
  <TotalTime>4</TotalTime>
  <ScaleCrop>false</ScaleCrop>
  <LinksUpToDate>false</LinksUpToDate>
  <CharactersWithSpaces>5148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2022-03-03T23:24:00Z</dcterms:created>
  <dc:creator>hsq</dc:creator>
  <cp:lastModifiedBy>黄舒倩</cp:lastModifiedBy>
  <cp:lastPrinted>2024-10-25T00:10:00Z</cp:lastPrinted>
  <dcterms:modified xsi:type="dcterms:W3CDTF">2025-05-13T09:54:34Z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5F1FC9D3E0DD4EAD351D1C6866CE9974_42</vt:lpwstr>
  </property>
  <property fmtid="{D5CDD505-2E9C-101B-9397-08002B2CF9AE}" pid="4" name="KSOTemplateDocerSaveRecord">
    <vt:lpwstr>eyJoZGlkIjoiYjc3NTVmODk5OWI4YTU0YmU5MTlhYzJjMjBkNzFlNmEiLCJ1c2VySWQiOiIyNDMwNTgyMjAifQ==</vt:lpwstr>
  </property>
</Properties>
</file>