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D4F8AC">
      <w:pPr>
        <w:rPr>
          <w:rFonts w:ascii="宋体" w:hAnsi="宋体"/>
        </w:rPr>
      </w:pPr>
      <w:r>
        <w:rPr>
          <w:rFonts w:ascii="宋体" w:hAnsi="宋体" w:cs="宋体"/>
          <w:kern w:val="0"/>
          <w:sz w:val="24"/>
        </w:rPr>
        <mc:AlternateContent>
          <mc:Choice Requires="wps">
            <w:drawing>
              <wp:anchor distT="0" distB="0" distL="114300" distR="114300" simplePos="0" relativeHeight="251660288" behindDoc="0" locked="0" layoutInCell="1" allowOverlap="1">
                <wp:simplePos x="0" y="0"/>
                <wp:positionH relativeFrom="column">
                  <wp:posOffset>2971800</wp:posOffset>
                </wp:positionH>
                <wp:positionV relativeFrom="paragraph">
                  <wp:posOffset>198120</wp:posOffset>
                </wp:positionV>
                <wp:extent cx="2622550" cy="495300"/>
                <wp:effectExtent l="0" t="0" r="6350" b="0"/>
                <wp:wrapNone/>
                <wp:docPr id="2" name="文本框 3"/>
                <wp:cNvGraphicFramePr/>
                <a:graphic xmlns:a="http://schemas.openxmlformats.org/drawingml/2006/main">
                  <a:graphicData uri="http://schemas.microsoft.com/office/word/2010/wordprocessingShape">
                    <wps:wsp>
                      <wps:cNvSpPr txBox="1"/>
                      <wps:spPr>
                        <a:xfrm>
                          <a:off x="0" y="0"/>
                          <a:ext cx="2622550" cy="495300"/>
                        </a:xfrm>
                        <a:prstGeom prst="rect">
                          <a:avLst/>
                        </a:prstGeom>
                        <a:solidFill>
                          <a:srgbClr val="FFFFFF"/>
                        </a:solidFill>
                        <a:ln>
                          <a:noFill/>
                        </a:ln>
                      </wps:spPr>
                      <wps:txbx>
                        <w:txbxContent>
                          <w:p w14:paraId="45DAF9C0">
                            <w:pPr>
                              <w:rPr>
                                <w:rFonts w:hint="eastAsia" w:ascii="宋体" w:hAnsi="宋体"/>
                                <w:sz w:val="18"/>
                                <w:szCs w:val="18"/>
                              </w:rPr>
                            </w:pPr>
                            <w:r>
                              <w:rPr>
                                <w:rFonts w:hint="eastAsia" w:ascii="宋体" w:hAnsi="宋体"/>
                                <w:sz w:val="18"/>
                                <w:szCs w:val="18"/>
                              </w:rPr>
                              <w:t>广东省汕头市金砂东路106号国商大厦A幢2203</w:t>
                            </w:r>
                          </w:p>
                          <w:p w14:paraId="68963C60">
                            <w:pPr>
                              <w:rPr>
                                <w:rFonts w:hint="eastAsia" w:ascii="宋体" w:hAnsi="宋体"/>
                                <w:sz w:val="18"/>
                                <w:szCs w:val="18"/>
                              </w:rPr>
                            </w:pPr>
                            <w:r>
                              <w:rPr>
                                <w:rFonts w:ascii="宋体" w:hAnsi="宋体"/>
                                <w:sz w:val="18"/>
                                <w:szCs w:val="18"/>
                              </w:rPr>
                              <w:t>T</w:t>
                            </w:r>
                            <w:r>
                              <w:rPr>
                                <w:rFonts w:hint="eastAsia" w:ascii="宋体" w:hAnsi="宋体"/>
                                <w:sz w:val="18"/>
                                <w:szCs w:val="18"/>
                              </w:rPr>
                              <w:t>el:0754-88464728    fax:0754-88464718</w:t>
                            </w:r>
                          </w:p>
                        </w:txbxContent>
                      </wps:txbx>
                      <wps:bodyPr wrap="square" upright="1"/>
                    </wps:wsp>
                  </a:graphicData>
                </a:graphic>
              </wp:anchor>
            </w:drawing>
          </mc:Choice>
          <mc:Fallback>
            <w:pict>
              <v:shape id="文本框 3" o:spid="_x0000_s1026" o:spt="202" type="#_x0000_t202" style="position:absolute;left:0pt;margin-left:234pt;margin-top:15.6pt;height:39pt;width:206.5pt;z-index:251660288;mso-width-relative:page;mso-height-relative:page;" fillcolor="#FFFFFF" filled="t" stroked="f" coordsize="21600,21600" o:gfxdata="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&#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z1APDYAAAACgEAAA8AAAAAAAAAAQAgAAAAIgAAAGRy&#10;cy9kb3ducmV2LnhtbFBLAQIUABQAAAAIAIdO4kAbkXeMzAEAAIUDAAAOAAAAAAAAAAEAIAAAACcB&#10;AABkcnMvZTJvRG9jLnhtbFBLBQYAAAAABgAGAFkBAABlBQAAAAA=&#10;">
                <v:fill on="t" focussize="0,0"/>
                <v:stroke on="f"/>
                <v:imagedata o:title=""/>
                <o:lock v:ext="edit" aspectratio="f"/>
                <v:textbox>
                  <w:txbxContent>
                    <w:p w14:paraId="45DAF9C0">
                      <w:pPr>
                        <w:rPr>
                          <w:rFonts w:hint="eastAsia" w:ascii="宋体" w:hAnsi="宋体"/>
                          <w:sz w:val="18"/>
                          <w:szCs w:val="18"/>
                        </w:rPr>
                      </w:pPr>
                      <w:r>
                        <w:rPr>
                          <w:rFonts w:hint="eastAsia" w:ascii="宋体" w:hAnsi="宋体"/>
                          <w:sz w:val="18"/>
                          <w:szCs w:val="18"/>
                        </w:rPr>
                        <w:t>广东省汕头市金砂东路106号国商大厦A幢2203</w:t>
                      </w:r>
                    </w:p>
                    <w:p w14:paraId="68963C60">
                      <w:pPr>
                        <w:rPr>
                          <w:rFonts w:hint="eastAsia" w:ascii="宋体" w:hAnsi="宋体"/>
                          <w:sz w:val="18"/>
                          <w:szCs w:val="18"/>
                        </w:rPr>
                      </w:pPr>
                      <w:r>
                        <w:rPr>
                          <w:rFonts w:ascii="宋体" w:hAnsi="宋体"/>
                          <w:sz w:val="18"/>
                          <w:szCs w:val="18"/>
                        </w:rPr>
                        <w:t>T</w:t>
                      </w:r>
                      <w:r>
                        <w:rPr>
                          <w:rFonts w:hint="eastAsia" w:ascii="宋体" w:hAnsi="宋体"/>
                          <w:sz w:val="18"/>
                          <w:szCs w:val="18"/>
                        </w:rPr>
                        <w:t>el:0754-88464728    fax:0754-88464718</w:t>
                      </w:r>
                    </w:p>
                  </w:txbxContent>
                </v:textbox>
              </v:shape>
            </w:pict>
          </mc:Fallback>
        </mc:AlternateContent>
      </w:r>
      <w:r>
        <w:rPr>
          <w:rFonts w:ascii="宋体" w:hAnsi="宋体" w:cs="宋体"/>
          <w:kern w:val="0"/>
          <w:sz w:val="24"/>
        </w:rPr>
        <mc:AlternateContent>
          <mc:Choice Requires="wps">
            <w:drawing>
              <wp:anchor distT="0" distB="0" distL="114300" distR="114300" simplePos="0" relativeHeight="251659264" behindDoc="0" locked="0" layoutInCell="1" allowOverlap="1">
                <wp:simplePos x="0" y="0"/>
                <wp:positionH relativeFrom="column">
                  <wp:posOffset>800100</wp:posOffset>
                </wp:positionH>
                <wp:positionV relativeFrom="paragraph">
                  <wp:posOffset>198120</wp:posOffset>
                </wp:positionV>
                <wp:extent cx="2400300" cy="594360"/>
                <wp:effectExtent l="0" t="0" r="0" b="15240"/>
                <wp:wrapNone/>
                <wp:docPr id="1" name="文本框 2"/>
                <wp:cNvGraphicFramePr/>
                <a:graphic xmlns:a="http://schemas.openxmlformats.org/drawingml/2006/main">
                  <a:graphicData uri="http://schemas.microsoft.com/office/word/2010/wordprocessingShape">
                    <wps:wsp>
                      <wps:cNvSpPr txBox="1"/>
                      <wps:spPr>
                        <a:xfrm>
                          <a:off x="0" y="0"/>
                          <a:ext cx="2400300" cy="594360"/>
                        </a:xfrm>
                        <a:prstGeom prst="rect">
                          <a:avLst/>
                        </a:prstGeom>
                        <a:solidFill>
                          <a:srgbClr val="FFFFFF"/>
                        </a:solidFill>
                        <a:ln>
                          <a:noFill/>
                        </a:ln>
                      </wps:spPr>
                      <wps:txbx>
                        <w:txbxContent>
                          <w:p w14:paraId="56618D06">
                            <w:pPr>
                              <w:rPr>
                                <w:rFonts w:hint="eastAsia" w:ascii="宋体" w:hAnsi="宋体"/>
                                <w:b/>
                                <w:sz w:val="36"/>
                                <w:szCs w:val="36"/>
                              </w:rPr>
                            </w:pPr>
                            <w:r>
                              <w:rPr>
                                <w:rFonts w:hint="eastAsia" w:ascii="宋体" w:hAnsi="宋体"/>
                                <w:b/>
                                <w:sz w:val="36"/>
                                <w:szCs w:val="36"/>
                              </w:rPr>
                              <w:t>广东泛尔律师事务所</w:t>
                            </w:r>
                          </w:p>
                        </w:txbxContent>
                      </wps:txbx>
                      <wps:bodyPr wrap="square" upright="1"/>
                    </wps:wsp>
                  </a:graphicData>
                </a:graphic>
              </wp:anchor>
            </w:drawing>
          </mc:Choice>
          <mc:Fallback>
            <w:pict>
              <v:shape id="文本框 2" o:spid="_x0000_s1026" o:spt="202" type="#_x0000_t202" style="position:absolute;left:0pt;margin-left:63pt;margin-top:15.6pt;height:46.8pt;width:189pt;z-index:251659264;mso-width-relative:page;mso-height-relative:page;" fillcolor="#FFFFFF" filled="t" stroked="f" coordsize="21600,21600" o:gfxdata="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pulG31wAAAAoBAAAPAAAAAAAAAAEAIAAAACIAAABkcnMv&#10;ZG93bnJldi54bWxQSwECFAAUAAAACACHTuJAYXoyX8sBAACFAwAADgAAAAAAAAABACAAAAAmAQAA&#10;ZHJzL2Uyb0RvYy54bWxQSwUGAAAAAAYABgBZAQAAYwUAAAAA&#10;">
                <v:fill on="t" focussize="0,0"/>
                <v:stroke on="f"/>
                <v:imagedata o:title=""/>
                <o:lock v:ext="edit" aspectratio="f"/>
                <v:textbox>
                  <w:txbxContent>
                    <w:p w14:paraId="56618D06">
                      <w:pPr>
                        <w:rPr>
                          <w:rFonts w:hint="eastAsia" w:ascii="宋体" w:hAnsi="宋体"/>
                          <w:b/>
                          <w:sz w:val="36"/>
                          <w:szCs w:val="36"/>
                        </w:rPr>
                      </w:pPr>
                      <w:r>
                        <w:rPr>
                          <w:rFonts w:hint="eastAsia" w:ascii="宋体" w:hAnsi="宋体"/>
                          <w:b/>
                          <w:sz w:val="36"/>
                          <w:szCs w:val="36"/>
                        </w:rPr>
                        <w:t>广东泛尔律师事务所</w:t>
                      </w:r>
                    </w:p>
                  </w:txbxContent>
                </v:textbox>
              </v:shape>
            </w:pict>
          </mc:Fallback>
        </mc:AlternateContent>
      </w:r>
      <w:r>
        <w:rPr>
          <w:rFonts w:ascii="宋体" w:hAnsi="宋体" w:cs="宋体"/>
          <w:kern w:val="0"/>
          <w:sz w:val="24"/>
        </w:rPr>
        <w:drawing>
          <wp:inline distT="0" distB="0" distL="114300" distR="114300">
            <wp:extent cx="800735" cy="488950"/>
            <wp:effectExtent l="0" t="0" r="18415" b="6350"/>
            <wp:docPr id="3" name="图片 1" descr="HIOI}]2H{AN2~`DMW_0{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HIOI}]2H{AN2~`DMW_0{T~7"/>
                    <pic:cNvPicPr>
                      <a:picLocks noChangeAspect="1"/>
                    </pic:cNvPicPr>
                  </pic:nvPicPr>
                  <pic:blipFill>
                    <a:blip r:embed="rId6"/>
                    <a:stretch>
                      <a:fillRect/>
                    </a:stretch>
                  </pic:blipFill>
                  <pic:spPr>
                    <a:xfrm>
                      <a:off x="0" y="0"/>
                      <a:ext cx="800735" cy="488950"/>
                    </a:xfrm>
                    <a:prstGeom prst="rect">
                      <a:avLst/>
                    </a:prstGeom>
                    <a:noFill/>
                    <a:ln>
                      <a:noFill/>
                    </a:ln>
                  </pic:spPr>
                </pic:pic>
              </a:graphicData>
            </a:graphic>
          </wp:inline>
        </w:drawing>
      </w:r>
    </w:p>
    <w:p w14:paraId="00BC1F86">
      <w:pPr>
        <w:adjustRightInd w:val="0"/>
        <w:snapToGrid w:val="0"/>
        <w:spacing w:line="360" w:lineRule="auto"/>
        <w:rPr>
          <w:rFonts w:hint="eastAsia" w:ascii="宋体" w:hAnsi="宋体"/>
          <w:b/>
          <w:sz w:val="44"/>
          <w:szCs w:val="44"/>
          <w:u w:val="single"/>
        </w:rPr>
      </w:pPr>
      <w:r>
        <w:rPr>
          <w:rFonts w:hint="eastAsia" w:ascii="宋体" w:hAnsi="宋体"/>
          <w:b/>
          <w:sz w:val="44"/>
          <w:szCs w:val="44"/>
          <w:u w:val="single"/>
        </w:rPr>
        <w:t xml:space="preserve">                                         </w:t>
      </w:r>
    </w:p>
    <w:p w14:paraId="4D1C3484">
      <w:pPr>
        <w:jc w:val="center"/>
        <w:rPr>
          <w:rFonts w:hint="eastAsia" w:ascii="宋体" w:hAnsi="宋体"/>
          <w:b/>
          <w:sz w:val="44"/>
          <w:szCs w:val="44"/>
        </w:rPr>
      </w:pPr>
    </w:p>
    <w:p w14:paraId="4A93DDC7">
      <w:pPr>
        <w:jc w:val="center"/>
        <w:rPr>
          <w:rFonts w:hint="eastAsia" w:ascii="宋体" w:hAnsi="宋体"/>
          <w:b/>
          <w:sz w:val="44"/>
          <w:szCs w:val="44"/>
        </w:rPr>
      </w:pPr>
    </w:p>
    <w:p w14:paraId="189D00C5">
      <w:pPr>
        <w:jc w:val="center"/>
        <w:rPr>
          <w:rFonts w:hint="eastAsia" w:ascii="宋体" w:hAnsi="宋体"/>
          <w:b/>
          <w:sz w:val="44"/>
          <w:szCs w:val="44"/>
        </w:rPr>
      </w:pPr>
    </w:p>
    <w:p w14:paraId="7398A8F5">
      <w:pPr>
        <w:jc w:val="center"/>
        <w:rPr>
          <w:rFonts w:hint="eastAsia" w:ascii="宋体" w:hAnsi="宋体"/>
          <w:b/>
          <w:sz w:val="44"/>
          <w:szCs w:val="44"/>
        </w:rPr>
      </w:pPr>
    </w:p>
    <w:p w14:paraId="362E753A">
      <w:pPr>
        <w:jc w:val="center"/>
        <w:rPr>
          <w:rFonts w:hint="eastAsia" w:ascii="宋体" w:hAnsi="宋体"/>
          <w:b/>
          <w:sz w:val="36"/>
          <w:szCs w:val="36"/>
        </w:rPr>
      </w:pPr>
      <w:r>
        <w:rPr>
          <w:rFonts w:hint="eastAsia" w:ascii="宋体" w:hAnsi="宋体"/>
          <w:b/>
          <w:sz w:val="36"/>
          <w:szCs w:val="36"/>
        </w:rPr>
        <w:t>广东泛尔律师事务所</w:t>
      </w:r>
    </w:p>
    <w:p w14:paraId="0A446A8E">
      <w:pPr>
        <w:jc w:val="center"/>
        <w:rPr>
          <w:rFonts w:hint="eastAsia" w:ascii="宋体" w:hAnsi="宋体"/>
          <w:b/>
          <w:sz w:val="36"/>
          <w:szCs w:val="36"/>
        </w:rPr>
      </w:pPr>
      <w:r>
        <w:rPr>
          <w:rFonts w:hint="eastAsia" w:ascii="宋体" w:hAnsi="宋体"/>
          <w:b/>
          <w:sz w:val="36"/>
          <w:szCs w:val="36"/>
        </w:rPr>
        <w:t>关于广东天亿马信息产业股份有限公司</w:t>
      </w:r>
    </w:p>
    <w:p w14:paraId="12805CBC">
      <w:pPr>
        <w:jc w:val="center"/>
        <w:rPr>
          <w:rFonts w:hint="eastAsia" w:ascii="宋体" w:hAnsi="宋体"/>
          <w:b/>
          <w:sz w:val="36"/>
          <w:szCs w:val="36"/>
        </w:rPr>
      </w:pPr>
      <w:r>
        <w:rPr>
          <w:rFonts w:hint="eastAsia" w:ascii="宋体" w:hAnsi="宋体"/>
          <w:b/>
          <w:sz w:val="36"/>
          <w:szCs w:val="36"/>
        </w:rPr>
        <w:t>2024年年度股东会</w:t>
      </w:r>
    </w:p>
    <w:p w14:paraId="0603C242">
      <w:pPr>
        <w:jc w:val="center"/>
        <w:rPr>
          <w:rFonts w:hint="eastAsia" w:ascii="宋体" w:hAnsi="宋体"/>
          <w:b/>
          <w:sz w:val="36"/>
          <w:szCs w:val="36"/>
        </w:rPr>
      </w:pPr>
    </w:p>
    <w:p w14:paraId="3969649C">
      <w:pPr>
        <w:jc w:val="center"/>
        <w:rPr>
          <w:rFonts w:hint="eastAsia" w:ascii="宋体" w:hAnsi="宋体"/>
          <w:b/>
          <w:sz w:val="48"/>
          <w:szCs w:val="48"/>
        </w:rPr>
      </w:pPr>
      <w:r>
        <w:rPr>
          <w:rFonts w:hint="eastAsia" w:ascii="宋体" w:hAnsi="宋体"/>
          <w:b/>
          <w:sz w:val="48"/>
          <w:szCs w:val="48"/>
        </w:rPr>
        <w:t>法律意见书</w:t>
      </w:r>
    </w:p>
    <w:p w14:paraId="74A9C8BC">
      <w:pPr>
        <w:jc w:val="center"/>
        <w:rPr>
          <w:rFonts w:hint="eastAsia" w:ascii="宋体" w:hAnsi="宋体"/>
          <w:b/>
          <w:sz w:val="44"/>
          <w:szCs w:val="44"/>
        </w:rPr>
      </w:pPr>
    </w:p>
    <w:p w14:paraId="49AD88FB">
      <w:pPr>
        <w:jc w:val="center"/>
        <w:rPr>
          <w:rFonts w:hint="eastAsia" w:ascii="宋体" w:hAnsi="宋体"/>
          <w:b/>
          <w:sz w:val="44"/>
          <w:szCs w:val="44"/>
        </w:rPr>
      </w:pPr>
    </w:p>
    <w:p w14:paraId="0BE503AE">
      <w:pPr>
        <w:jc w:val="center"/>
        <w:rPr>
          <w:rFonts w:hint="eastAsia" w:ascii="宋体" w:hAnsi="宋体"/>
          <w:b/>
          <w:sz w:val="44"/>
          <w:szCs w:val="44"/>
        </w:rPr>
      </w:pPr>
    </w:p>
    <w:p w14:paraId="14097663">
      <w:pPr>
        <w:jc w:val="center"/>
        <w:rPr>
          <w:rFonts w:hint="eastAsia" w:ascii="宋体" w:hAnsi="宋体"/>
          <w:b/>
          <w:sz w:val="44"/>
          <w:szCs w:val="44"/>
        </w:rPr>
      </w:pPr>
    </w:p>
    <w:p w14:paraId="6B122054">
      <w:pPr>
        <w:jc w:val="center"/>
        <w:rPr>
          <w:rFonts w:hint="eastAsia" w:ascii="宋体" w:hAnsi="宋体"/>
          <w:b/>
          <w:sz w:val="44"/>
          <w:szCs w:val="44"/>
        </w:rPr>
      </w:pPr>
    </w:p>
    <w:p w14:paraId="5982E197">
      <w:pPr>
        <w:jc w:val="center"/>
        <w:rPr>
          <w:rFonts w:hint="eastAsia" w:ascii="宋体" w:hAnsi="宋体"/>
          <w:b/>
          <w:sz w:val="44"/>
          <w:szCs w:val="44"/>
        </w:rPr>
      </w:pPr>
    </w:p>
    <w:p w14:paraId="411F38E9">
      <w:pPr>
        <w:jc w:val="center"/>
        <w:rPr>
          <w:rFonts w:hint="eastAsia" w:ascii="宋体" w:hAnsi="宋体"/>
          <w:b/>
          <w:sz w:val="44"/>
          <w:szCs w:val="44"/>
        </w:rPr>
      </w:pPr>
    </w:p>
    <w:p w14:paraId="38C83556">
      <w:pPr>
        <w:jc w:val="center"/>
        <w:rPr>
          <w:rFonts w:hint="eastAsia" w:ascii="宋体" w:hAnsi="宋体"/>
          <w:b/>
          <w:sz w:val="44"/>
          <w:szCs w:val="44"/>
        </w:rPr>
      </w:pPr>
    </w:p>
    <w:p w14:paraId="6B23F4E4">
      <w:pPr>
        <w:jc w:val="center"/>
        <w:rPr>
          <w:rFonts w:hint="eastAsia" w:ascii="宋体" w:hAnsi="宋体"/>
          <w:b/>
          <w:sz w:val="44"/>
          <w:szCs w:val="44"/>
        </w:rPr>
      </w:pPr>
    </w:p>
    <w:p w14:paraId="25F38948">
      <w:pPr>
        <w:rPr>
          <w:rFonts w:ascii="宋体" w:hAnsi="宋体"/>
          <w:b/>
          <w:sz w:val="44"/>
          <w:szCs w:val="44"/>
        </w:rPr>
        <w:sectPr>
          <w:footerReference r:id="rId3" w:type="default"/>
          <w:pgSz w:w="11906" w:h="16838"/>
          <w:pgMar w:top="1440" w:right="1800" w:bottom="1440" w:left="1800" w:header="851" w:footer="992" w:gutter="0"/>
          <w:cols w:space="720" w:num="1"/>
          <w:docGrid w:type="lines" w:linePitch="312" w:charSpace="0"/>
        </w:sectPr>
      </w:pPr>
    </w:p>
    <w:p w14:paraId="0DF88A00">
      <w:pPr>
        <w:pStyle w:val="2"/>
        <w:rPr>
          <w:rFonts w:hint="eastAsia"/>
        </w:rPr>
      </w:pPr>
      <w:bookmarkStart w:id="0" w:name="_Toc479529672"/>
      <w:bookmarkStart w:id="1" w:name="_Toc198050682"/>
      <w:r>
        <w:rPr>
          <w:rFonts w:hint="eastAsia"/>
        </w:rPr>
        <w:t>目录</w:t>
      </w:r>
      <w:bookmarkEnd w:id="0"/>
      <w:bookmarkEnd w:id="1"/>
    </w:p>
    <w:p w14:paraId="30A83F0B">
      <w:pPr>
        <w:pStyle w:val="8"/>
        <w:tabs>
          <w:tab w:val="right" w:leader="dot" w:pos="8296"/>
        </w:tabs>
        <w:rPr>
          <w:rFonts w:hint="eastAsia" w:ascii="等线" w:hAnsi="等线" w:eastAsia="等线"/>
          <w:sz w:val="22"/>
        </w:rPr>
      </w:pPr>
      <w:r>
        <w:fldChar w:fldCharType="begin"/>
      </w:r>
      <w:r>
        <w:instrText xml:space="preserve"> TOC \o "1-3" \h \z \u </w:instrText>
      </w:r>
      <w:r>
        <w:fldChar w:fldCharType="separate"/>
      </w:r>
      <w:r>
        <w:rPr>
          <w:rStyle w:val="13"/>
          <w:rFonts w:hint="eastAsia"/>
        </w:rPr>
        <w:fldChar w:fldCharType="begin"/>
      </w:r>
      <w:r>
        <w:rPr>
          <w:rStyle w:val="13"/>
          <w:rFonts w:hint="eastAsia"/>
        </w:rPr>
        <w:instrText xml:space="preserve"> </w:instrText>
      </w:r>
      <w:r>
        <w:rPr>
          <w:rFonts w:hint="eastAsia"/>
        </w:rPr>
        <w:instrText xml:space="preserve">HYPERLINK \l "_Toc198050682"</w:instrText>
      </w:r>
      <w:r>
        <w:rPr>
          <w:rStyle w:val="13"/>
          <w:rFonts w:hint="eastAsia"/>
        </w:rPr>
        <w:instrText xml:space="preserve"> </w:instrText>
      </w:r>
      <w:r>
        <w:rPr>
          <w:rStyle w:val="13"/>
          <w:rFonts w:hint="eastAsia"/>
        </w:rPr>
        <w:fldChar w:fldCharType="separate"/>
      </w:r>
      <w:r>
        <w:rPr>
          <w:rStyle w:val="13"/>
          <w:rFonts w:hint="eastAsia"/>
        </w:rPr>
        <w:t>目录</w:t>
      </w:r>
      <w:r>
        <w:rPr>
          <w:rFonts w:hint="eastAsia"/>
        </w:rPr>
        <w:tab/>
      </w:r>
      <w:r>
        <w:rPr>
          <w:rFonts w:hint="eastAsia"/>
        </w:rPr>
        <w:fldChar w:fldCharType="begin"/>
      </w:r>
      <w:r>
        <w:rPr>
          <w:rFonts w:hint="eastAsia"/>
        </w:rPr>
        <w:instrText xml:space="preserve"> </w:instrText>
      </w:r>
      <w:r>
        <w:instrText xml:space="preserve">PAGEREF _Toc198050682 \h</w:instrText>
      </w:r>
      <w:r>
        <w:rPr>
          <w:rFonts w:hint="eastAsia"/>
        </w:rPr>
        <w:instrText xml:space="preserve"> </w:instrText>
      </w:r>
      <w:r>
        <w:fldChar w:fldCharType="separate"/>
      </w:r>
      <w:r>
        <w:t>2</w:t>
      </w:r>
      <w:r>
        <w:rPr>
          <w:rFonts w:hint="eastAsia"/>
        </w:rPr>
        <w:fldChar w:fldCharType="end"/>
      </w:r>
      <w:r>
        <w:rPr>
          <w:rStyle w:val="13"/>
          <w:rFonts w:hint="eastAsia"/>
        </w:rPr>
        <w:fldChar w:fldCharType="end"/>
      </w:r>
      <w:bookmarkStart w:id="21" w:name="_GoBack"/>
      <w:bookmarkEnd w:id="21"/>
    </w:p>
    <w:p w14:paraId="6C8020A1">
      <w:pPr>
        <w:pStyle w:val="8"/>
        <w:tabs>
          <w:tab w:val="right" w:leader="dot" w:pos="8296"/>
        </w:tabs>
        <w:rPr>
          <w:rFonts w:hint="eastAsia" w:ascii="等线" w:hAnsi="等线" w:eastAsia="等线"/>
          <w:sz w:val="22"/>
        </w:rPr>
      </w:pPr>
      <w:r>
        <w:rPr>
          <w:rStyle w:val="13"/>
          <w:rFonts w:hint="eastAsia"/>
        </w:rPr>
        <w:fldChar w:fldCharType="begin"/>
      </w:r>
      <w:r>
        <w:rPr>
          <w:rStyle w:val="13"/>
          <w:rFonts w:hint="eastAsia"/>
        </w:rPr>
        <w:instrText xml:space="preserve"> </w:instrText>
      </w:r>
      <w:r>
        <w:rPr>
          <w:rFonts w:hint="eastAsia"/>
        </w:rPr>
        <w:instrText xml:space="preserve">HYPERLINK \l "_Toc198050683"</w:instrText>
      </w:r>
      <w:r>
        <w:rPr>
          <w:rStyle w:val="13"/>
          <w:rFonts w:hint="eastAsia"/>
        </w:rPr>
        <w:instrText xml:space="preserve"> </w:instrText>
      </w:r>
      <w:r>
        <w:rPr>
          <w:rStyle w:val="13"/>
          <w:rFonts w:hint="eastAsia"/>
        </w:rPr>
        <w:fldChar w:fldCharType="separate"/>
      </w:r>
      <w:r>
        <w:rPr>
          <w:rStyle w:val="13"/>
          <w:rFonts w:hint="eastAsia" w:ascii="仿宋" w:hAnsi="仿宋" w:eastAsia="仿宋"/>
        </w:rPr>
        <w:t>正文</w:t>
      </w:r>
      <w:r>
        <w:rPr>
          <w:rFonts w:hint="eastAsia"/>
        </w:rPr>
        <w:tab/>
      </w:r>
      <w:r>
        <w:rPr>
          <w:rFonts w:hint="eastAsia"/>
        </w:rPr>
        <w:fldChar w:fldCharType="begin"/>
      </w:r>
      <w:r>
        <w:rPr>
          <w:rFonts w:hint="eastAsia"/>
        </w:rPr>
        <w:instrText xml:space="preserve"> </w:instrText>
      </w:r>
      <w:r>
        <w:instrText xml:space="preserve">PAGEREF _Toc198050683 \h</w:instrText>
      </w:r>
      <w:r>
        <w:rPr>
          <w:rFonts w:hint="eastAsia"/>
        </w:rPr>
        <w:instrText xml:space="preserve"> </w:instrText>
      </w:r>
      <w:r>
        <w:fldChar w:fldCharType="separate"/>
      </w:r>
      <w:r>
        <w:t>3</w:t>
      </w:r>
      <w:r>
        <w:rPr>
          <w:rFonts w:hint="eastAsia"/>
        </w:rPr>
        <w:fldChar w:fldCharType="end"/>
      </w:r>
      <w:r>
        <w:rPr>
          <w:rStyle w:val="13"/>
          <w:rFonts w:hint="eastAsia"/>
        </w:rPr>
        <w:fldChar w:fldCharType="end"/>
      </w:r>
    </w:p>
    <w:p w14:paraId="1F77812C">
      <w:pPr>
        <w:pStyle w:val="8"/>
        <w:tabs>
          <w:tab w:val="right" w:leader="dot" w:pos="8296"/>
        </w:tabs>
        <w:rPr>
          <w:rFonts w:hint="eastAsia" w:ascii="等线" w:hAnsi="等线" w:eastAsia="等线"/>
          <w:sz w:val="22"/>
        </w:rPr>
      </w:pPr>
      <w:r>
        <w:rPr>
          <w:rStyle w:val="13"/>
          <w:rFonts w:hint="eastAsia"/>
        </w:rPr>
        <w:fldChar w:fldCharType="begin"/>
      </w:r>
      <w:r>
        <w:rPr>
          <w:rStyle w:val="13"/>
          <w:rFonts w:hint="eastAsia"/>
        </w:rPr>
        <w:instrText xml:space="preserve"> </w:instrText>
      </w:r>
      <w:r>
        <w:rPr>
          <w:rFonts w:hint="eastAsia"/>
        </w:rPr>
        <w:instrText xml:space="preserve">HYPERLINK \l "_Toc198050684"</w:instrText>
      </w:r>
      <w:r>
        <w:rPr>
          <w:rStyle w:val="13"/>
          <w:rFonts w:hint="eastAsia"/>
        </w:rPr>
        <w:instrText xml:space="preserve"> </w:instrText>
      </w:r>
      <w:r>
        <w:rPr>
          <w:rStyle w:val="13"/>
          <w:rFonts w:hint="eastAsia"/>
        </w:rPr>
        <w:fldChar w:fldCharType="separate"/>
      </w:r>
      <w:r>
        <w:rPr>
          <w:rStyle w:val="13"/>
          <w:rFonts w:hint="eastAsia" w:ascii="仿宋" w:hAnsi="仿宋" w:eastAsia="仿宋"/>
        </w:rPr>
        <w:t>一、本次股东会的召集、召开程序</w:t>
      </w:r>
      <w:r>
        <w:rPr>
          <w:rFonts w:hint="eastAsia"/>
        </w:rPr>
        <w:tab/>
      </w:r>
      <w:r>
        <w:rPr>
          <w:rFonts w:hint="eastAsia"/>
        </w:rPr>
        <w:fldChar w:fldCharType="begin"/>
      </w:r>
      <w:r>
        <w:rPr>
          <w:rFonts w:hint="eastAsia"/>
        </w:rPr>
        <w:instrText xml:space="preserve"> </w:instrText>
      </w:r>
      <w:r>
        <w:instrText xml:space="preserve">PAGEREF _Toc198050684 \h</w:instrText>
      </w:r>
      <w:r>
        <w:rPr>
          <w:rFonts w:hint="eastAsia"/>
        </w:rPr>
        <w:instrText xml:space="preserve"> </w:instrText>
      </w:r>
      <w:r>
        <w:fldChar w:fldCharType="separate"/>
      </w:r>
      <w:r>
        <w:t>3</w:t>
      </w:r>
      <w:r>
        <w:rPr>
          <w:rFonts w:hint="eastAsia"/>
        </w:rPr>
        <w:fldChar w:fldCharType="end"/>
      </w:r>
      <w:r>
        <w:rPr>
          <w:rStyle w:val="13"/>
          <w:rFonts w:hint="eastAsia"/>
        </w:rPr>
        <w:fldChar w:fldCharType="end"/>
      </w:r>
    </w:p>
    <w:p w14:paraId="778EA09A">
      <w:pPr>
        <w:pStyle w:val="8"/>
        <w:tabs>
          <w:tab w:val="right" w:leader="dot" w:pos="8296"/>
        </w:tabs>
        <w:rPr>
          <w:rFonts w:hint="eastAsia" w:ascii="等线" w:hAnsi="等线" w:eastAsia="等线"/>
          <w:sz w:val="22"/>
        </w:rPr>
      </w:pPr>
      <w:r>
        <w:rPr>
          <w:rStyle w:val="13"/>
          <w:rFonts w:hint="eastAsia"/>
        </w:rPr>
        <w:fldChar w:fldCharType="begin"/>
      </w:r>
      <w:r>
        <w:rPr>
          <w:rStyle w:val="13"/>
          <w:rFonts w:hint="eastAsia"/>
        </w:rPr>
        <w:instrText xml:space="preserve"> </w:instrText>
      </w:r>
      <w:r>
        <w:rPr>
          <w:rFonts w:hint="eastAsia"/>
        </w:rPr>
        <w:instrText xml:space="preserve">HYPERLINK \l "_Toc198050685"</w:instrText>
      </w:r>
      <w:r>
        <w:rPr>
          <w:rStyle w:val="13"/>
          <w:rFonts w:hint="eastAsia"/>
        </w:rPr>
        <w:instrText xml:space="preserve"> </w:instrText>
      </w:r>
      <w:r>
        <w:rPr>
          <w:rStyle w:val="13"/>
          <w:rFonts w:hint="eastAsia"/>
        </w:rPr>
        <w:fldChar w:fldCharType="separate"/>
      </w:r>
      <w:r>
        <w:rPr>
          <w:rStyle w:val="13"/>
          <w:rFonts w:hint="eastAsia" w:ascii="仿宋" w:hAnsi="仿宋" w:eastAsia="仿宋"/>
        </w:rPr>
        <w:t>二、出席本次股东会会议人员的资格</w:t>
      </w:r>
      <w:r>
        <w:rPr>
          <w:rFonts w:hint="eastAsia"/>
        </w:rPr>
        <w:tab/>
      </w:r>
      <w:r>
        <w:rPr>
          <w:rFonts w:hint="eastAsia"/>
        </w:rPr>
        <w:fldChar w:fldCharType="begin"/>
      </w:r>
      <w:r>
        <w:rPr>
          <w:rFonts w:hint="eastAsia"/>
        </w:rPr>
        <w:instrText xml:space="preserve"> </w:instrText>
      </w:r>
      <w:r>
        <w:instrText xml:space="preserve">PAGEREF _Toc198050685 \h</w:instrText>
      </w:r>
      <w:r>
        <w:rPr>
          <w:rFonts w:hint="eastAsia"/>
        </w:rPr>
        <w:instrText xml:space="preserve"> </w:instrText>
      </w:r>
      <w:r>
        <w:fldChar w:fldCharType="separate"/>
      </w:r>
      <w:r>
        <w:t>3</w:t>
      </w:r>
      <w:r>
        <w:rPr>
          <w:rFonts w:hint="eastAsia"/>
        </w:rPr>
        <w:fldChar w:fldCharType="end"/>
      </w:r>
      <w:r>
        <w:rPr>
          <w:rStyle w:val="13"/>
          <w:rFonts w:hint="eastAsia"/>
        </w:rPr>
        <w:fldChar w:fldCharType="end"/>
      </w:r>
    </w:p>
    <w:p w14:paraId="783103E5">
      <w:pPr>
        <w:pStyle w:val="8"/>
        <w:tabs>
          <w:tab w:val="right" w:leader="dot" w:pos="8296"/>
        </w:tabs>
        <w:rPr>
          <w:rFonts w:hint="eastAsia" w:ascii="等线" w:hAnsi="等线" w:eastAsia="等线"/>
          <w:sz w:val="22"/>
        </w:rPr>
      </w:pPr>
      <w:r>
        <w:rPr>
          <w:rStyle w:val="13"/>
          <w:rFonts w:hint="eastAsia"/>
        </w:rPr>
        <w:fldChar w:fldCharType="begin"/>
      </w:r>
      <w:r>
        <w:rPr>
          <w:rStyle w:val="13"/>
          <w:rFonts w:hint="eastAsia"/>
        </w:rPr>
        <w:instrText xml:space="preserve"> </w:instrText>
      </w:r>
      <w:r>
        <w:rPr>
          <w:rFonts w:hint="eastAsia"/>
        </w:rPr>
        <w:instrText xml:space="preserve">HYPERLINK \l "_Toc198050686"</w:instrText>
      </w:r>
      <w:r>
        <w:rPr>
          <w:rStyle w:val="13"/>
          <w:rFonts w:hint="eastAsia"/>
        </w:rPr>
        <w:instrText xml:space="preserve"> </w:instrText>
      </w:r>
      <w:r>
        <w:rPr>
          <w:rStyle w:val="13"/>
          <w:rFonts w:hint="eastAsia"/>
        </w:rPr>
        <w:fldChar w:fldCharType="separate"/>
      </w:r>
      <w:r>
        <w:rPr>
          <w:rStyle w:val="13"/>
          <w:rFonts w:hint="eastAsia" w:ascii="仿宋" w:hAnsi="仿宋" w:eastAsia="仿宋"/>
        </w:rPr>
        <w:t>三、本次会议审议的议案</w:t>
      </w:r>
      <w:r>
        <w:rPr>
          <w:rFonts w:hint="eastAsia"/>
        </w:rPr>
        <w:tab/>
      </w:r>
      <w:r>
        <w:rPr>
          <w:rFonts w:hint="eastAsia"/>
        </w:rPr>
        <w:fldChar w:fldCharType="begin"/>
      </w:r>
      <w:r>
        <w:rPr>
          <w:rFonts w:hint="eastAsia"/>
        </w:rPr>
        <w:instrText xml:space="preserve"> </w:instrText>
      </w:r>
      <w:r>
        <w:instrText xml:space="preserve">PAGEREF _Toc198050686 \h</w:instrText>
      </w:r>
      <w:r>
        <w:rPr>
          <w:rFonts w:hint="eastAsia"/>
        </w:rPr>
        <w:instrText xml:space="preserve"> </w:instrText>
      </w:r>
      <w:r>
        <w:fldChar w:fldCharType="separate"/>
      </w:r>
      <w:r>
        <w:t>4</w:t>
      </w:r>
      <w:r>
        <w:rPr>
          <w:rFonts w:hint="eastAsia"/>
        </w:rPr>
        <w:fldChar w:fldCharType="end"/>
      </w:r>
      <w:r>
        <w:rPr>
          <w:rStyle w:val="13"/>
          <w:rFonts w:hint="eastAsia"/>
        </w:rPr>
        <w:fldChar w:fldCharType="end"/>
      </w:r>
    </w:p>
    <w:p w14:paraId="21871CE1">
      <w:pPr>
        <w:pStyle w:val="8"/>
        <w:tabs>
          <w:tab w:val="right" w:leader="dot" w:pos="8296"/>
        </w:tabs>
        <w:rPr>
          <w:rFonts w:hint="eastAsia" w:ascii="等线" w:hAnsi="等线" w:eastAsia="等线"/>
          <w:sz w:val="22"/>
        </w:rPr>
      </w:pPr>
      <w:r>
        <w:rPr>
          <w:rStyle w:val="13"/>
          <w:rFonts w:hint="eastAsia"/>
        </w:rPr>
        <w:fldChar w:fldCharType="begin"/>
      </w:r>
      <w:r>
        <w:rPr>
          <w:rStyle w:val="13"/>
          <w:rFonts w:hint="eastAsia"/>
        </w:rPr>
        <w:instrText xml:space="preserve"> </w:instrText>
      </w:r>
      <w:r>
        <w:rPr>
          <w:rFonts w:hint="eastAsia"/>
        </w:rPr>
        <w:instrText xml:space="preserve">HYPERLINK \l "_Toc198050687"</w:instrText>
      </w:r>
      <w:r>
        <w:rPr>
          <w:rStyle w:val="13"/>
          <w:rFonts w:hint="eastAsia"/>
        </w:rPr>
        <w:instrText xml:space="preserve"> </w:instrText>
      </w:r>
      <w:r>
        <w:rPr>
          <w:rStyle w:val="13"/>
          <w:rFonts w:hint="eastAsia"/>
        </w:rPr>
        <w:fldChar w:fldCharType="separate"/>
      </w:r>
      <w:r>
        <w:rPr>
          <w:rStyle w:val="13"/>
          <w:rFonts w:hint="eastAsia" w:ascii="仿宋" w:hAnsi="仿宋" w:eastAsia="仿宋"/>
        </w:rPr>
        <w:t>四、本次会议的议案表决程序与表决结果</w:t>
      </w:r>
      <w:r>
        <w:rPr>
          <w:rFonts w:hint="eastAsia"/>
        </w:rPr>
        <w:tab/>
      </w:r>
      <w:r>
        <w:rPr>
          <w:rFonts w:hint="eastAsia"/>
        </w:rPr>
        <w:fldChar w:fldCharType="begin"/>
      </w:r>
      <w:r>
        <w:rPr>
          <w:rFonts w:hint="eastAsia"/>
        </w:rPr>
        <w:instrText xml:space="preserve"> </w:instrText>
      </w:r>
      <w:r>
        <w:instrText xml:space="preserve">PAGEREF _Toc198050687 \h</w:instrText>
      </w:r>
      <w:r>
        <w:rPr>
          <w:rFonts w:hint="eastAsia"/>
        </w:rPr>
        <w:instrText xml:space="preserve"> </w:instrText>
      </w:r>
      <w:r>
        <w:fldChar w:fldCharType="separate"/>
      </w:r>
      <w:r>
        <w:t>5</w:t>
      </w:r>
      <w:r>
        <w:rPr>
          <w:rFonts w:hint="eastAsia"/>
        </w:rPr>
        <w:fldChar w:fldCharType="end"/>
      </w:r>
      <w:r>
        <w:rPr>
          <w:rStyle w:val="13"/>
          <w:rFonts w:hint="eastAsia"/>
        </w:rPr>
        <w:fldChar w:fldCharType="end"/>
      </w:r>
    </w:p>
    <w:p w14:paraId="5CBEFB58">
      <w:pPr>
        <w:pStyle w:val="8"/>
        <w:tabs>
          <w:tab w:val="right" w:leader="dot" w:pos="8296"/>
        </w:tabs>
        <w:rPr>
          <w:rFonts w:hint="eastAsia" w:ascii="等线" w:hAnsi="等线" w:eastAsia="等线"/>
          <w:sz w:val="22"/>
        </w:rPr>
      </w:pPr>
      <w:r>
        <w:rPr>
          <w:rStyle w:val="13"/>
          <w:rFonts w:hint="eastAsia"/>
        </w:rPr>
        <w:fldChar w:fldCharType="begin"/>
      </w:r>
      <w:r>
        <w:rPr>
          <w:rStyle w:val="13"/>
          <w:rFonts w:hint="eastAsia"/>
        </w:rPr>
        <w:instrText xml:space="preserve"> </w:instrText>
      </w:r>
      <w:r>
        <w:rPr>
          <w:rFonts w:hint="eastAsia"/>
        </w:rPr>
        <w:instrText xml:space="preserve">HYPERLINK \l "_Toc198050688"</w:instrText>
      </w:r>
      <w:r>
        <w:rPr>
          <w:rStyle w:val="13"/>
          <w:rFonts w:hint="eastAsia"/>
        </w:rPr>
        <w:instrText xml:space="preserve"> </w:instrText>
      </w:r>
      <w:r>
        <w:rPr>
          <w:rStyle w:val="13"/>
          <w:rFonts w:hint="eastAsia"/>
        </w:rPr>
        <w:fldChar w:fldCharType="separate"/>
      </w:r>
      <w:r>
        <w:rPr>
          <w:rStyle w:val="13"/>
          <w:rFonts w:hint="eastAsia" w:ascii="仿宋" w:hAnsi="仿宋" w:eastAsia="仿宋"/>
        </w:rPr>
        <w:t>五、结论性意见</w:t>
      </w:r>
      <w:r>
        <w:rPr>
          <w:rFonts w:hint="eastAsia"/>
        </w:rPr>
        <w:tab/>
      </w:r>
      <w:r>
        <w:rPr>
          <w:rFonts w:hint="eastAsia"/>
        </w:rPr>
        <w:fldChar w:fldCharType="begin"/>
      </w:r>
      <w:r>
        <w:rPr>
          <w:rFonts w:hint="eastAsia"/>
        </w:rPr>
        <w:instrText xml:space="preserve"> </w:instrText>
      </w:r>
      <w:r>
        <w:instrText xml:space="preserve">PAGEREF _Toc198050688 \h</w:instrText>
      </w:r>
      <w:r>
        <w:rPr>
          <w:rFonts w:hint="eastAsia"/>
        </w:rPr>
        <w:instrText xml:space="preserve"> </w:instrText>
      </w:r>
      <w:r>
        <w:fldChar w:fldCharType="separate"/>
      </w:r>
      <w:r>
        <w:t>12</w:t>
      </w:r>
      <w:r>
        <w:rPr>
          <w:rFonts w:hint="eastAsia"/>
        </w:rPr>
        <w:fldChar w:fldCharType="end"/>
      </w:r>
      <w:r>
        <w:rPr>
          <w:rStyle w:val="13"/>
          <w:rFonts w:hint="eastAsia"/>
        </w:rPr>
        <w:fldChar w:fldCharType="end"/>
      </w:r>
    </w:p>
    <w:p w14:paraId="40492976">
      <w:r>
        <w:rPr>
          <w:bCs/>
        </w:rPr>
        <w:fldChar w:fldCharType="end"/>
      </w:r>
    </w:p>
    <w:p w14:paraId="307ED320">
      <w:pPr>
        <w:spacing w:line="360" w:lineRule="auto"/>
        <w:ind w:firstLine="480" w:firstLineChars="200"/>
        <w:rPr>
          <w:rFonts w:hint="eastAsia" w:ascii="宋体" w:hAnsi="宋体"/>
          <w:sz w:val="24"/>
        </w:rPr>
      </w:pPr>
    </w:p>
    <w:p w14:paraId="1DF7693E">
      <w:pPr>
        <w:spacing w:line="360" w:lineRule="auto"/>
        <w:ind w:firstLine="480" w:firstLineChars="200"/>
        <w:rPr>
          <w:rFonts w:hint="eastAsia" w:ascii="宋体" w:hAnsi="宋体"/>
          <w:sz w:val="24"/>
        </w:rPr>
      </w:pPr>
    </w:p>
    <w:p w14:paraId="35D7416B">
      <w:pPr>
        <w:spacing w:line="360" w:lineRule="auto"/>
        <w:ind w:firstLine="480" w:firstLineChars="200"/>
        <w:rPr>
          <w:rFonts w:hint="eastAsia" w:ascii="宋体" w:hAnsi="宋体"/>
          <w:sz w:val="24"/>
        </w:rPr>
      </w:pPr>
    </w:p>
    <w:p w14:paraId="7F40C1A5">
      <w:pPr>
        <w:spacing w:line="360" w:lineRule="auto"/>
        <w:ind w:firstLine="480" w:firstLineChars="200"/>
        <w:rPr>
          <w:rFonts w:hint="eastAsia" w:ascii="宋体" w:hAnsi="宋体"/>
          <w:sz w:val="24"/>
        </w:rPr>
      </w:pPr>
    </w:p>
    <w:p w14:paraId="1F9DEC5B">
      <w:pPr>
        <w:spacing w:line="360" w:lineRule="auto"/>
        <w:rPr>
          <w:rFonts w:ascii="宋体" w:hAnsi="宋体"/>
          <w:sz w:val="24"/>
        </w:rPr>
        <w:sectPr>
          <w:pgSz w:w="11906" w:h="16838"/>
          <w:pgMar w:top="1440" w:right="1800" w:bottom="1440" w:left="1800" w:header="851" w:footer="992" w:gutter="0"/>
          <w:cols w:space="720" w:num="1"/>
          <w:docGrid w:type="lines" w:linePitch="312" w:charSpace="0"/>
        </w:sectPr>
      </w:pPr>
    </w:p>
    <w:p w14:paraId="32426863">
      <w:pPr>
        <w:jc w:val="center"/>
        <w:rPr>
          <w:rFonts w:hint="eastAsia" w:ascii="宋体" w:hAnsi="宋体"/>
          <w:b/>
          <w:sz w:val="32"/>
          <w:szCs w:val="32"/>
        </w:rPr>
      </w:pPr>
    </w:p>
    <w:p w14:paraId="25A26E85">
      <w:pPr>
        <w:jc w:val="center"/>
        <w:rPr>
          <w:rFonts w:hint="eastAsia" w:ascii="宋体" w:hAnsi="宋体"/>
          <w:b/>
          <w:sz w:val="36"/>
          <w:szCs w:val="36"/>
        </w:rPr>
      </w:pPr>
      <w:r>
        <w:rPr>
          <w:rFonts w:hint="eastAsia" w:ascii="宋体" w:hAnsi="宋体"/>
          <w:b/>
          <w:sz w:val="36"/>
          <w:szCs w:val="36"/>
        </w:rPr>
        <w:t>广东泛尔律师事务所</w:t>
      </w:r>
    </w:p>
    <w:p w14:paraId="7805AAE5">
      <w:pPr>
        <w:jc w:val="center"/>
        <w:rPr>
          <w:rFonts w:hint="eastAsia" w:ascii="宋体" w:hAnsi="宋体"/>
          <w:b/>
          <w:sz w:val="36"/>
          <w:szCs w:val="36"/>
        </w:rPr>
      </w:pPr>
      <w:r>
        <w:rPr>
          <w:rFonts w:hint="eastAsia" w:ascii="宋体" w:hAnsi="宋体"/>
          <w:b/>
          <w:sz w:val="36"/>
          <w:szCs w:val="36"/>
        </w:rPr>
        <w:t>关于广东天亿马信息产业股份有限公司</w:t>
      </w:r>
    </w:p>
    <w:p w14:paraId="7E78B8E4">
      <w:pPr>
        <w:jc w:val="center"/>
        <w:rPr>
          <w:rFonts w:hint="eastAsia" w:ascii="宋体" w:hAnsi="宋体"/>
          <w:b/>
          <w:sz w:val="36"/>
          <w:szCs w:val="36"/>
        </w:rPr>
      </w:pPr>
      <w:r>
        <w:rPr>
          <w:rFonts w:hint="eastAsia" w:ascii="宋体" w:hAnsi="宋体"/>
          <w:b/>
          <w:sz w:val="36"/>
          <w:szCs w:val="36"/>
        </w:rPr>
        <w:t>2024年年度股东会</w:t>
      </w:r>
    </w:p>
    <w:p w14:paraId="28B311ED">
      <w:pPr>
        <w:jc w:val="center"/>
        <w:rPr>
          <w:rFonts w:hint="eastAsia" w:ascii="宋体" w:hAnsi="宋体"/>
          <w:b/>
          <w:sz w:val="48"/>
          <w:szCs w:val="48"/>
        </w:rPr>
      </w:pPr>
      <w:r>
        <w:rPr>
          <w:rFonts w:hint="eastAsia" w:ascii="宋体" w:hAnsi="宋体"/>
          <w:b/>
          <w:sz w:val="48"/>
          <w:szCs w:val="48"/>
        </w:rPr>
        <w:t>法律意见书</w:t>
      </w:r>
    </w:p>
    <w:p w14:paraId="4006AC64">
      <w:pPr>
        <w:jc w:val="center"/>
        <w:rPr>
          <w:rFonts w:hint="eastAsia" w:ascii="宋体" w:hAnsi="宋体"/>
          <w:b/>
          <w:sz w:val="28"/>
          <w:szCs w:val="28"/>
        </w:rPr>
      </w:pPr>
    </w:p>
    <w:p w14:paraId="389E39BC">
      <w:pPr>
        <w:jc w:val="center"/>
        <w:rPr>
          <w:rFonts w:hint="eastAsia" w:ascii="宋体" w:hAnsi="宋体"/>
          <w:b/>
          <w:sz w:val="44"/>
          <w:szCs w:val="44"/>
        </w:rPr>
      </w:pPr>
    </w:p>
    <w:p w14:paraId="2DA72522">
      <w:pPr>
        <w:jc w:val="left"/>
        <w:rPr>
          <w:rFonts w:hint="eastAsia" w:ascii="仿宋" w:hAnsi="仿宋" w:eastAsia="仿宋"/>
          <w:b/>
          <w:sz w:val="28"/>
          <w:szCs w:val="28"/>
        </w:rPr>
      </w:pPr>
      <w:r>
        <w:rPr>
          <w:rFonts w:hint="eastAsia" w:ascii="仿宋" w:hAnsi="仿宋" w:eastAsia="仿宋"/>
          <w:b/>
          <w:sz w:val="28"/>
          <w:szCs w:val="28"/>
        </w:rPr>
        <w:t>致：广东天亿马信息产业股份有限公司</w:t>
      </w:r>
    </w:p>
    <w:p w14:paraId="5E514786">
      <w:pPr>
        <w:ind w:firstLine="560" w:firstLineChars="200"/>
        <w:jc w:val="left"/>
        <w:rPr>
          <w:rFonts w:ascii="仿宋" w:hAnsi="仿宋" w:eastAsia="仿宋"/>
          <w:sz w:val="28"/>
          <w:szCs w:val="28"/>
        </w:rPr>
      </w:pPr>
      <w:bookmarkStart w:id="2" w:name="_Hlk90283257"/>
      <w:r>
        <w:rPr>
          <w:rFonts w:hint="eastAsia" w:ascii="仿宋" w:hAnsi="仿宋" w:eastAsia="仿宋"/>
          <w:bCs/>
          <w:sz w:val="28"/>
          <w:szCs w:val="28"/>
        </w:rPr>
        <w:t>广东天亿马信息产业股份有限公司</w:t>
      </w:r>
      <w:bookmarkEnd w:id="2"/>
      <w:r>
        <w:rPr>
          <w:rFonts w:hint="eastAsia" w:ascii="仿宋" w:hAnsi="仿宋" w:eastAsia="仿宋"/>
          <w:sz w:val="28"/>
          <w:szCs w:val="28"/>
        </w:rPr>
        <w:t>（以下简称“公司”）于202</w:t>
      </w:r>
      <w:r>
        <w:rPr>
          <w:rFonts w:hint="eastAsia" w:ascii="仿宋" w:hAnsi="仿宋" w:eastAsia="仿宋"/>
          <w:sz w:val="28"/>
          <w:szCs w:val="28"/>
          <w:lang w:val="en-US" w:eastAsia="zh-CN"/>
        </w:rPr>
        <w:t>5</w:t>
      </w:r>
      <w:r>
        <w:rPr>
          <w:rFonts w:hint="eastAsia" w:ascii="仿宋" w:hAnsi="仿宋" w:eastAsia="仿宋"/>
          <w:sz w:val="28"/>
          <w:szCs w:val="28"/>
        </w:rPr>
        <w:t>年</w:t>
      </w:r>
      <w:r>
        <w:rPr>
          <w:rFonts w:ascii="仿宋" w:hAnsi="仿宋" w:eastAsia="仿宋"/>
          <w:sz w:val="28"/>
          <w:szCs w:val="28"/>
        </w:rPr>
        <w:t>5</w:t>
      </w:r>
      <w:r>
        <w:rPr>
          <w:rFonts w:hint="eastAsia" w:ascii="仿宋" w:hAnsi="仿宋" w:eastAsia="仿宋"/>
          <w:sz w:val="28"/>
          <w:szCs w:val="28"/>
        </w:rPr>
        <w:t>月13日下午在公司会议室召开了2024年年度股东会（以下简称“本次会议”或“本次股东会”）。广东泛尔律师事务所接受公司的委托，指派郭锋律师、胡婕涵律师，根据《中华人民共和国公司法》、《中华人民共和国证券法》以及《上市公司股东会规则》等法律、法规和规范性文件（以下统称“法律法规”）及《</w:t>
      </w:r>
      <w:r>
        <w:rPr>
          <w:rFonts w:hint="eastAsia" w:ascii="仿宋" w:hAnsi="仿宋" w:eastAsia="仿宋"/>
          <w:bCs/>
          <w:sz w:val="28"/>
          <w:szCs w:val="28"/>
        </w:rPr>
        <w:t>广东天亿马信息产业股份有限公司章程</w:t>
      </w:r>
      <w:r>
        <w:rPr>
          <w:rFonts w:hint="eastAsia" w:ascii="仿宋" w:hAnsi="仿宋" w:eastAsia="仿宋"/>
          <w:sz w:val="28"/>
          <w:szCs w:val="28"/>
        </w:rPr>
        <w:t>》（以下简称“公司章程”）的规定，就公司2024年年度股东会相关事宜出具法律意见。</w:t>
      </w:r>
    </w:p>
    <w:p w14:paraId="5BC7DC71">
      <w:pPr>
        <w:ind w:firstLine="560" w:firstLineChars="200"/>
        <w:jc w:val="left"/>
        <w:rPr>
          <w:rFonts w:ascii="仿宋" w:hAnsi="仿宋" w:eastAsia="仿宋"/>
          <w:sz w:val="28"/>
          <w:szCs w:val="28"/>
        </w:rPr>
      </w:pPr>
      <w:r>
        <w:rPr>
          <w:rFonts w:hint="eastAsia" w:ascii="仿宋" w:hAnsi="仿宋" w:eastAsia="仿宋"/>
          <w:sz w:val="28"/>
          <w:szCs w:val="28"/>
        </w:rPr>
        <w:t>本法律意见书仅供公司本次会议之目的使用，本所同意将本法律意见书随公司本次股东会决议一并予以公告披露。除非事先取得本所的书面同意，任何组织和个人均不得将本法律意见书或其任何部分用作任何其他目的。</w:t>
      </w:r>
    </w:p>
    <w:p w14:paraId="34E47D6D">
      <w:pPr>
        <w:ind w:firstLine="560" w:firstLineChars="200"/>
        <w:jc w:val="left"/>
        <w:rPr>
          <w:rFonts w:ascii="仿宋" w:hAnsi="仿宋" w:eastAsia="仿宋"/>
          <w:sz w:val="28"/>
          <w:szCs w:val="28"/>
        </w:rPr>
      </w:pPr>
      <w:r>
        <w:rPr>
          <w:rFonts w:hint="eastAsia" w:ascii="仿宋" w:hAnsi="仿宋" w:eastAsia="仿宋"/>
          <w:sz w:val="28"/>
          <w:szCs w:val="28"/>
        </w:rPr>
        <w:t>本所律师已对公司提供的相关文件进行了审查和验证，在进行审查验证过程中，本所假设：</w:t>
      </w:r>
    </w:p>
    <w:p w14:paraId="5879BA19">
      <w:pPr>
        <w:ind w:firstLine="560" w:firstLineChars="200"/>
        <w:jc w:val="left"/>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 xml:space="preserve">. </w:t>
      </w:r>
      <w:r>
        <w:rPr>
          <w:rFonts w:hint="eastAsia" w:ascii="仿宋" w:hAnsi="仿宋" w:eastAsia="仿宋"/>
          <w:sz w:val="28"/>
          <w:szCs w:val="28"/>
        </w:rPr>
        <w:t>提供给本所之文件中的所有签署、盖章及印章都是真实的，所有作为正本提交给本所的文件都是真实、准确、完整的；</w:t>
      </w:r>
    </w:p>
    <w:p w14:paraId="5784D5C3">
      <w:pPr>
        <w:ind w:firstLine="560" w:firstLineChars="200"/>
        <w:jc w:val="left"/>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 xml:space="preserve">. </w:t>
      </w:r>
      <w:r>
        <w:rPr>
          <w:rFonts w:hint="eastAsia" w:ascii="仿宋" w:hAnsi="仿宋" w:eastAsia="仿宋"/>
          <w:sz w:val="28"/>
          <w:szCs w:val="28"/>
        </w:rPr>
        <w:t>提供给本所之文件所述的全部事实都是真实、准确、完整的；</w:t>
      </w:r>
    </w:p>
    <w:p w14:paraId="11847890">
      <w:pPr>
        <w:ind w:firstLine="560" w:firstLineChars="200"/>
        <w:jc w:val="left"/>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 xml:space="preserve">. </w:t>
      </w:r>
      <w:r>
        <w:rPr>
          <w:rFonts w:hint="eastAsia" w:ascii="仿宋" w:hAnsi="仿宋" w:eastAsia="仿宋"/>
          <w:sz w:val="28"/>
          <w:szCs w:val="28"/>
        </w:rPr>
        <w:t>提供给本所之文件的签署人均具有完全的民事行为能力，并且其签署行为已获得恰当、有效的授权；</w:t>
      </w:r>
    </w:p>
    <w:p w14:paraId="1EFBF311">
      <w:pPr>
        <w:ind w:firstLine="560" w:firstLineChars="200"/>
        <w:jc w:val="left"/>
        <w:rPr>
          <w:rFonts w:hint="eastAsia" w:ascii="仿宋" w:hAnsi="仿宋" w:eastAsia="仿宋"/>
          <w:sz w:val="28"/>
          <w:szCs w:val="28"/>
        </w:rPr>
      </w:pPr>
      <w:r>
        <w:rPr>
          <w:rFonts w:hint="eastAsia" w:ascii="仿宋" w:hAnsi="仿宋" w:eastAsia="仿宋"/>
          <w:sz w:val="28"/>
          <w:szCs w:val="28"/>
        </w:rPr>
        <w:t>4</w:t>
      </w:r>
      <w:r>
        <w:rPr>
          <w:rFonts w:ascii="仿宋" w:hAnsi="仿宋" w:eastAsia="仿宋"/>
          <w:sz w:val="28"/>
          <w:szCs w:val="28"/>
        </w:rPr>
        <w:t xml:space="preserve">. </w:t>
      </w:r>
      <w:r>
        <w:rPr>
          <w:rFonts w:hint="eastAsia" w:ascii="仿宋" w:hAnsi="仿宋" w:eastAsia="仿宋"/>
          <w:sz w:val="28"/>
          <w:szCs w:val="28"/>
        </w:rPr>
        <w:t>所有提供给本所的复印件都是与原件一致的，并且这些文件的原件均是真实、准确、完整的。</w:t>
      </w:r>
    </w:p>
    <w:p w14:paraId="2ACD6C6A">
      <w:pPr>
        <w:ind w:firstLine="560" w:firstLineChars="200"/>
        <w:jc w:val="left"/>
        <w:rPr>
          <w:rFonts w:ascii="仿宋" w:hAnsi="仿宋" w:eastAsia="仿宋"/>
          <w:sz w:val="28"/>
          <w:szCs w:val="28"/>
        </w:rPr>
      </w:pPr>
      <w:r>
        <w:rPr>
          <w:rFonts w:hint="eastAsia" w:ascii="仿宋" w:hAnsi="仿宋" w:eastAsia="仿宋"/>
          <w:sz w:val="28"/>
          <w:szCs w:val="28"/>
        </w:rPr>
        <w:t>在上述基础上，本所按照有关法律法规的要求和律师行业公认的道德标准以及勤勉尽责的精神，就公司本次会议的召开及表决等事项出具法律意见如下：</w:t>
      </w:r>
    </w:p>
    <w:p w14:paraId="250F822D">
      <w:pPr>
        <w:jc w:val="left"/>
        <w:rPr>
          <w:rFonts w:ascii="仿宋" w:hAnsi="仿宋" w:eastAsia="仿宋"/>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p w14:paraId="037DA6F2">
      <w:pPr>
        <w:pStyle w:val="2"/>
        <w:rPr>
          <w:rFonts w:hint="eastAsia" w:ascii="仿宋" w:hAnsi="仿宋" w:eastAsia="仿宋"/>
        </w:rPr>
      </w:pPr>
      <w:bookmarkStart w:id="3" w:name="_Toc198050683"/>
      <w:bookmarkStart w:id="4" w:name="_Toc479529673"/>
      <w:r>
        <w:rPr>
          <w:rFonts w:hint="eastAsia" w:ascii="仿宋" w:hAnsi="仿宋" w:eastAsia="仿宋"/>
        </w:rPr>
        <w:t>正文</w:t>
      </w:r>
      <w:bookmarkEnd w:id="3"/>
      <w:bookmarkEnd w:id="4"/>
    </w:p>
    <w:p w14:paraId="62DF9DD6">
      <w:pPr>
        <w:pStyle w:val="9"/>
        <w:ind w:left="420" w:leftChars="200" w:firstLine="1"/>
        <w:rPr>
          <w:rFonts w:hint="eastAsia" w:ascii="仿宋" w:hAnsi="仿宋" w:eastAsia="仿宋"/>
        </w:rPr>
      </w:pPr>
      <w:bookmarkStart w:id="5" w:name="_Toc479529674"/>
      <w:bookmarkStart w:id="6" w:name="_Toc198050684"/>
      <w:r>
        <w:rPr>
          <w:rFonts w:hint="eastAsia" w:ascii="仿宋" w:hAnsi="仿宋" w:eastAsia="仿宋"/>
        </w:rPr>
        <w:t>一、本次股东会的召集、召开程序</w:t>
      </w:r>
      <w:bookmarkEnd w:id="5"/>
      <w:bookmarkEnd w:id="6"/>
    </w:p>
    <w:p w14:paraId="011BD338">
      <w:pPr>
        <w:ind w:firstLine="560" w:firstLineChars="200"/>
        <w:rPr>
          <w:rFonts w:hint="eastAsia" w:ascii="仿宋" w:hAnsi="仿宋" w:eastAsia="仿宋"/>
          <w:sz w:val="28"/>
          <w:szCs w:val="28"/>
        </w:rPr>
      </w:pPr>
      <w:r>
        <w:rPr>
          <w:rFonts w:hint="eastAsia" w:ascii="仿宋" w:hAnsi="仿宋" w:eastAsia="仿宋"/>
          <w:sz w:val="28"/>
          <w:szCs w:val="28"/>
        </w:rPr>
        <w:t>（一）本次股东会的召集</w:t>
      </w:r>
    </w:p>
    <w:p w14:paraId="191BF424">
      <w:pPr>
        <w:ind w:firstLine="560" w:firstLineChars="200"/>
        <w:rPr>
          <w:rFonts w:ascii="仿宋" w:hAnsi="仿宋" w:eastAsia="仿宋"/>
          <w:sz w:val="28"/>
          <w:szCs w:val="28"/>
        </w:rPr>
      </w:pPr>
      <w:r>
        <w:rPr>
          <w:rFonts w:hint="eastAsia" w:ascii="仿宋" w:hAnsi="仿宋" w:eastAsia="仿宋"/>
          <w:sz w:val="28"/>
          <w:szCs w:val="28"/>
        </w:rPr>
        <w:t>公司本次会议是由公司董事会召集召开。召开本次会议的通知已于2</w:t>
      </w:r>
      <w:r>
        <w:rPr>
          <w:rFonts w:ascii="仿宋" w:hAnsi="仿宋" w:eastAsia="仿宋"/>
          <w:sz w:val="28"/>
          <w:szCs w:val="28"/>
        </w:rPr>
        <w:t>02</w:t>
      </w:r>
      <w:r>
        <w:rPr>
          <w:rFonts w:hint="eastAsia" w:ascii="仿宋" w:hAnsi="仿宋" w:eastAsia="仿宋"/>
          <w:sz w:val="28"/>
          <w:szCs w:val="28"/>
        </w:rPr>
        <w:t>5年</w:t>
      </w:r>
      <w:r>
        <w:rPr>
          <w:rFonts w:ascii="仿宋" w:hAnsi="仿宋" w:eastAsia="仿宋"/>
          <w:sz w:val="28"/>
          <w:szCs w:val="28"/>
        </w:rPr>
        <w:t>4</w:t>
      </w:r>
      <w:r>
        <w:rPr>
          <w:rFonts w:hint="eastAsia" w:ascii="仿宋" w:hAnsi="仿宋" w:eastAsia="仿宋"/>
          <w:sz w:val="28"/>
          <w:szCs w:val="28"/>
        </w:rPr>
        <w:t>月22日在巨潮资讯网（</w:t>
      </w:r>
      <w:r>
        <w:rPr>
          <w:rFonts w:ascii="仿宋" w:hAnsi="仿宋" w:eastAsia="仿宋"/>
          <w:sz w:val="28"/>
          <w:szCs w:val="28"/>
        </w:rPr>
        <w:t>http://www.cninfo.com. cn/</w:t>
      </w:r>
    </w:p>
    <w:p w14:paraId="0055AF57">
      <w:pPr>
        <w:rPr>
          <w:rFonts w:hint="eastAsia" w:ascii="仿宋" w:hAnsi="仿宋" w:eastAsia="仿宋"/>
          <w:sz w:val="28"/>
          <w:szCs w:val="28"/>
        </w:rPr>
      </w:pPr>
      <w:r>
        <w:rPr>
          <w:rFonts w:ascii="仿宋" w:hAnsi="仿宋" w:eastAsia="仿宋"/>
          <w:sz w:val="28"/>
          <w:szCs w:val="28"/>
        </w:rPr>
        <w:t>new/index</w:t>
      </w:r>
      <w:r>
        <w:rPr>
          <w:rFonts w:hint="eastAsia" w:ascii="仿宋" w:hAnsi="仿宋" w:eastAsia="仿宋"/>
          <w:sz w:val="28"/>
          <w:szCs w:val="28"/>
        </w:rPr>
        <w:t>）上予以公告。所有议案已在通知公告中列明，相关议案内容均已依法披露。</w:t>
      </w:r>
    </w:p>
    <w:p w14:paraId="41349FB2">
      <w:pPr>
        <w:ind w:firstLine="560" w:firstLineChars="200"/>
        <w:rPr>
          <w:rFonts w:hint="eastAsia" w:ascii="仿宋" w:hAnsi="仿宋" w:eastAsia="仿宋"/>
          <w:sz w:val="28"/>
          <w:szCs w:val="28"/>
        </w:rPr>
      </w:pPr>
      <w:r>
        <w:rPr>
          <w:rFonts w:hint="eastAsia" w:ascii="仿宋" w:hAnsi="仿宋" w:eastAsia="仿宋"/>
          <w:sz w:val="28"/>
          <w:szCs w:val="28"/>
        </w:rPr>
        <w:t>（二）本次股东会的召开</w:t>
      </w:r>
    </w:p>
    <w:p w14:paraId="1B4DC81A">
      <w:pPr>
        <w:ind w:firstLine="560" w:firstLineChars="200"/>
        <w:rPr>
          <w:rFonts w:hint="eastAsia" w:ascii="仿宋" w:hAnsi="仿宋" w:eastAsia="仿宋"/>
          <w:sz w:val="28"/>
          <w:szCs w:val="28"/>
        </w:rPr>
      </w:pPr>
      <w:r>
        <w:rPr>
          <w:rFonts w:hint="eastAsia" w:ascii="仿宋" w:hAnsi="仿宋" w:eastAsia="仿宋"/>
          <w:sz w:val="28"/>
          <w:szCs w:val="28"/>
        </w:rPr>
        <w:t>1. 公司本次股东会采用现场表决与网络投票相结合的方式召开。现场会议于2</w:t>
      </w:r>
      <w:r>
        <w:rPr>
          <w:rFonts w:ascii="仿宋" w:hAnsi="仿宋" w:eastAsia="仿宋"/>
          <w:sz w:val="28"/>
          <w:szCs w:val="28"/>
        </w:rPr>
        <w:t>02</w:t>
      </w:r>
      <w:r>
        <w:rPr>
          <w:rFonts w:hint="eastAsia" w:ascii="仿宋" w:hAnsi="仿宋" w:eastAsia="仿宋"/>
          <w:sz w:val="28"/>
          <w:szCs w:val="28"/>
          <w:lang w:val="en-US" w:eastAsia="zh-CN"/>
        </w:rPr>
        <w:t>5</w:t>
      </w:r>
      <w:r>
        <w:rPr>
          <w:rFonts w:ascii="仿宋" w:hAnsi="仿宋" w:eastAsia="仿宋"/>
          <w:sz w:val="28"/>
          <w:szCs w:val="28"/>
        </w:rPr>
        <w:t>年5月</w:t>
      </w:r>
      <w:r>
        <w:rPr>
          <w:rFonts w:hint="eastAsia" w:ascii="仿宋" w:hAnsi="仿宋" w:eastAsia="仿宋"/>
          <w:sz w:val="28"/>
          <w:szCs w:val="28"/>
        </w:rPr>
        <w:t>13</w:t>
      </w:r>
      <w:r>
        <w:rPr>
          <w:rFonts w:ascii="仿宋" w:hAnsi="仿宋" w:eastAsia="仿宋"/>
          <w:sz w:val="28"/>
          <w:szCs w:val="28"/>
        </w:rPr>
        <w:t>日下午</w:t>
      </w:r>
      <w:r>
        <w:rPr>
          <w:rFonts w:hint="eastAsia" w:ascii="仿宋" w:hAnsi="仿宋" w:eastAsia="仿宋"/>
          <w:sz w:val="28"/>
          <w:szCs w:val="28"/>
        </w:rPr>
        <w:t>1</w:t>
      </w:r>
      <w:r>
        <w:rPr>
          <w:rFonts w:ascii="仿宋" w:hAnsi="仿宋" w:eastAsia="仿宋"/>
          <w:sz w:val="28"/>
          <w:szCs w:val="28"/>
        </w:rPr>
        <w:t>5</w:t>
      </w:r>
      <w:r>
        <w:rPr>
          <w:rFonts w:hint="eastAsia" w:ascii="仿宋" w:hAnsi="仿宋" w:eastAsia="仿宋"/>
          <w:sz w:val="28"/>
          <w:szCs w:val="28"/>
        </w:rPr>
        <w:t>:</w:t>
      </w:r>
      <w:r>
        <w:rPr>
          <w:rFonts w:ascii="仿宋" w:hAnsi="仿宋" w:eastAsia="仿宋"/>
          <w:sz w:val="28"/>
          <w:szCs w:val="28"/>
        </w:rPr>
        <w:t>00</w:t>
      </w:r>
      <w:r>
        <w:rPr>
          <w:rFonts w:hint="eastAsia" w:ascii="仿宋" w:hAnsi="仿宋" w:eastAsia="仿宋"/>
          <w:sz w:val="28"/>
          <w:szCs w:val="28"/>
        </w:rPr>
        <w:t>在公司会议室召开，由公司董事长林明玲女士主持。网络投票时间为2025年</w:t>
      </w:r>
      <w:r>
        <w:rPr>
          <w:rFonts w:ascii="仿宋" w:hAnsi="仿宋" w:eastAsia="仿宋"/>
          <w:sz w:val="28"/>
          <w:szCs w:val="28"/>
        </w:rPr>
        <w:t>5月</w:t>
      </w:r>
      <w:r>
        <w:rPr>
          <w:rFonts w:hint="eastAsia" w:ascii="仿宋" w:hAnsi="仿宋" w:eastAsia="仿宋"/>
          <w:sz w:val="28"/>
          <w:szCs w:val="28"/>
        </w:rPr>
        <w:t>13</w:t>
      </w:r>
      <w:r>
        <w:rPr>
          <w:rFonts w:ascii="仿宋" w:hAnsi="仿宋" w:eastAsia="仿宋"/>
          <w:sz w:val="28"/>
          <w:szCs w:val="28"/>
        </w:rPr>
        <w:t>日</w:t>
      </w:r>
      <w:r>
        <w:rPr>
          <w:rFonts w:hint="eastAsia" w:ascii="仿宋" w:hAnsi="仿宋" w:eastAsia="仿宋"/>
          <w:sz w:val="28"/>
          <w:szCs w:val="28"/>
        </w:rPr>
        <w:t>，其中，通过深圳证券交易所交易系统进行网络投票的具体时间为2</w:t>
      </w:r>
      <w:r>
        <w:rPr>
          <w:rFonts w:ascii="仿宋" w:hAnsi="仿宋" w:eastAsia="仿宋"/>
          <w:sz w:val="28"/>
          <w:szCs w:val="28"/>
        </w:rPr>
        <w:t>02</w:t>
      </w:r>
      <w:r>
        <w:rPr>
          <w:rFonts w:hint="eastAsia" w:ascii="仿宋" w:hAnsi="仿宋" w:eastAsia="仿宋"/>
          <w:sz w:val="28"/>
          <w:szCs w:val="28"/>
        </w:rPr>
        <w:t>5</w:t>
      </w:r>
      <w:r>
        <w:rPr>
          <w:rFonts w:ascii="仿宋" w:hAnsi="仿宋" w:eastAsia="仿宋"/>
          <w:sz w:val="28"/>
          <w:szCs w:val="28"/>
        </w:rPr>
        <w:t>年5月</w:t>
      </w:r>
      <w:r>
        <w:rPr>
          <w:rFonts w:hint="eastAsia" w:ascii="仿宋" w:hAnsi="仿宋" w:eastAsia="仿宋"/>
          <w:sz w:val="28"/>
          <w:szCs w:val="28"/>
        </w:rPr>
        <w:t>13</w:t>
      </w:r>
      <w:r>
        <w:rPr>
          <w:rFonts w:ascii="仿宋" w:hAnsi="仿宋" w:eastAsia="仿宋"/>
          <w:sz w:val="28"/>
          <w:szCs w:val="28"/>
        </w:rPr>
        <w:t>日上午</w:t>
      </w:r>
      <w:r>
        <w:rPr>
          <w:rFonts w:hint="eastAsia" w:ascii="仿宋" w:hAnsi="仿宋" w:eastAsia="仿宋"/>
          <w:sz w:val="28"/>
          <w:szCs w:val="28"/>
        </w:rPr>
        <w:t>9:</w:t>
      </w:r>
      <w:r>
        <w:rPr>
          <w:rFonts w:ascii="仿宋" w:hAnsi="仿宋" w:eastAsia="仿宋"/>
          <w:sz w:val="28"/>
          <w:szCs w:val="28"/>
        </w:rPr>
        <w:t>15-9</w:t>
      </w:r>
      <w:r>
        <w:rPr>
          <w:rFonts w:hint="eastAsia" w:ascii="仿宋" w:hAnsi="仿宋" w:eastAsia="仿宋"/>
          <w:sz w:val="28"/>
          <w:szCs w:val="28"/>
        </w:rPr>
        <w:t>:</w:t>
      </w:r>
      <w:r>
        <w:rPr>
          <w:rFonts w:ascii="仿宋" w:hAnsi="仿宋" w:eastAsia="仿宋"/>
          <w:sz w:val="28"/>
          <w:szCs w:val="28"/>
        </w:rPr>
        <w:t>25</w:t>
      </w:r>
      <w:r>
        <w:rPr>
          <w:rFonts w:hint="eastAsia" w:ascii="仿宋" w:hAnsi="仿宋" w:eastAsia="仿宋"/>
          <w:sz w:val="28"/>
          <w:szCs w:val="28"/>
        </w:rPr>
        <w:t>,</w:t>
      </w:r>
      <w:r>
        <w:rPr>
          <w:rFonts w:ascii="仿宋" w:hAnsi="仿宋" w:eastAsia="仿宋"/>
          <w:sz w:val="28"/>
          <w:szCs w:val="28"/>
        </w:rPr>
        <w:t>9</w:t>
      </w:r>
      <w:r>
        <w:rPr>
          <w:rFonts w:hint="eastAsia" w:ascii="仿宋" w:hAnsi="仿宋" w:eastAsia="仿宋"/>
          <w:sz w:val="28"/>
          <w:szCs w:val="28"/>
        </w:rPr>
        <w:t>:</w:t>
      </w:r>
      <w:r>
        <w:rPr>
          <w:rFonts w:ascii="仿宋" w:hAnsi="仿宋" w:eastAsia="仿宋"/>
          <w:sz w:val="28"/>
          <w:szCs w:val="28"/>
        </w:rPr>
        <w:t>30-11</w:t>
      </w:r>
      <w:r>
        <w:rPr>
          <w:rFonts w:hint="eastAsia" w:ascii="仿宋" w:hAnsi="仿宋" w:eastAsia="仿宋"/>
          <w:sz w:val="28"/>
          <w:szCs w:val="28"/>
        </w:rPr>
        <w:t>:</w:t>
      </w:r>
      <w:r>
        <w:rPr>
          <w:rFonts w:ascii="仿宋" w:hAnsi="仿宋" w:eastAsia="仿宋"/>
          <w:sz w:val="28"/>
          <w:szCs w:val="28"/>
        </w:rPr>
        <w:t>30，下午</w:t>
      </w:r>
      <w:r>
        <w:rPr>
          <w:rFonts w:hint="eastAsia" w:ascii="仿宋" w:hAnsi="仿宋" w:eastAsia="仿宋"/>
          <w:sz w:val="28"/>
          <w:szCs w:val="28"/>
        </w:rPr>
        <w:t>1</w:t>
      </w: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00-15</w:t>
      </w:r>
      <w:r>
        <w:rPr>
          <w:rFonts w:hint="eastAsia" w:ascii="仿宋" w:hAnsi="仿宋" w:eastAsia="仿宋"/>
          <w:sz w:val="28"/>
          <w:szCs w:val="28"/>
        </w:rPr>
        <w:t>:</w:t>
      </w:r>
      <w:r>
        <w:rPr>
          <w:rFonts w:ascii="仿宋" w:hAnsi="仿宋" w:eastAsia="仿宋"/>
          <w:sz w:val="28"/>
          <w:szCs w:val="28"/>
        </w:rPr>
        <w:t>00，通过互联网投票系统投票的具体时间为</w:t>
      </w:r>
      <w:r>
        <w:rPr>
          <w:rFonts w:hint="eastAsia" w:ascii="仿宋" w:hAnsi="仿宋" w:eastAsia="仿宋"/>
          <w:sz w:val="28"/>
          <w:szCs w:val="28"/>
        </w:rPr>
        <w:t>2</w:t>
      </w:r>
      <w:r>
        <w:rPr>
          <w:rFonts w:ascii="仿宋" w:hAnsi="仿宋" w:eastAsia="仿宋"/>
          <w:sz w:val="28"/>
          <w:szCs w:val="28"/>
        </w:rPr>
        <w:t>02</w:t>
      </w:r>
      <w:r>
        <w:rPr>
          <w:rFonts w:hint="eastAsia" w:ascii="仿宋" w:hAnsi="仿宋" w:eastAsia="仿宋"/>
          <w:sz w:val="28"/>
          <w:szCs w:val="28"/>
        </w:rPr>
        <w:t>5</w:t>
      </w:r>
      <w:r>
        <w:rPr>
          <w:rFonts w:ascii="仿宋" w:hAnsi="仿宋" w:eastAsia="仿宋"/>
          <w:sz w:val="28"/>
          <w:szCs w:val="28"/>
        </w:rPr>
        <w:t>年5月</w:t>
      </w:r>
      <w:r>
        <w:rPr>
          <w:rFonts w:hint="eastAsia" w:ascii="仿宋" w:hAnsi="仿宋" w:eastAsia="仿宋"/>
          <w:sz w:val="28"/>
          <w:szCs w:val="28"/>
        </w:rPr>
        <w:t>13</w:t>
      </w:r>
      <w:r>
        <w:rPr>
          <w:rFonts w:ascii="仿宋" w:hAnsi="仿宋" w:eastAsia="仿宋"/>
          <w:sz w:val="28"/>
          <w:szCs w:val="28"/>
        </w:rPr>
        <w:t>日</w:t>
      </w:r>
      <w:r>
        <w:rPr>
          <w:rFonts w:hint="eastAsia" w:ascii="仿宋" w:hAnsi="仿宋" w:eastAsia="仿宋"/>
          <w:sz w:val="28"/>
          <w:szCs w:val="28"/>
        </w:rPr>
        <w:t>上午9:</w:t>
      </w:r>
      <w:r>
        <w:rPr>
          <w:rFonts w:ascii="仿宋" w:hAnsi="仿宋" w:eastAsia="仿宋"/>
          <w:sz w:val="28"/>
          <w:szCs w:val="28"/>
        </w:rPr>
        <w:t>15至</w:t>
      </w:r>
      <w:r>
        <w:rPr>
          <w:rFonts w:hint="eastAsia" w:ascii="仿宋" w:hAnsi="仿宋" w:eastAsia="仿宋"/>
          <w:sz w:val="28"/>
          <w:szCs w:val="28"/>
        </w:rPr>
        <w:t>下午1</w:t>
      </w:r>
      <w:r>
        <w:rPr>
          <w:rFonts w:ascii="仿宋" w:hAnsi="仿宋" w:eastAsia="仿宋"/>
          <w:sz w:val="28"/>
          <w:szCs w:val="28"/>
        </w:rPr>
        <w:t>5</w:t>
      </w:r>
      <w:r>
        <w:rPr>
          <w:rFonts w:hint="eastAsia" w:ascii="仿宋" w:hAnsi="仿宋" w:eastAsia="仿宋"/>
          <w:sz w:val="28"/>
          <w:szCs w:val="28"/>
        </w:rPr>
        <w:t>:</w:t>
      </w:r>
      <w:r>
        <w:rPr>
          <w:rFonts w:ascii="仿宋" w:hAnsi="仿宋" w:eastAsia="仿宋"/>
          <w:sz w:val="28"/>
          <w:szCs w:val="28"/>
        </w:rPr>
        <w:t>00的任意时间。</w:t>
      </w:r>
    </w:p>
    <w:p w14:paraId="36D2C5C7">
      <w:pPr>
        <w:ind w:firstLine="560" w:firstLineChars="200"/>
        <w:rPr>
          <w:rFonts w:hint="eastAsia" w:ascii="仿宋" w:hAnsi="仿宋" w:eastAsia="仿宋"/>
          <w:sz w:val="28"/>
          <w:szCs w:val="28"/>
        </w:rPr>
      </w:pPr>
      <w:r>
        <w:rPr>
          <w:rFonts w:hint="eastAsia" w:ascii="仿宋" w:hAnsi="仿宋" w:eastAsia="仿宋"/>
          <w:sz w:val="28"/>
          <w:szCs w:val="28"/>
        </w:rPr>
        <w:t>2. 股权登记日为20</w:t>
      </w:r>
      <w:r>
        <w:rPr>
          <w:rFonts w:ascii="仿宋" w:hAnsi="仿宋" w:eastAsia="仿宋"/>
          <w:sz w:val="28"/>
          <w:szCs w:val="28"/>
        </w:rPr>
        <w:t>2</w:t>
      </w:r>
      <w:r>
        <w:rPr>
          <w:rFonts w:hint="eastAsia" w:ascii="仿宋" w:hAnsi="仿宋" w:eastAsia="仿宋"/>
          <w:sz w:val="28"/>
          <w:szCs w:val="28"/>
        </w:rPr>
        <w:t>5年</w:t>
      </w:r>
      <w:r>
        <w:rPr>
          <w:rFonts w:ascii="仿宋" w:hAnsi="仿宋" w:eastAsia="仿宋"/>
          <w:sz w:val="28"/>
          <w:szCs w:val="28"/>
        </w:rPr>
        <w:t>5</w:t>
      </w:r>
      <w:r>
        <w:rPr>
          <w:rFonts w:hint="eastAsia" w:ascii="仿宋" w:hAnsi="仿宋" w:eastAsia="仿宋"/>
          <w:sz w:val="28"/>
          <w:szCs w:val="28"/>
        </w:rPr>
        <w:t>月7日。</w:t>
      </w:r>
    </w:p>
    <w:p w14:paraId="72A48AEF">
      <w:pPr>
        <w:ind w:firstLine="560" w:firstLineChars="200"/>
        <w:rPr>
          <w:rFonts w:hint="eastAsia" w:ascii="仿宋" w:hAnsi="仿宋" w:eastAsia="仿宋"/>
          <w:sz w:val="28"/>
          <w:szCs w:val="28"/>
        </w:rPr>
      </w:pPr>
      <w:r>
        <w:rPr>
          <w:rFonts w:ascii="仿宋" w:hAnsi="仿宋" w:eastAsia="仿宋"/>
          <w:sz w:val="28"/>
          <w:szCs w:val="28"/>
        </w:rPr>
        <w:t>经核查，</w:t>
      </w:r>
      <w:r>
        <w:rPr>
          <w:rFonts w:hint="eastAsia" w:ascii="仿宋" w:hAnsi="仿宋" w:eastAsia="仿宋"/>
          <w:sz w:val="28"/>
          <w:szCs w:val="28"/>
        </w:rPr>
        <w:t>本所律师认为，本次股东会的召集、召开程序符合法律、法规、规范性文件及公司《章程》的规定。</w:t>
      </w:r>
    </w:p>
    <w:p w14:paraId="18A14E61">
      <w:pPr>
        <w:pStyle w:val="9"/>
        <w:ind w:left="630"/>
        <w:rPr>
          <w:rFonts w:hint="eastAsia" w:ascii="仿宋" w:hAnsi="仿宋" w:eastAsia="仿宋"/>
        </w:rPr>
      </w:pPr>
      <w:bookmarkStart w:id="7" w:name="_Toc198050685"/>
      <w:bookmarkStart w:id="8" w:name="_Toc479529675"/>
      <w:r>
        <w:rPr>
          <w:rFonts w:hint="eastAsia" w:ascii="仿宋" w:hAnsi="仿宋" w:eastAsia="仿宋"/>
        </w:rPr>
        <w:t>二、出席本次股东会会议人员的资格</w:t>
      </w:r>
      <w:bookmarkEnd w:id="7"/>
      <w:bookmarkEnd w:id="8"/>
    </w:p>
    <w:p w14:paraId="728586B0">
      <w:pPr>
        <w:ind w:firstLine="560" w:firstLineChars="200"/>
        <w:rPr>
          <w:rFonts w:hint="eastAsia" w:ascii="仿宋" w:hAnsi="仿宋" w:eastAsia="仿宋"/>
          <w:sz w:val="28"/>
          <w:szCs w:val="28"/>
          <w:highlight w:val="yellow"/>
        </w:rPr>
      </w:pPr>
      <w:r>
        <w:rPr>
          <w:rFonts w:hint="eastAsia" w:ascii="仿宋" w:hAnsi="仿宋" w:eastAsia="仿宋"/>
          <w:sz w:val="28"/>
          <w:szCs w:val="28"/>
        </w:rPr>
        <w:t>（一）根据现场会议登记资料及深圳证券信息有限公司提供的数据，出席本次股东会的股东及股东代理人共计38人，代表股份数      24,592,910股，占公司股份总数的37.3272</w:t>
      </w:r>
      <w:r>
        <w:rPr>
          <w:rFonts w:ascii="仿宋" w:hAnsi="仿宋" w:eastAsia="仿宋"/>
          <w:sz w:val="28"/>
          <w:szCs w:val="28"/>
        </w:rPr>
        <w:t>%</w:t>
      </w:r>
      <w:r>
        <w:rPr>
          <w:rFonts w:hint="eastAsia" w:ascii="仿宋" w:hAnsi="仿宋" w:eastAsia="仿宋"/>
          <w:sz w:val="28"/>
          <w:szCs w:val="28"/>
        </w:rPr>
        <w:t>。其中，出席现场会议的股东及股东代理人共计3人，代表股份数24,493,130股，占公司股份总数的37.1758</w:t>
      </w:r>
      <w:r>
        <w:rPr>
          <w:rFonts w:ascii="仿宋" w:hAnsi="仿宋" w:eastAsia="仿宋"/>
          <w:sz w:val="28"/>
          <w:szCs w:val="28"/>
        </w:rPr>
        <w:t>%</w:t>
      </w:r>
      <w:r>
        <w:rPr>
          <w:rFonts w:hint="eastAsia" w:ascii="仿宋" w:hAnsi="仿宋" w:eastAsia="仿宋"/>
          <w:sz w:val="28"/>
          <w:szCs w:val="28"/>
        </w:rPr>
        <w:t>；通过网络投票的股东共计35人，代表股份数99,780股，占公司股份总数的0.1514%。以上股东均为本次股东会股权登记日即2</w:t>
      </w:r>
      <w:r>
        <w:rPr>
          <w:rFonts w:ascii="仿宋" w:hAnsi="仿宋" w:eastAsia="仿宋"/>
          <w:sz w:val="28"/>
          <w:szCs w:val="28"/>
        </w:rPr>
        <w:t>02</w:t>
      </w:r>
      <w:r>
        <w:rPr>
          <w:rFonts w:hint="eastAsia" w:ascii="仿宋" w:hAnsi="仿宋" w:eastAsia="仿宋"/>
          <w:sz w:val="28"/>
          <w:szCs w:val="28"/>
        </w:rPr>
        <w:t>5年</w:t>
      </w:r>
      <w:r>
        <w:rPr>
          <w:rFonts w:ascii="仿宋" w:hAnsi="仿宋" w:eastAsia="仿宋"/>
          <w:sz w:val="28"/>
          <w:szCs w:val="28"/>
        </w:rPr>
        <w:t>5</w:t>
      </w:r>
      <w:r>
        <w:rPr>
          <w:rFonts w:hint="eastAsia" w:ascii="仿宋" w:hAnsi="仿宋" w:eastAsia="仿宋"/>
          <w:sz w:val="28"/>
          <w:szCs w:val="28"/>
        </w:rPr>
        <w:t>月7日交易结束后在中国证券登记结算有限责任公司深圳分公司登记在册的公司股东或其代理人。</w:t>
      </w:r>
    </w:p>
    <w:p w14:paraId="65153769">
      <w:pPr>
        <w:ind w:firstLine="560" w:firstLineChars="200"/>
        <w:rPr>
          <w:rFonts w:hint="eastAsia" w:ascii="仿宋" w:hAnsi="仿宋" w:eastAsia="仿宋"/>
          <w:sz w:val="28"/>
          <w:szCs w:val="28"/>
        </w:rPr>
      </w:pPr>
      <w:r>
        <w:rPr>
          <w:rFonts w:hint="eastAsia" w:ascii="仿宋" w:hAnsi="仿宋" w:eastAsia="仿宋"/>
          <w:sz w:val="28"/>
          <w:szCs w:val="28"/>
        </w:rPr>
        <w:t>（二）除上述股东之外，出席或列席本次股东会的人员还包括公司董事、监事以及高级管理人员。</w:t>
      </w:r>
    </w:p>
    <w:p w14:paraId="758CBF54">
      <w:pPr>
        <w:ind w:firstLine="560" w:firstLineChars="200"/>
        <w:rPr>
          <w:rFonts w:hint="eastAsia" w:ascii="仿宋" w:hAnsi="仿宋" w:eastAsia="仿宋"/>
          <w:sz w:val="28"/>
          <w:szCs w:val="28"/>
        </w:rPr>
      </w:pPr>
      <w:r>
        <w:rPr>
          <w:rFonts w:hint="eastAsia" w:ascii="仿宋" w:hAnsi="仿宋" w:eastAsia="仿宋"/>
          <w:sz w:val="28"/>
          <w:szCs w:val="28"/>
        </w:rPr>
        <w:t>（三）公司聘请的见证律师出席了会议。</w:t>
      </w:r>
    </w:p>
    <w:p w14:paraId="4CBE0FE0">
      <w:pPr>
        <w:ind w:firstLine="560" w:firstLineChars="200"/>
        <w:rPr>
          <w:rFonts w:hint="eastAsia" w:ascii="仿宋" w:hAnsi="仿宋" w:eastAsia="仿宋"/>
          <w:sz w:val="28"/>
          <w:szCs w:val="28"/>
        </w:rPr>
      </w:pPr>
      <w:r>
        <w:rPr>
          <w:rFonts w:hint="eastAsia" w:ascii="仿宋" w:hAnsi="仿宋" w:eastAsia="仿宋"/>
          <w:sz w:val="28"/>
          <w:szCs w:val="28"/>
        </w:rPr>
        <w:t>经核查，本所律师认为，上述人员均具备参加本次股东会的合法资格。</w:t>
      </w:r>
    </w:p>
    <w:p w14:paraId="48FBA7F2">
      <w:pPr>
        <w:pStyle w:val="9"/>
        <w:ind w:left="630"/>
        <w:rPr>
          <w:rFonts w:hint="eastAsia" w:ascii="仿宋" w:hAnsi="仿宋" w:eastAsia="仿宋"/>
        </w:rPr>
      </w:pPr>
      <w:bookmarkStart w:id="9" w:name="_Toc479529676"/>
      <w:bookmarkStart w:id="10" w:name="_Toc198050686"/>
      <w:r>
        <w:rPr>
          <w:rFonts w:hint="eastAsia" w:ascii="仿宋" w:hAnsi="仿宋" w:eastAsia="仿宋"/>
        </w:rPr>
        <w:t>三、本次会议审议的议案</w:t>
      </w:r>
      <w:bookmarkEnd w:id="9"/>
      <w:bookmarkEnd w:id="10"/>
    </w:p>
    <w:p w14:paraId="30CF60CB">
      <w:pPr>
        <w:ind w:firstLine="560" w:firstLineChars="200"/>
        <w:rPr>
          <w:rFonts w:hint="eastAsia" w:ascii="仿宋" w:hAnsi="仿宋" w:eastAsia="仿宋"/>
          <w:sz w:val="28"/>
          <w:szCs w:val="28"/>
        </w:rPr>
      </w:pPr>
      <w:r>
        <w:rPr>
          <w:rFonts w:hint="eastAsia" w:ascii="仿宋" w:hAnsi="仿宋" w:eastAsia="仿宋"/>
          <w:sz w:val="28"/>
          <w:szCs w:val="28"/>
        </w:rPr>
        <w:t>本次股东会审议的议案如下：</w:t>
      </w:r>
    </w:p>
    <w:p w14:paraId="2AEEC71D">
      <w:pPr>
        <w:ind w:firstLine="560" w:firstLineChars="200"/>
        <w:rPr>
          <w:rFonts w:ascii="仿宋" w:hAnsi="仿宋" w:eastAsia="仿宋"/>
          <w:sz w:val="28"/>
          <w:szCs w:val="28"/>
        </w:rPr>
      </w:pPr>
      <w:r>
        <w:rPr>
          <w:rFonts w:hint="eastAsia" w:ascii="仿宋" w:hAnsi="仿宋" w:eastAsia="仿宋"/>
          <w:sz w:val="28"/>
          <w:szCs w:val="28"/>
        </w:rPr>
        <w:t>1.</w:t>
      </w:r>
      <w:r>
        <w:rPr>
          <w:rFonts w:hint="eastAsia" w:ascii="仿宋" w:hAnsi="仿宋" w:eastAsia="仿宋"/>
          <w:sz w:val="28"/>
          <w:szCs w:val="36"/>
        </w:rPr>
        <w:t xml:space="preserve"> </w:t>
      </w:r>
      <w:r>
        <w:rPr>
          <w:rFonts w:hint="eastAsia" w:ascii="仿宋" w:hAnsi="仿宋" w:eastAsia="仿宋"/>
          <w:sz w:val="28"/>
          <w:szCs w:val="28"/>
        </w:rPr>
        <w:t>《关于&lt;公司2024年度董事会工作报告&gt;的议案》</w:t>
      </w:r>
    </w:p>
    <w:p w14:paraId="6FFF4398">
      <w:pPr>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 xml:space="preserve"> </w:t>
      </w:r>
      <w:r>
        <w:rPr>
          <w:rFonts w:hint="eastAsia" w:ascii="仿宋" w:hAnsi="仿宋" w:eastAsia="仿宋"/>
          <w:sz w:val="28"/>
          <w:szCs w:val="28"/>
        </w:rPr>
        <w:t>《关于&lt;公司2024年度监事会工作报告&gt;的议案》</w:t>
      </w:r>
    </w:p>
    <w:p w14:paraId="26376915">
      <w:pPr>
        <w:ind w:firstLine="560" w:firstLineChars="200"/>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 xml:space="preserve"> </w:t>
      </w:r>
      <w:r>
        <w:rPr>
          <w:rFonts w:hint="eastAsia" w:ascii="仿宋" w:hAnsi="仿宋" w:eastAsia="仿宋"/>
          <w:sz w:val="28"/>
          <w:szCs w:val="36"/>
        </w:rPr>
        <w:t>《关于&lt;2024年度财务决算报告&gt;的议案》</w:t>
      </w:r>
    </w:p>
    <w:p w14:paraId="4DD6FF9D">
      <w:pPr>
        <w:ind w:firstLine="560" w:firstLineChars="20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 xml:space="preserve"> </w:t>
      </w:r>
      <w:r>
        <w:rPr>
          <w:rFonts w:hint="eastAsia" w:ascii="仿宋" w:hAnsi="仿宋" w:eastAsia="仿宋"/>
          <w:sz w:val="28"/>
          <w:szCs w:val="36"/>
        </w:rPr>
        <w:t>《关于2024年度拟不进行利润分配的议案》</w:t>
      </w:r>
    </w:p>
    <w:p w14:paraId="72D276E0">
      <w:pPr>
        <w:ind w:firstLine="560" w:firstLineChars="200"/>
        <w:rPr>
          <w:rFonts w:ascii="仿宋" w:hAnsi="仿宋" w:eastAsia="仿宋"/>
          <w:sz w:val="28"/>
          <w:szCs w:val="28"/>
        </w:rPr>
      </w:pPr>
      <w:r>
        <w:rPr>
          <w:rFonts w:hint="eastAsia" w:ascii="仿宋" w:hAnsi="仿宋" w:eastAsia="仿宋"/>
          <w:sz w:val="28"/>
          <w:szCs w:val="28"/>
        </w:rPr>
        <w:t>5.</w:t>
      </w:r>
      <w:r>
        <w:rPr>
          <w:rFonts w:ascii="仿宋" w:hAnsi="仿宋" w:eastAsia="仿宋"/>
          <w:sz w:val="28"/>
          <w:szCs w:val="28"/>
        </w:rPr>
        <w:t xml:space="preserve"> </w:t>
      </w:r>
      <w:r>
        <w:rPr>
          <w:rFonts w:hint="eastAsia" w:ascii="仿宋" w:hAnsi="仿宋" w:eastAsia="仿宋"/>
          <w:sz w:val="28"/>
          <w:szCs w:val="36"/>
        </w:rPr>
        <w:t>《关于公司董事及高级管理人员2025年度薪酬待遇方案的议案》</w:t>
      </w:r>
    </w:p>
    <w:p w14:paraId="60291458">
      <w:pPr>
        <w:ind w:firstLine="560" w:firstLineChars="200"/>
        <w:rPr>
          <w:rFonts w:ascii="仿宋" w:hAnsi="仿宋" w:eastAsia="仿宋"/>
          <w:sz w:val="28"/>
          <w:szCs w:val="28"/>
        </w:rPr>
      </w:pPr>
      <w:r>
        <w:rPr>
          <w:rFonts w:hint="eastAsia" w:ascii="仿宋" w:hAnsi="仿宋" w:eastAsia="仿宋"/>
          <w:sz w:val="28"/>
          <w:szCs w:val="28"/>
        </w:rPr>
        <w:t>6.</w:t>
      </w:r>
      <w:r>
        <w:rPr>
          <w:rFonts w:ascii="仿宋" w:hAnsi="仿宋" w:eastAsia="仿宋"/>
          <w:sz w:val="28"/>
          <w:szCs w:val="28"/>
        </w:rPr>
        <w:t xml:space="preserve"> </w:t>
      </w:r>
      <w:r>
        <w:rPr>
          <w:rFonts w:hint="eastAsia" w:ascii="仿宋" w:hAnsi="仿宋" w:eastAsia="仿宋"/>
          <w:sz w:val="28"/>
          <w:szCs w:val="36"/>
        </w:rPr>
        <w:t>《关于公司监事薪酬待遇方案的议案》</w:t>
      </w:r>
    </w:p>
    <w:p w14:paraId="3054AF7E">
      <w:pPr>
        <w:ind w:firstLine="560" w:firstLineChars="200"/>
        <w:rPr>
          <w:rFonts w:ascii="仿宋" w:hAnsi="仿宋" w:eastAsia="仿宋"/>
          <w:sz w:val="28"/>
          <w:szCs w:val="28"/>
        </w:rPr>
      </w:pPr>
      <w:r>
        <w:rPr>
          <w:rFonts w:hint="eastAsia" w:ascii="仿宋" w:hAnsi="仿宋" w:eastAsia="仿宋"/>
          <w:sz w:val="28"/>
          <w:szCs w:val="28"/>
        </w:rPr>
        <w:t>7.</w:t>
      </w:r>
      <w:r>
        <w:rPr>
          <w:rFonts w:hint="eastAsia"/>
        </w:rPr>
        <w:t xml:space="preserve"> </w:t>
      </w:r>
      <w:r>
        <w:rPr>
          <w:rFonts w:hint="eastAsia" w:ascii="仿宋" w:hAnsi="仿宋" w:eastAsia="仿宋"/>
          <w:sz w:val="28"/>
          <w:szCs w:val="28"/>
        </w:rPr>
        <w:t>《关于子公司拟申请综合授信额度并由公司为其提供担保的议案》</w:t>
      </w:r>
    </w:p>
    <w:p w14:paraId="044DCF2C">
      <w:pPr>
        <w:ind w:firstLine="560" w:firstLineChars="200"/>
        <w:rPr>
          <w:rFonts w:ascii="仿宋" w:hAnsi="仿宋" w:eastAsia="仿宋"/>
          <w:sz w:val="28"/>
          <w:szCs w:val="36"/>
        </w:rPr>
      </w:pPr>
      <w:r>
        <w:rPr>
          <w:rFonts w:hint="eastAsia" w:ascii="仿宋" w:hAnsi="仿宋" w:eastAsia="仿宋"/>
          <w:sz w:val="28"/>
          <w:szCs w:val="28"/>
        </w:rPr>
        <w:t>8.</w:t>
      </w:r>
      <w:r>
        <w:rPr>
          <w:rFonts w:ascii="仿宋" w:hAnsi="仿宋" w:eastAsia="仿宋"/>
          <w:sz w:val="28"/>
          <w:szCs w:val="28"/>
        </w:rPr>
        <w:t xml:space="preserve"> </w:t>
      </w:r>
      <w:r>
        <w:rPr>
          <w:rFonts w:hint="eastAsia" w:ascii="仿宋" w:hAnsi="仿宋" w:eastAsia="仿宋"/>
          <w:sz w:val="28"/>
          <w:szCs w:val="36"/>
        </w:rPr>
        <w:t>《关于&lt;公司 2024年年度报告&gt;及&lt;2024年年度报告摘要&gt;的议案》</w:t>
      </w:r>
    </w:p>
    <w:p w14:paraId="5368CDCF">
      <w:pPr>
        <w:ind w:firstLine="560" w:firstLineChars="200"/>
        <w:rPr>
          <w:rFonts w:ascii="仿宋" w:hAnsi="仿宋" w:eastAsia="仿宋"/>
          <w:sz w:val="28"/>
          <w:szCs w:val="36"/>
        </w:rPr>
      </w:pPr>
      <w:r>
        <w:rPr>
          <w:rFonts w:hint="eastAsia" w:ascii="仿宋" w:hAnsi="仿宋" w:eastAsia="仿宋"/>
          <w:sz w:val="28"/>
          <w:szCs w:val="28"/>
        </w:rPr>
        <w:t>9.</w:t>
      </w:r>
      <w:r>
        <w:rPr>
          <w:rFonts w:hint="eastAsia" w:ascii="仿宋" w:hAnsi="仿宋" w:eastAsia="仿宋"/>
          <w:sz w:val="28"/>
          <w:szCs w:val="36"/>
        </w:rPr>
        <w:t xml:space="preserve"> </w:t>
      </w:r>
      <w:r>
        <w:rPr>
          <w:rFonts w:ascii="仿宋" w:hAnsi="仿宋" w:eastAsia="仿宋"/>
          <w:sz w:val="28"/>
          <w:szCs w:val="36"/>
        </w:rPr>
        <w:t>《关于使用部分闲置自有资金进行现金管理的议案》</w:t>
      </w:r>
    </w:p>
    <w:p w14:paraId="03084CC8">
      <w:pPr>
        <w:ind w:firstLine="560" w:firstLineChars="200"/>
        <w:rPr>
          <w:rFonts w:ascii="仿宋" w:hAnsi="仿宋" w:eastAsia="仿宋"/>
          <w:sz w:val="28"/>
          <w:szCs w:val="36"/>
        </w:rPr>
      </w:pPr>
      <w:r>
        <w:rPr>
          <w:rFonts w:hint="eastAsia" w:ascii="仿宋" w:hAnsi="仿宋" w:eastAsia="仿宋"/>
          <w:sz w:val="28"/>
          <w:szCs w:val="36"/>
        </w:rPr>
        <w:t>1</w:t>
      </w:r>
      <w:r>
        <w:rPr>
          <w:rFonts w:ascii="仿宋" w:hAnsi="仿宋" w:eastAsia="仿宋"/>
          <w:sz w:val="28"/>
          <w:szCs w:val="36"/>
        </w:rPr>
        <w:t>0. 《关于回购注销部分已授予但尚未解除限售的限制性股票的议案》</w:t>
      </w:r>
    </w:p>
    <w:p w14:paraId="2F5B2AD9">
      <w:pPr>
        <w:ind w:firstLine="560" w:firstLineChars="200"/>
        <w:rPr>
          <w:rFonts w:ascii="仿宋" w:hAnsi="仿宋" w:eastAsia="仿宋"/>
          <w:sz w:val="28"/>
          <w:szCs w:val="36"/>
        </w:rPr>
      </w:pPr>
      <w:r>
        <w:rPr>
          <w:rFonts w:hint="eastAsia" w:ascii="仿宋" w:hAnsi="仿宋" w:eastAsia="仿宋"/>
          <w:sz w:val="28"/>
          <w:szCs w:val="36"/>
        </w:rPr>
        <w:t xml:space="preserve">11. </w:t>
      </w:r>
      <w:r>
        <w:rPr>
          <w:rFonts w:ascii="仿宋" w:hAnsi="仿宋" w:eastAsia="仿宋"/>
          <w:sz w:val="28"/>
          <w:szCs w:val="36"/>
        </w:rPr>
        <w:t>《关于拟减少公司注册资本并修订章程的议案》</w:t>
      </w:r>
    </w:p>
    <w:p w14:paraId="470D8468">
      <w:pPr>
        <w:ind w:firstLine="560" w:firstLineChars="200"/>
        <w:rPr>
          <w:rFonts w:hint="eastAsia" w:ascii="仿宋" w:hAnsi="仿宋" w:eastAsia="仿宋"/>
          <w:sz w:val="28"/>
          <w:szCs w:val="36"/>
        </w:rPr>
      </w:pPr>
      <w:r>
        <w:rPr>
          <w:rFonts w:hint="eastAsia" w:ascii="仿宋" w:hAnsi="仿宋" w:eastAsia="仿宋"/>
          <w:sz w:val="28"/>
          <w:szCs w:val="36"/>
        </w:rPr>
        <w:t xml:space="preserve">12. </w:t>
      </w:r>
      <w:r>
        <w:rPr>
          <w:rFonts w:ascii="仿宋" w:hAnsi="仿宋" w:eastAsia="仿宋"/>
          <w:sz w:val="28"/>
          <w:szCs w:val="36"/>
        </w:rPr>
        <w:t>《关于未来三年（2025-2027年）股东回报规划的议案》</w:t>
      </w:r>
    </w:p>
    <w:p w14:paraId="49923E0D">
      <w:pPr>
        <w:ind w:firstLine="560" w:firstLineChars="200"/>
        <w:rPr>
          <w:rFonts w:ascii="仿宋" w:hAnsi="仿宋" w:eastAsia="仿宋"/>
          <w:sz w:val="28"/>
          <w:szCs w:val="28"/>
        </w:rPr>
      </w:pPr>
      <w:r>
        <w:rPr>
          <w:rFonts w:hint="eastAsia" w:ascii="仿宋" w:hAnsi="仿宋" w:eastAsia="仿宋"/>
          <w:sz w:val="28"/>
          <w:szCs w:val="28"/>
        </w:rPr>
        <w:t>经核查，上述议案与会议通知中所列明的审议事项一致，本次股东会现场会议未发生对通知的议案进行修改的情形。</w:t>
      </w:r>
    </w:p>
    <w:p w14:paraId="731E09BA">
      <w:pPr>
        <w:pStyle w:val="9"/>
        <w:ind w:left="630"/>
        <w:rPr>
          <w:rFonts w:hint="eastAsia" w:ascii="仿宋" w:hAnsi="仿宋" w:eastAsia="仿宋"/>
        </w:rPr>
      </w:pPr>
      <w:bookmarkStart w:id="11" w:name="_Toc198050687"/>
      <w:bookmarkStart w:id="12" w:name="_Toc479529677"/>
      <w:r>
        <w:rPr>
          <w:rFonts w:hint="eastAsia" w:ascii="仿宋" w:hAnsi="仿宋" w:eastAsia="仿宋"/>
        </w:rPr>
        <w:t>四、本次会议的议案表决程序与表决结果</w:t>
      </w:r>
      <w:bookmarkEnd w:id="11"/>
      <w:bookmarkEnd w:id="12"/>
    </w:p>
    <w:p w14:paraId="37E9361C">
      <w:pPr>
        <w:ind w:firstLine="560" w:firstLineChars="200"/>
        <w:rPr>
          <w:rFonts w:hint="eastAsia" w:ascii="仿宋" w:hAnsi="仿宋" w:eastAsia="仿宋"/>
          <w:sz w:val="28"/>
          <w:szCs w:val="28"/>
        </w:rPr>
      </w:pPr>
      <w:r>
        <w:rPr>
          <w:rFonts w:hint="eastAsia" w:ascii="仿宋" w:hAnsi="仿宋" w:eastAsia="仿宋"/>
          <w:sz w:val="28"/>
          <w:szCs w:val="28"/>
        </w:rPr>
        <w:t>（一）本次股东会采取现场投票与网络投票相结合的方式进行表决。经核查，本次会议现场表决采用记名投票方式，就提交本次股东会的12项议案逐项进行了投票表决。深圳证券信息有限公司于2</w:t>
      </w:r>
      <w:r>
        <w:rPr>
          <w:rFonts w:ascii="仿宋" w:hAnsi="仿宋" w:eastAsia="仿宋"/>
          <w:sz w:val="28"/>
          <w:szCs w:val="28"/>
        </w:rPr>
        <w:t>02</w:t>
      </w:r>
      <w:r>
        <w:rPr>
          <w:rFonts w:hint="eastAsia" w:ascii="仿宋" w:hAnsi="仿宋" w:eastAsia="仿宋"/>
          <w:sz w:val="28"/>
          <w:szCs w:val="28"/>
        </w:rPr>
        <w:t>5年</w:t>
      </w:r>
      <w:r>
        <w:rPr>
          <w:rFonts w:ascii="仿宋" w:hAnsi="仿宋" w:eastAsia="仿宋"/>
          <w:sz w:val="28"/>
          <w:szCs w:val="28"/>
        </w:rPr>
        <w:t>5</w:t>
      </w:r>
      <w:r>
        <w:rPr>
          <w:rFonts w:hint="eastAsia" w:ascii="仿宋" w:hAnsi="仿宋" w:eastAsia="仿宋"/>
          <w:sz w:val="28"/>
          <w:szCs w:val="28"/>
        </w:rPr>
        <w:t>月13日向公司提供了本次股东会网络投票的统计结果。</w:t>
      </w:r>
    </w:p>
    <w:p w14:paraId="230C93B3">
      <w:pPr>
        <w:ind w:firstLine="560" w:firstLineChars="200"/>
        <w:rPr>
          <w:rFonts w:hint="eastAsia" w:ascii="仿宋" w:hAnsi="仿宋" w:eastAsia="仿宋"/>
          <w:sz w:val="28"/>
          <w:szCs w:val="28"/>
        </w:rPr>
      </w:pPr>
      <w:r>
        <w:rPr>
          <w:rFonts w:hint="eastAsia" w:ascii="仿宋" w:hAnsi="仿宋" w:eastAsia="仿宋"/>
          <w:sz w:val="28"/>
          <w:szCs w:val="28"/>
        </w:rPr>
        <w:t>（二）本次股东会对所议议案的表决结果</w:t>
      </w:r>
    </w:p>
    <w:p w14:paraId="35C57478">
      <w:pPr>
        <w:ind w:firstLine="560" w:firstLineChars="200"/>
        <w:rPr>
          <w:rFonts w:hint="eastAsia" w:ascii="仿宋" w:hAnsi="仿宋" w:eastAsia="仿宋"/>
          <w:sz w:val="28"/>
          <w:szCs w:val="28"/>
        </w:rPr>
      </w:pPr>
      <w:r>
        <w:rPr>
          <w:rFonts w:hint="eastAsia" w:ascii="仿宋" w:hAnsi="仿宋" w:eastAsia="仿宋"/>
          <w:sz w:val="28"/>
          <w:szCs w:val="28"/>
        </w:rPr>
        <w:t>根据对现场会议投票结果所作的清点以及深圳证券信息有限公司提供的本次股东会网络投票统计结果，本次股东会审议的12项议案均获得通过，其表决结果具体如下：</w:t>
      </w:r>
    </w:p>
    <w:p w14:paraId="4EB161B7">
      <w:pPr>
        <w:ind w:firstLine="560" w:firstLineChars="200"/>
        <w:rPr>
          <w:rFonts w:ascii="仿宋" w:hAnsi="仿宋" w:eastAsia="仿宋"/>
          <w:sz w:val="28"/>
          <w:szCs w:val="28"/>
        </w:rPr>
      </w:pPr>
      <w:r>
        <w:rPr>
          <w:rFonts w:hint="eastAsia" w:ascii="仿宋" w:hAnsi="仿宋" w:eastAsia="仿宋"/>
          <w:sz w:val="28"/>
          <w:szCs w:val="28"/>
        </w:rPr>
        <w:t>1. 《关于&lt;公司2024年度董事会工作报告&gt;的议案》</w:t>
      </w:r>
    </w:p>
    <w:p w14:paraId="13AC2628">
      <w:pPr>
        <w:ind w:firstLine="560" w:firstLineChars="200"/>
        <w:rPr>
          <w:rFonts w:ascii="仿宋" w:hAnsi="仿宋" w:eastAsia="仿宋"/>
          <w:sz w:val="28"/>
          <w:szCs w:val="28"/>
        </w:rPr>
      </w:pPr>
      <w:bookmarkStart w:id="13" w:name="_Hlk135404061"/>
      <w:r>
        <w:rPr>
          <w:rFonts w:hint="eastAsia" w:ascii="仿宋" w:hAnsi="仿宋" w:eastAsia="仿宋"/>
          <w:sz w:val="28"/>
          <w:szCs w:val="28"/>
        </w:rPr>
        <w:t>总表决情况：同意24,590,310股，占出席会议所有股东所持股份的99.9894％；反对2,600股，占出席会议所有股东所持股份的0.0106％；弃权0股，占出席会议所有股东所持股份的0</w:t>
      </w:r>
      <w:r>
        <w:rPr>
          <w:rFonts w:ascii="仿宋" w:hAnsi="仿宋" w:eastAsia="仿宋"/>
          <w:sz w:val="28"/>
          <w:szCs w:val="28"/>
        </w:rPr>
        <w:t>.0000</w:t>
      </w:r>
      <w:r>
        <w:rPr>
          <w:rFonts w:hint="eastAsia" w:ascii="仿宋" w:hAnsi="仿宋" w:eastAsia="仿宋"/>
          <w:sz w:val="28"/>
          <w:szCs w:val="28"/>
        </w:rPr>
        <w:t>％。</w:t>
      </w:r>
      <w:bookmarkEnd w:id="13"/>
    </w:p>
    <w:p w14:paraId="5DF7E710">
      <w:pPr>
        <w:ind w:firstLine="560" w:firstLineChars="200"/>
        <w:rPr>
          <w:rFonts w:ascii="仿宋" w:hAnsi="仿宋" w:eastAsia="仿宋"/>
          <w:sz w:val="28"/>
          <w:szCs w:val="28"/>
        </w:rPr>
      </w:pPr>
      <w:r>
        <w:rPr>
          <w:rFonts w:hint="eastAsia" w:ascii="仿宋" w:hAnsi="仿宋" w:eastAsia="仿宋"/>
          <w:sz w:val="28"/>
          <w:szCs w:val="28"/>
        </w:rPr>
        <w:t>中小股东总表决情况：</w:t>
      </w:r>
    </w:p>
    <w:p w14:paraId="6BD84647">
      <w:pPr>
        <w:ind w:firstLine="560" w:firstLineChars="200"/>
        <w:rPr>
          <w:rFonts w:ascii="仿宋" w:hAnsi="仿宋" w:eastAsia="仿宋"/>
          <w:sz w:val="28"/>
          <w:szCs w:val="28"/>
        </w:rPr>
      </w:pPr>
      <w:bookmarkStart w:id="14" w:name="_Hlk135403213"/>
      <w:r>
        <w:rPr>
          <w:rFonts w:hint="eastAsia" w:ascii="仿宋" w:hAnsi="仿宋" w:eastAsia="仿宋"/>
          <w:sz w:val="28"/>
          <w:szCs w:val="28"/>
        </w:rPr>
        <w:t>同意1,080,366股，占出席会议的中小股股东所持股份的99.7599％；反对2,600股，占出席会议的中小股股东所持股份的0.2401％；弃权0股（其中，因未投票默认弃权0股），占出席会议的中小股股东所持股份的0.0000％。</w:t>
      </w:r>
    </w:p>
    <w:p w14:paraId="185D59AB">
      <w:pPr>
        <w:ind w:firstLine="560" w:firstLineChars="200"/>
        <w:rPr>
          <w:rFonts w:ascii="仿宋" w:hAnsi="仿宋" w:eastAsia="仿宋"/>
          <w:sz w:val="28"/>
          <w:szCs w:val="28"/>
        </w:rPr>
      </w:pPr>
      <w:r>
        <w:rPr>
          <w:rFonts w:hint="eastAsia" w:ascii="仿宋" w:hAnsi="仿宋" w:eastAsia="仿宋"/>
          <w:sz w:val="28"/>
          <w:szCs w:val="28"/>
        </w:rPr>
        <w:t>回避表决情况：本议案不涉及回避表决情况。</w:t>
      </w:r>
      <w:bookmarkEnd w:id="14"/>
    </w:p>
    <w:p w14:paraId="606956BD">
      <w:pPr>
        <w:ind w:firstLine="560" w:firstLineChars="200"/>
        <w:rPr>
          <w:rFonts w:ascii="仿宋" w:hAnsi="仿宋" w:eastAsia="仿宋"/>
          <w:sz w:val="28"/>
          <w:szCs w:val="28"/>
        </w:rPr>
      </w:pPr>
      <w:r>
        <w:rPr>
          <w:rFonts w:hint="eastAsia" w:ascii="仿宋" w:hAnsi="仿宋" w:eastAsia="仿宋"/>
          <w:sz w:val="28"/>
          <w:szCs w:val="28"/>
        </w:rPr>
        <w:t>表决结果：审议通过《关于&lt;公司2024年度董事会工作报告&gt;的议案》。</w:t>
      </w:r>
    </w:p>
    <w:p w14:paraId="1FD90BFE">
      <w:pPr>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 xml:space="preserve"> </w:t>
      </w:r>
      <w:r>
        <w:rPr>
          <w:rFonts w:hint="eastAsia" w:ascii="仿宋" w:hAnsi="仿宋" w:eastAsia="仿宋"/>
          <w:sz w:val="28"/>
          <w:szCs w:val="28"/>
        </w:rPr>
        <w:t>《关于&lt;公司2024年度监事会工作报告&gt;的议案》</w:t>
      </w:r>
    </w:p>
    <w:p w14:paraId="6633AE6D">
      <w:pPr>
        <w:ind w:firstLine="560" w:firstLineChars="200"/>
        <w:rPr>
          <w:rFonts w:ascii="仿宋" w:hAnsi="仿宋" w:eastAsia="仿宋"/>
          <w:sz w:val="28"/>
          <w:szCs w:val="28"/>
        </w:rPr>
      </w:pPr>
      <w:r>
        <w:rPr>
          <w:rFonts w:hint="eastAsia" w:ascii="仿宋" w:hAnsi="仿宋" w:eastAsia="仿宋"/>
          <w:sz w:val="28"/>
          <w:szCs w:val="28"/>
        </w:rPr>
        <w:t>总表决情况：同意24,590,310股，占出席会议所有股东所持股份的99.9894％；反对2,600股，占出席会议所有股东所持股份的0.0106％；弃权0股，占出席会议所有股东所持股份的0</w:t>
      </w:r>
      <w:r>
        <w:rPr>
          <w:rFonts w:ascii="仿宋" w:hAnsi="仿宋" w:eastAsia="仿宋"/>
          <w:sz w:val="28"/>
          <w:szCs w:val="28"/>
        </w:rPr>
        <w:t>.0000</w:t>
      </w:r>
      <w:r>
        <w:rPr>
          <w:rFonts w:hint="eastAsia" w:ascii="仿宋" w:hAnsi="仿宋" w:eastAsia="仿宋"/>
          <w:sz w:val="28"/>
          <w:szCs w:val="28"/>
        </w:rPr>
        <w:t>％。</w:t>
      </w:r>
    </w:p>
    <w:p w14:paraId="5736200A">
      <w:pPr>
        <w:ind w:firstLine="560" w:firstLineChars="200"/>
        <w:rPr>
          <w:rFonts w:ascii="仿宋" w:hAnsi="仿宋" w:eastAsia="仿宋"/>
          <w:sz w:val="28"/>
          <w:szCs w:val="28"/>
        </w:rPr>
      </w:pPr>
      <w:r>
        <w:rPr>
          <w:rFonts w:hint="eastAsia" w:ascii="仿宋" w:hAnsi="仿宋" w:eastAsia="仿宋"/>
          <w:sz w:val="28"/>
          <w:szCs w:val="28"/>
        </w:rPr>
        <w:t>中小股东总表决情况：</w:t>
      </w:r>
    </w:p>
    <w:p w14:paraId="4A7F742C">
      <w:pPr>
        <w:ind w:firstLine="560" w:firstLineChars="200"/>
        <w:rPr>
          <w:rFonts w:ascii="仿宋" w:hAnsi="仿宋" w:eastAsia="仿宋"/>
          <w:sz w:val="28"/>
          <w:szCs w:val="28"/>
        </w:rPr>
      </w:pPr>
      <w:r>
        <w:rPr>
          <w:rFonts w:hint="eastAsia" w:ascii="仿宋" w:hAnsi="仿宋" w:eastAsia="仿宋"/>
          <w:sz w:val="28"/>
          <w:szCs w:val="28"/>
        </w:rPr>
        <w:t>同意1,080,366股，占出席会议的中小股股东所持股份的99.7599％；反对2,600股，占出席会议的中小股股东所持股份的0.2401％；弃权0股（其中，因未投票默认弃权0股），占出席会议的中小股股东所持股份的0.0000％。</w:t>
      </w:r>
    </w:p>
    <w:p w14:paraId="2B2078AF">
      <w:pPr>
        <w:ind w:firstLine="560" w:firstLineChars="200"/>
        <w:rPr>
          <w:rFonts w:hint="eastAsia" w:ascii="仿宋" w:hAnsi="仿宋" w:eastAsia="仿宋"/>
          <w:sz w:val="28"/>
          <w:szCs w:val="28"/>
        </w:rPr>
      </w:pPr>
      <w:r>
        <w:rPr>
          <w:rFonts w:hint="eastAsia" w:ascii="仿宋" w:hAnsi="仿宋" w:eastAsia="仿宋"/>
          <w:sz w:val="28"/>
          <w:szCs w:val="28"/>
        </w:rPr>
        <w:t>回避表决情况：本议案不涉及回避表决情况。</w:t>
      </w:r>
    </w:p>
    <w:p w14:paraId="2D8A0F2E">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表决结果：审议通过《关于&lt;公司2024年度监事会工作报告&gt;的议案》。</w:t>
      </w:r>
    </w:p>
    <w:p w14:paraId="3242902D">
      <w:pPr>
        <w:ind w:firstLine="560" w:firstLineChars="200"/>
        <w:rPr>
          <w:rFonts w:ascii="仿宋" w:hAnsi="仿宋" w:eastAsia="仿宋"/>
          <w:sz w:val="28"/>
          <w:szCs w:val="28"/>
        </w:rPr>
      </w:pPr>
      <w:r>
        <w:rPr>
          <w:rFonts w:hint="eastAsia" w:ascii="仿宋" w:hAnsi="仿宋" w:eastAsia="仿宋"/>
          <w:sz w:val="28"/>
          <w:szCs w:val="28"/>
        </w:rPr>
        <w:t>3.</w:t>
      </w:r>
      <w:r>
        <w:rPr>
          <w:rFonts w:ascii="仿宋" w:hAnsi="仿宋" w:eastAsia="仿宋"/>
          <w:sz w:val="28"/>
          <w:szCs w:val="28"/>
        </w:rPr>
        <w:t xml:space="preserve"> </w:t>
      </w:r>
      <w:bookmarkStart w:id="15" w:name="_Hlk197945870"/>
      <w:r>
        <w:rPr>
          <w:rFonts w:hint="eastAsia" w:ascii="仿宋" w:hAnsi="仿宋" w:eastAsia="仿宋"/>
          <w:sz w:val="28"/>
          <w:szCs w:val="28"/>
        </w:rPr>
        <w:t>《关于&lt;2024年度财务决算报告&gt;的议案》</w:t>
      </w:r>
      <w:bookmarkEnd w:id="15"/>
    </w:p>
    <w:p w14:paraId="738789CF">
      <w:pPr>
        <w:ind w:firstLine="560" w:firstLineChars="200"/>
        <w:rPr>
          <w:rFonts w:ascii="仿宋" w:hAnsi="仿宋" w:eastAsia="仿宋"/>
          <w:sz w:val="28"/>
          <w:szCs w:val="28"/>
        </w:rPr>
      </w:pPr>
      <w:r>
        <w:rPr>
          <w:rFonts w:hint="eastAsia" w:ascii="仿宋" w:hAnsi="仿宋" w:eastAsia="仿宋"/>
          <w:sz w:val="28"/>
          <w:szCs w:val="28"/>
        </w:rPr>
        <w:t>总表决情况：同意24,590,310股，占出席会议所有股东所持股份的99.9894％；反对2,600股，占出席会议所有股东所持股份的0.0106％；弃权0股，占出席会议所有股东所持股份的0</w:t>
      </w:r>
      <w:r>
        <w:rPr>
          <w:rFonts w:ascii="仿宋" w:hAnsi="仿宋" w:eastAsia="仿宋"/>
          <w:sz w:val="28"/>
          <w:szCs w:val="28"/>
        </w:rPr>
        <w:t>.0000</w:t>
      </w:r>
      <w:r>
        <w:rPr>
          <w:rFonts w:hint="eastAsia" w:ascii="仿宋" w:hAnsi="仿宋" w:eastAsia="仿宋"/>
          <w:sz w:val="28"/>
          <w:szCs w:val="28"/>
        </w:rPr>
        <w:t>％。</w:t>
      </w:r>
    </w:p>
    <w:p w14:paraId="4C40CAEC">
      <w:pPr>
        <w:ind w:firstLine="560" w:firstLineChars="200"/>
        <w:rPr>
          <w:rFonts w:ascii="仿宋" w:hAnsi="仿宋" w:eastAsia="仿宋"/>
          <w:sz w:val="28"/>
          <w:szCs w:val="28"/>
        </w:rPr>
      </w:pPr>
      <w:r>
        <w:rPr>
          <w:rFonts w:hint="eastAsia" w:ascii="仿宋" w:hAnsi="仿宋" w:eastAsia="仿宋"/>
          <w:sz w:val="28"/>
          <w:szCs w:val="28"/>
        </w:rPr>
        <w:t>中小股东总表决情况：</w:t>
      </w:r>
    </w:p>
    <w:p w14:paraId="51812065">
      <w:pPr>
        <w:ind w:firstLine="560" w:firstLineChars="200"/>
        <w:rPr>
          <w:rFonts w:ascii="仿宋" w:hAnsi="仿宋" w:eastAsia="仿宋"/>
          <w:sz w:val="28"/>
          <w:szCs w:val="28"/>
        </w:rPr>
      </w:pPr>
      <w:r>
        <w:rPr>
          <w:rFonts w:hint="eastAsia" w:ascii="仿宋" w:hAnsi="仿宋" w:eastAsia="仿宋"/>
          <w:sz w:val="28"/>
          <w:szCs w:val="28"/>
        </w:rPr>
        <w:t>同意1,080,366股，占出席会议的中小股股东所持股份的99.7599％；反对2,600股，占出席会议的中小股股东所持股份的0.2401％；弃权0股（其中，因未投票默认弃权0股），占出席会议的中小股股东所持股份的0.0000％。</w:t>
      </w:r>
    </w:p>
    <w:p w14:paraId="6855E653">
      <w:pPr>
        <w:ind w:firstLine="560" w:firstLineChars="200"/>
        <w:rPr>
          <w:rFonts w:hint="eastAsia" w:ascii="仿宋" w:hAnsi="仿宋" w:eastAsia="仿宋"/>
          <w:sz w:val="28"/>
          <w:szCs w:val="28"/>
        </w:rPr>
      </w:pPr>
      <w:r>
        <w:rPr>
          <w:rFonts w:hint="eastAsia" w:ascii="仿宋" w:hAnsi="仿宋" w:eastAsia="仿宋"/>
          <w:sz w:val="28"/>
          <w:szCs w:val="28"/>
        </w:rPr>
        <w:t>回避表决情况：本议案不涉及回避表决情况。</w:t>
      </w:r>
    </w:p>
    <w:p w14:paraId="6996675B">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表决结果：审议通过《关于&lt;2024年度财务决算报告&gt;的议案》。</w:t>
      </w:r>
    </w:p>
    <w:p w14:paraId="7479BB01">
      <w:pPr>
        <w:ind w:firstLine="560" w:firstLineChars="20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 xml:space="preserve"> </w:t>
      </w:r>
      <w:r>
        <w:rPr>
          <w:rFonts w:hint="eastAsia" w:ascii="仿宋" w:hAnsi="仿宋" w:eastAsia="仿宋"/>
          <w:sz w:val="28"/>
          <w:szCs w:val="28"/>
        </w:rPr>
        <w:t>《关于2024年度拟不进行利润分配的议案》</w:t>
      </w:r>
    </w:p>
    <w:p w14:paraId="7BA42945">
      <w:pPr>
        <w:ind w:firstLine="560" w:firstLineChars="200"/>
        <w:rPr>
          <w:rFonts w:ascii="仿宋" w:hAnsi="仿宋" w:eastAsia="仿宋"/>
          <w:sz w:val="28"/>
          <w:szCs w:val="28"/>
        </w:rPr>
      </w:pPr>
      <w:r>
        <w:rPr>
          <w:rFonts w:hint="eastAsia" w:ascii="仿宋" w:hAnsi="仿宋" w:eastAsia="仿宋"/>
          <w:sz w:val="28"/>
          <w:szCs w:val="28"/>
        </w:rPr>
        <w:t>总表决情况：同意24,581,810股，占出席会议所有股东所持股份的99.9549％；反对5,100股，占出席会议所有股东所持股份的0.0207％；弃权6,000股，占出席会议所有股东所持股份的0</w:t>
      </w:r>
      <w:r>
        <w:rPr>
          <w:rFonts w:ascii="仿宋" w:hAnsi="仿宋" w:eastAsia="仿宋"/>
          <w:sz w:val="28"/>
          <w:szCs w:val="28"/>
        </w:rPr>
        <w:t>.0</w:t>
      </w:r>
      <w:r>
        <w:rPr>
          <w:rFonts w:hint="eastAsia" w:ascii="仿宋" w:hAnsi="仿宋" w:eastAsia="仿宋"/>
          <w:sz w:val="28"/>
          <w:szCs w:val="28"/>
        </w:rPr>
        <w:t>244％。</w:t>
      </w:r>
    </w:p>
    <w:p w14:paraId="3FCB3265">
      <w:pPr>
        <w:ind w:firstLine="560" w:firstLineChars="200"/>
        <w:rPr>
          <w:rFonts w:hint="eastAsia" w:ascii="仿宋" w:hAnsi="仿宋" w:eastAsia="仿宋"/>
          <w:sz w:val="28"/>
          <w:szCs w:val="28"/>
        </w:rPr>
      </w:pPr>
      <w:r>
        <w:rPr>
          <w:rFonts w:hint="eastAsia" w:ascii="仿宋" w:hAnsi="仿宋" w:eastAsia="仿宋"/>
          <w:sz w:val="28"/>
          <w:szCs w:val="28"/>
        </w:rPr>
        <w:t>中小股东总表决情况：</w:t>
      </w:r>
    </w:p>
    <w:p w14:paraId="03293D54">
      <w:pPr>
        <w:ind w:firstLine="560" w:firstLineChars="200"/>
        <w:rPr>
          <w:rFonts w:ascii="仿宋" w:hAnsi="仿宋" w:eastAsia="仿宋"/>
          <w:sz w:val="28"/>
          <w:szCs w:val="28"/>
        </w:rPr>
      </w:pPr>
      <w:r>
        <w:rPr>
          <w:rFonts w:hint="eastAsia" w:ascii="仿宋" w:hAnsi="仿宋" w:eastAsia="仿宋"/>
          <w:sz w:val="28"/>
          <w:szCs w:val="28"/>
        </w:rPr>
        <w:t>同意1,071,866股，占出席会议的中小股股东所持股份的98.9750％；反对5,100股，占出席会议的中小股股东所持股份的0.4709％；弃权6,000股（其中，因未投票默认弃权0股），占出席会议的中小股股东所持股份的0.5540％。</w:t>
      </w:r>
    </w:p>
    <w:p w14:paraId="7ABBBB77">
      <w:pPr>
        <w:ind w:firstLine="560" w:firstLineChars="200"/>
        <w:rPr>
          <w:rFonts w:hint="eastAsia" w:ascii="仿宋" w:hAnsi="仿宋" w:eastAsia="仿宋"/>
          <w:sz w:val="28"/>
          <w:szCs w:val="28"/>
        </w:rPr>
      </w:pPr>
      <w:r>
        <w:rPr>
          <w:rFonts w:hint="eastAsia" w:ascii="仿宋" w:hAnsi="仿宋" w:eastAsia="仿宋"/>
          <w:sz w:val="28"/>
          <w:szCs w:val="28"/>
        </w:rPr>
        <w:t>回避表决情况：本议案不涉及回避表决情况。</w:t>
      </w:r>
    </w:p>
    <w:p w14:paraId="7FA3AF44">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表决结果：审议通过《关于2024年度拟不进行利润分配的议案》。</w:t>
      </w:r>
    </w:p>
    <w:p w14:paraId="4A29D6D7">
      <w:pPr>
        <w:ind w:firstLine="560" w:firstLineChars="200"/>
        <w:rPr>
          <w:rFonts w:ascii="仿宋" w:hAnsi="仿宋" w:eastAsia="仿宋"/>
          <w:sz w:val="28"/>
          <w:szCs w:val="28"/>
        </w:rPr>
      </w:pPr>
      <w:r>
        <w:rPr>
          <w:rFonts w:hint="eastAsia" w:ascii="仿宋" w:hAnsi="仿宋" w:eastAsia="仿宋"/>
          <w:sz w:val="28"/>
          <w:szCs w:val="28"/>
        </w:rPr>
        <w:t>5.</w:t>
      </w:r>
      <w:r>
        <w:rPr>
          <w:rFonts w:ascii="仿宋" w:hAnsi="仿宋" w:eastAsia="仿宋"/>
          <w:sz w:val="28"/>
          <w:szCs w:val="28"/>
        </w:rPr>
        <w:t xml:space="preserve"> </w:t>
      </w:r>
      <w:r>
        <w:rPr>
          <w:rFonts w:hint="eastAsia" w:ascii="仿宋" w:hAnsi="仿宋" w:eastAsia="仿宋"/>
          <w:sz w:val="28"/>
          <w:szCs w:val="28"/>
        </w:rPr>
        <w:t>《关于公司董事及高级管理人员2025年度薪酬待遇方案的议案》</w:t>
      </w:r>
    </w:p>
    <w:p w14:paraId="5A171269">
      <w:pPr>
        <w:ind w:firstLine="560" w:firstLineChars="200"/>
        <w:rPr>
          <w:rFonts w:ascii="仿宋" w:hAnsi="仿宋" w:eastAsia="仿宋"/>
          <w:sz w:val="28"/>
          <w:szCs w:val="28"/>
        </w:rPr>
      </w:pPr>
      <w:bookmarkStart w:id="16" w:name="_Hlk166839622"/>
      <w:r>
        <w:rPr>
          <w:rFonts w:hint="eastAsia" w:ascii="仿宋" w:hAnsi="仿宋" w:eastAsia="仿宋"/>
          <w:sz w:val="28"/>
          <w:szCs w:val="28"/>
        </w:rPr>
        <w:t>总表决情况：同意1,078,466股，占出席会议</w:t>
      </w:r>
      <w:r>
        <w:rPr>
          <w:rFonts w:hint="eastAsia" w:ascii="仿宋" w:hAnsi="仿宋" w:eastAsia="仿宋"/>
          <w:sz w:val="28"/>
          <w:szCs w:val="28"/>
          <w:lang w:eastAsia="zh-CN"/>
        </w:rPr>
        <w:t>有表决权</w:t>
      </w:r>
      <w:r>
        <w:rPr>
          <w:rFonts w:hint="eastAsia" w:ascii="仿宋" w:hAnsi="仿宋" w:eastAsia="仿宋"/>
          <w:sz w:val="28"/>
          <w:szCs w:val="28"/>
        </w:rPr>
        <w:t>股东所持股份的99.5845％；反对3,700股，占出席会议</w:t>
      </w:r>
      <w:r>
        <w:rPr>
          <w:rFonts w:hint="eastAsia" w:ascii="仿宋" w:hAnsi="仿宋" w:eastAsia="仿宋"/>
          <w:sz w:val="28"/>
          <w:szCs w:val="28"/>
          <w:lang w:eastAsia="zh-CN"/>
        </w:rPr>
        <w:t>有表决权</w:t>
      </w:r>
      <w:r>
        <w:rPr>
          <w:rFonts w:hint="eastAsia" w:ascii="仿宋" w:hAnsi="仿宋" w:eastAsia="仿宋"/>
          <w:sz w:val="28"/>
          <w:szCs w:val="28"/>
        </w:rPr>
        <w:t>股东所持股份的0.3417％；弃权800股，占出席会议</w:t>
      </w:r>
      <w:r>
        <w:rPr>
          <w:rFonts w:hint="eastAsia" w:ascii="仿宋" w:hAnsi="仿宋" w:eastAsia="仿宋"/>
          <w:sz w:val="28"/>
          <w:szCs w:val="28"/>
          <w:lang w:eastAsia="zh-CN"/>
        </w:rPr>
        <w:t>有表决权</w:t>
      </w:r>
      <w:r>
        <w:rPr>
          <w:rFonts w:hint="eastAsia" w:ascii="仿宋" w:hAnsi="仿宋" w:eastAsia="仿宋"/>
          <w:sz w:val="28"/>
          <w:szCs w:val="28"/>
        </w:rPr>
        <w:t>股东所持股份的0.0739％。</w:t>
      </w:r>
    </w:p>
    <w:p w14:paraId="268D3D54">
      <w:pPr>
        <w:ind w:firstLine="560" w:firstLineChars="200"/>
        <w:rPr>
          <w:rFonts w:hint="eastAsia" w:ascii="仿宋" w:hAnsi="仿宋" w:eastAsia="仿宋"/>
          <w:sz w:val="28"/>
          <w:szCs w:val="28"/>
        </w:rPr>
      </w:pPr>
      <w:r>
        <w:rPr>
          <w:rFonts w:hint="eastAsia" w:ascii="仿宋" w:hAnsi="仿宋" w:eastAsia="仿宋"/>
          <w:sz w:val="28"/>
          <w:szCs w:val="28"/>
        </w:rPr>
        <w:t>中小股东总表决情况：</w:t>
      </w:r>
    </w:p>
    <w:p w14:paraId="713C1BB6">
      <w:pPr>
        <w:ind w:firstLine="560" w:firstLineChars="200"/>
        <w:rPr>
          <w:rFonts w:ascii="仿宋" w:hAnsi="仿宋" w:eastAsia="仿宋"/>
          <w:sz w:val="28"/>
          <w:szCs w:val="28"/>
        </w:rPr>
      </w:pPr>
      <w:r>
        <w:rPr>
          <w:rFonts w:hint="eastAsia" w:ascii="仿宋" w:hAnsi="仿宋" w:eastAsia="仿宋"/>
          <w:sz w:val="28"/>
          <w:szCs w:val="28"/>
        </w:rPr>
        <w:t>同意1,078,466 股，占出席会议有表决权的中小股股东所持股份的99.5845％；反对3,700股，占出席会议有表决权的中小股股东所持股份的0.3417％；弃权800股（其中，因未投票默认弃权0股），占出席会议有表决权的中小股股东所持股份的0.0739％。</w:t>
      </w:r>
    </w:p>
    <w:p w14:paraId="66786B04">
      <w:pPr>
        <w:ind w:firstLine="560" w:firstLineChars="200"/>
        <w:rPr>
          <w:rFonts w:hint="eastAsia" w:ascii="仿宋" w:hAnsi="仿宋" w:eastAsia="仿宋"/>
          <w:sz w:val="28"/>
          <w:szCs w:val="28"/>
        </w:rPr>
      </w:pPr>
      <w:r>
        <w:rPr>
          <w:rFonts w:hint="eastAsia" w:ascii="仿宋" w:hAnsi="仿宋" w:eastAsia="仿宋"/>
          <w:sz w:val="28"/>
          <w:szCs w:val="28"/>
        </w:rPr>
        <w:t>回避表决情况：关联股东林明玲、马学沛回避表决。</w:t>
      </w:r>
      <w:bookmarkEnd w:id="16"/>
    </w:p>
    <w:p w14:paraId="08450951">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表决结果：审议通过《关于公司董事及高级管理人员2025年度薪酬待遇方案的议案》。</w:t>
      </w:r>
    </w:p>
    <w:p w14:paraId="3347C650">
      <w:pPr>
        <w:ind w:firstLine="560" w:firstLineChars="200"/>
        <w:rPr>
          <w:rFonts w:ascii="仿宋" w:hAnsi="仿宋" w:eastAsia="仿宋"/>
          <w:sz w:val="28"/>
          <w:szCs w:val="28"/>
        </w:rPr>
      </w:pPr>
      <w:r>
        <w:rPr>
          <w:rFonts w:hint="eastAsia" w:ascii="仿宋" w:hAnsi="仿宋" w:eastAsia="仿宋"/>
          <w:sz w:val="28"/>
          <w:szCs w:val="28"/>
        </w:rPr>
        <w:t>6.</w:t>
      </w:r>
      <w:r>
        <w:rPr>
          <w:rFonts w:ascii="仿宋" w:hAnsi="仿宋" w:eastAsia="仿宋"/>
          <w:sz w:val="28"/>
          <w:szCs w:val="28"/>
        </w:rPr>
        <w:t xml:space="preserve"> </w:t>
      </w:r>
      <w:r>
        <w:rPr>
          <w:rFonts w:hint="eastAsia" w:ascii="仿宋" w:hAnsi="仿宋" w:eastAsia="仿宋"/>
          <w:sz w:val="28"/>
          <w:szCs w:val="28"/>
        </w:rPr>
        <w:t>《关于公司监事薪酬待遇方案的议案》</w:t>
      </w:r>
    </w:p>
    <w:p w14:paraId="5F76E3C2">
      <w:pPr>
        <w:ind w:firstLine="560" w:firstLineChars="200"/>
        <w:rPr>
          <w:rFonts w:ascii="仿宋" w:hAnsi="仿宋" w:eastAsia="仿宋"/>
          <w:sz w:val="28"/>
          <w:szCs w:val="28"/>
        </w:rPr>
      </w:pPr>
      <w:r>
        <w:rPr>
          <w:rFonts w:hint="eastAsia" w:ascii="仿宋" w:hAnsi="仿宋" w:eastAsia="仿宋"/>
          <w:sz w:val="28"/>
          <w:szCs w:val="28"/>
        </w:rPr>
        <w:t>总表决情况：同意24,588,410股，占出席会议所有股东所持股份的99.9817％；反对3,700股，占出席会议所有股东所持股份的0.0150％；弃权800股，占出席会议所有股东所持股份的0</w:t>
      </w:r>
      <w:r>
        <w:rPr>
          <w:rFonts w:ascii="仿宋" w:hAnsi="仿宋" w:eastAsia="仿宋"/>
          <w:sz w:val="28"/>
          <w:szCs w:val="28"/>
        </w:rPr>
        <w:t>.00</w:t>
      </w:r>
      <w:r>
        <w:rPr>
          <w:rFonts w:hint="eastAsia" w:ascii="仿宋" w:hAnsi="仿宋" w:eastAsia="仿宋"/>
          <w:sz w:val="28"/>
          <w:szCs w:val="28"/>
        </w:rPr>
        <w:t>33％。</w:t>
      </w:r>
    </w:p>
    <w:p w14:paraId="11E6FBB2">
      <w:pPr>
        <w:ind w:firstLine="560" w:firstLineChars="200"/>
        <w:rPr>
          <w:rFonts w:hint="eastAsia" w:ascii="仿宋" w:hAnsi="仿宋" w:eastAsia="仿宋"/>
          <w:sz w:val="28"/>
          <w:szCs w:val="28"/>
        </w:rPr>
      </w:pPr>
      <w:r>
        <w:rPr>
          <w:rFonts w:hint="eastAsia" w:ascii="仿宋" w:hAnsi="仿宋" w:eastAsia="仿宋"/>
          <w:sz w:val="28"/>
          <w:szCs w:val="28"/>
        </w:rPr>
        <w:t>中小股东总表决情况：</w:t>
      </w:r>
    </w:p>
    <w:p w14:paraId="418504D4">
      <w:pPr>
        <w:ind w:firstLine="560" w:firstLineChars="200"/>
        <w:rPr>
          <w:rFonts w:ascii="仿宋" w:hAnsi="仿宋" w:eastAsia="仿宋"/>
          <w:sz w:val="28"/>
          <w:szCs w:val="28"/>
        </w:rPr>
      </w:pPr>
      <w:r>
        <w:rPr>
          <w:rFonts w:hint="eastAsia" w:ascii="仿宋" w:hAnsi="仿宋" w:eastAsia="仿宋"/>
          <w:sz w:val="28"/>
          <w:szCs w:val="28"/>
        </w:rPr>
        <w:t>同意1,078,466股，占出席会议的中小股股东所持股份的99.5848％；反对3,700股，占出席会议的中小股股东所持股份的0.3417％；弃权800股（其中，因未投票默认弃权0股），占出席会议的中小股股东所持股份的0.0738％。</w:t>
      </w:r>
    </w:p>
    <w:p w14:paraId="5D3E2A9A">
      <w:pPr>
        <w:ind w:firstLine="560" w:firstLineChars="200"/>
        <w:rPr>
          <w:rFonts w:hint="eastAsia" w:ascii="仿宋" w:hAnsi="仿宋" w:eastAsia="仿宋"/>
          <w:sz w:val="28"/>
          <w:szCs w:val="28"/>
        </w:rPr>
      </w:pPr>
      <w:r>
        <w:rPr>
          <w:rFonts w:hint="eastAsia" w:ascii="仿宋" w:hAnsi="仿宋" w:eastAsia="仿宋"/>
          <w:sz w:val="28"/>
          <w:szCs w:val="28"/>
        </w:rPr>
        <w:t>回避表决情况：本议案不涉及回避表决情况。</w:t>
      </w:r>
    </w:p>
    <w:p w14:paraId="34EF9F4E">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表决结果：审议通过《关于公司监事薪酬待遇方案的议案》。</w:t>
      </w:r>
    </w:p>
    <w:p w14:paraId="5E341B60">
      <w:pPr>
        <w:ind w:firstLine="560" w:firstLineChars="200"/>
        <w:rPr>
          <w:rFonts w:ascii="仿宋" w:hAnsi="仿宋" w:eastAsia="仿宋"/>
          <w:sz w:val="28"/>
          <w:szCs w:val="28"/>
        </w:rPr>
      </w:pPr>
      <w:r>
        <w:rPr>
          <w:rFonts w:hint="eastAsia" w:ascii="仿宋" w:hAnsi="仿宋" w:eastAsia="仿宋"/>
          <w:sz w:val="28"/>
          <w:szCs w:val="28"/>
        </w:rPr>
        <w:t>7.</w:t>
      </w:r>
      <w:r>
        <w:rPr>
          <w:rFonts w:ascii="仿宋" w:hAnsi="仿宋" w:eastAsia="仿宋"/>
          <w:sz w:val="28"/>
          <w:szCs w:val="28"/>
        </w:rPr>
        <w:t xml:space="preserve"> </w:t>
      </w:r>
      <w:r>
        <w:rPr>
          <w:rFonts w:hint="eastAsia" w:ascii="仿宋" w:hAnsi="仿宋" w:eastAsia="仿宋"/>
          <w:sz w:val="28"/>
          <w:szCs w:val="28"/>
        </w:rPr>
        <w:t>《关于子公司拟申请综合授信额度并由公司为其提供担保的议案》</w:t>
      </w:r>
    </w:p>
    <w:p w14:paraId="1DC3882F">
      <w:pPr>
        <w:ind w:firstLine="560" w:firstLineChars="200"/>
        <w:rPr>
          <w:rFonts w:ascii="仿宋" w:hAnsi="仿宋" w:eastAsia="仿宋"/>
          <w:sz w:val="28"/>
          <w:szCs w:val="28"/>
        </w:rPr>
      </w:pPr>
      <w:r>
        <w:rPr>
          <w:rFonts w:hint="eastAsia" w:ascii="仿宋" w:hAnsi="仿宋" w:eastAsia="仿宋"/>
          <w:sz w:val="28"/>
          <w:szCs w:val="28"/>
        </w:rPr>
        <w:t>总表决情况：同意24,585,110股，占出席会议所有股东所持股份的99.9683％；反对7,800股，占出席会议所有股东所持股份的0.0317％；弃权0股，占出席会议所有股东所持股份的0</w:t>
      </w:r>
      <w:r>
        <w:rPr>
          <w:rFonts w:ascii="仿宋" w:hAnsi="仿宋" w:eastAsia="仿宋"/>
          <w:sz w:val="28"/>
          <w:szCs w:val="28"/>
        </w:rPr>
        <w:t>.0000</w:t>
      </w:r>
      <w:r>
        <w:rPr>
          <w:rFonts w:hint="eastAsia" w:ascii="仿宋" w:hAnsi="仿宋" w:eastAsia="仿宋"/>
          <w:sz w:val="28"/>
          <w:szCs w:val="28"/>
        </w:rPr>
        <w:t>％。</w:t>
      </w:r>
    </w:p>
    <w:p w14:paraId="332F627D">
      <w:pPr>
        <w:ind w:firstLine="560" w:firstLineChars="200"/>
        <w:rPr>
          <w:rFonts w:hint="eastAsia" w:ascii="仿宋" w:hAnsi="仿宋" w:eastAsia="仿宋"/>
          <w:sz w:val="28"/>
          <w:szCs w:val="28"/>
        </w:rPr>
      </w:pPr>
      <w:r>
        <w:rPr>
          <w:rFonts w:hint="eastAsia" w:ascii="仿宋" w:hAnsi="仿宋" w:eastAsia="仿宋"/>
          <w:sz w:val="28"/>
          <w:szCs w:val="28"/>
        </w:rPr>
        <w:t>中小股东总表决情况：</w:t>
      </w:r>
    </w:p>
    <w:p w14:paraId="094D7115">
      <w:pPr>
        <w:ind w:firstLine="560" w:firstLineChars="200"/>
        <w:rPr>
          <w:rFonts w:ascii="仿宋" w:hAnsi="仿宋" w:eastAsia="仿宋"/>
          <w:sz w:val="28"/>
          <w:szCs w:val="28"/>
        </w:rPr>
      </w:pPr>
      <w:r>
        <w:rPr>
          <w:rFonts w:hint="eastAsia" w:ascii="仿宋" w:hAnsi="仿宋" w:eastAsia="仿宋"/>
          <w:sz w:val="28"/>
          <w:szCs w:val="28"/>
        </w:rPr>
        <w:t>同意1,075,166股，占出席会议的中小股股东所持股份的99.2798％；反对7,800股，占出席会议的中小股股东所持股份的0.7202％；弃权0股（其中，因未投票默认弃权0股），占出席会议的中小股股东所持股份的0.0000％。</w:t>
      </w:r>
    </w:p>
    <w:p w14:paraId="50832E40">
      <w:pPr>
        <w:ind w:firstLine="560" w:firstLineChars="200"/>
        <w:rPr>
          <w:rFonts w:hint="eastAsia" w:ascii="仿宋" w:hAnsi="仿宋" w:eastAsia="仿宋"/>
          <w:sz w:val="28"/>
          <w:szCs w:val="28"/>
        </w:rPr>
      </w:pPr>
      <w:r>
        <w:rPr>
          <w:rFonts w:hint="eastAsia" w:ascii="仿宋" w:hAnsi="仿宋" w:eastAsia="仿宋"/>
          <w:sz w:val="28"/>
          <w:szCs w:val="28"/>
        </w:rPr>
        <w:t>回避表决情况：</w:t>
      </w:r>
      <w:r>
        <w:rPr>
          <w:rFonts w:hint="eastAsia" w:ascii="仿宋" w:hAnsi="仿宋" w:eastAsia="仿宋"/>
          <w:bCs/>
          <w:sz w:val="28"/>
          <w:szCs w:val="28"/>
        </w:rPr>
        <w:t>本议案不涉及回避表决情况。</w:t>
      </w:r>
    </w:p>
    <w:p w14:paraId="134167E3">
      <w:pPr>
        <w:ind w:firstLine="560" w:firstLineChars="200"/>
        <w:rPr>
          <w:rFonts w:hint="eastAsia" w:ascii="仿宋" w:hAnsi="仿宋" w:eastAsia="仿宋"/>
          <w:sz w:val="28"/>
          <w:szCs w:val="28"/>
        </w:rPr>
      </w:pPr>
      <w:r>
        <w:rPr>
          <w:rFonts w:hint="eastAsia" w:ascii="仿宋" w:hAnsi="仿宋" w:eastAsia="仿宋"/>
          <w:sz w:val="28"/>
          <w:szCs w:val="28"/>
        </w:rPr>
        <w:t>表决结果：审议通过</w:t>
      </w:r>
      <w:r>
        <w:rPr>
          <w:rFonts w:ascii="仿宋" w:hAnsi="仿宋" w:eastAsia="仿宋"/>
          <w:sz w:val="28"/>
          <w:szCs w:val="28"/>
        </w:rPr>
        <w:t>《关于子公司拟申请综合授信额度并由公司为其提供担保的议案》</w:t>
      </w:r>
      <w:r>
        <w:rPr>
          <w:rFonts w:hint="eastAsia" w:ascii="仿宋" w:hAnsi="仿宋" w:eastAsia="仿宋"/>
          <w:sz w:val="28"/>
          <w:szCs w:val="28"/>
        </w:rPr>
        <w:t>。</w:t>
      </w:r>
    </w:p>
    <w:p w14:paraId="0045B415">
      <w:pPr>
        <w:ind w:firstLine="560" w:firstLineChars="200"/>
        <w:rPr>
          <w:rFonts w:ascii="仿宋" w:hAnsi="仿宋" w:eastAsia="仿宋"/>
          <w:sz w:val="28"/>
          <w:szCs w:val="28"/>
        </w:rPr>
      </w:pPr>
      <w:r>
        <w:rPr>
          <w:rFonts w:hint="eastAsia" w:ascii="仿宋" w:hAnsi="仿宋" w:eastAsia="仿宋"/>
          <w:sz w:val="28"/>
          <w:szCs w:val="28"/>
        </w:rPr>
        <w:t>8.《关于&lt;公司2024 年年度报告&gt;及&lt;2024年年度报告摘要&gt;的议案》</w:t>
      </w:r>
    </w:p>
    <w:p w14:paraId="39549E8E">
      <w:pPr>
        <w:ind w:firstLine="560" w:firstLineChars="200"/>
        <w:rPr>
          <w:rFonts w:ascii="仿宋" w:hAnsi="仿宋" w:eastAsia="仿宋"/>
          <w:sz w:val="28"/>
          <w:szCs w:val="28"/>
        </w:rPr>
      </w:pPr>
      <w:r>
        <w:rPr>
          <w:rFonts w:hint="eastAsia" w:ascii="仿宋" w:hAnsi="仿宋" w:eastAsia="仿宋"/>
          <w:sz w:val="28"/>
          <w:szCs w:val="28"/>
        </w:rPr>
        <w:t>总表决情况：同意24,590,310股，占出席会议所有股东所持股份的99.9894％；反对2,600股，占出席会议所有股东所持股份的0.0106％；弃权0股，占出席会议所有股东所持股份的0</w:t>
      </w:r>
      <w:r>
        <w:rPr>
          <w:rFonts w:ascii="仿宋" w:hAnsi="仿宋" w:eastAsia="仿宋"/>
          <w:sz w:val="28"/>
          <w:szCs w:val="28"/>
        </w:rPr>
        <w:t>.0000</w:t>
      </w:r>
      <w:r>
        <w:rPr>
          <w:rFonts w:hint="eastAsia" w:ascii="仿宋" w:hAnsi="仿宋" w:eastAsia="仿宋"/>
          <w:sz w:val="28"/>
          <w:szCs w:val="28"/>
        </w:rPr>
        <w:t>％。</w:t>
      </w:r>
    </w:p>
    <w:p w14:paraId="7CE12BFC">
      <w:pPr>
        <w:ind w:firstLine="560" w:firstLineChars="200"/>
        <w:rPr>
          <w:rFonts w:ascii="仿宋" w:hAnsi="仿宋" w:eastAsia="仿宋"/>
          <w:sz w:val="28"/>
          <w:szCs w:val="28"/>
        </w:rPr>
      </w:pPr>
      <w:r>
        <w:rPr>
          <w:rFonts w:hint="eastAsia" w:ascii="仿宋" w:hAnsi="仿宋" w:eastAsia="仿宋"/>
          <w:sz w:val="28"/>
          <w:szCs w:val="28"/>
        </w:rPr>
        <w:t>中小股东总表决情况：</w:t>
      </w:r>
    </w:p>
    <w:p w14:paraId="40CA5106">
      <w:pPr>
        <w:ind w:firstLine="560" w:firstLineChars="200"/>
        <w:rPr>
          <w:rFonts w:ascii="仿宋" w:hAnsi="仿宋" w:eastAsia="仿宋"/>
          <w:sz w:val="28"/>
          <w:szCs w:val="28"/>
        </w:rPr>
      </w:pPr>
      <w:r>
        <w:rPr>
          <w:rFonts w:hint="eastAsia" w:ascii="仿宋" w:hAnsi="仿宋" w:eastAsia="仿宋"/>
          <w:sz w:val="28"/>
          <w:szCs w:val="28"/>
        </w:rPr>
        <w:t>同意1,080,366股，占出席会议的中小股股东所持股份的99.7599％；反对2,600股，占出席会议的中小股股东所持股份的0.2401％；弃权0股（其中，因未投票默认弃权0股），占出席会议的中小股股东所持股份的0.0000％。</w:t>
      </w:r>
    </w:p>
    <w:p w14:paraId="5E2FF30F">
      <w:pPr>
        <w:ind w:firstLine="560" w:firstLineChars="200"/>
        <w:rPr>
          <w:rFonts w:hint="eastAsia" w:ascii="仿宋" w:hAnsi="仿宋" w:eastAsia="仿宋"/>
          <w:sz w:val="28"/>
          <w:szCs w:val="28"/>
        </w:rPr>
      </w:pPr>
      <w:r>
        <w:rPr>
          <w:rFonts w:hint="eastAsia" w:ascii="仿宋" w:hAnsi="仿宋" w:eastAsia="仿宋"/>
          <w:sz w:val="28"/>
          <w:szCs w:val="28"/>
        </w:rPr>
        <w:t>回避表决情况：本议案不涉及回避表决情况。</w:t>
      </w:r>
    </w:p>
    <w:p w14:paraId="21FB6F84">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表决结果：审议通过《关于&lt;公司2024年年度报告&gt;及&lt;2024年年度报告摘要&gt;的议案》。</w:t>
      </w:r>
    </w:p>
    <w:p w14:paraId="4ABA69C7">
      <w:pPr>
        <w:ind w:firstLine="560" w:firstLineChars="200"/>
        <w:rPr>
          <w:rFonts w:ascii="仿宋" w:hAnsi="仿宋" w:eastAsia="仿宋"/>
          <w:sz w:val="28"/>
          <w:szCs w:val="28"/>
        </w:rPr>
      </w:pPr>
      <w:r>
        <w:rPr>
          <w:rFonts w:hint="eastAsia" w:ascii="仿宋" w:hAnsi="仿宋" w:eastAsia="仿宋"/>
          <w:sz w:val="28"/>
          <w:szCs w:val="28"/>
        </w:rPr>
        <w:t>9. 《关于使用部分闲置自有资金进行现金管理的议案》</w:t>
      </w:r>
    </w:p>
    <w:p w14:paraId="642DEF05">
      <w:pPr>
        <w:ind w:firstLine="560" w:firstLineChars="200"/>
        <w:rPr>
          <w:rFonts w:ascii="仿宋" w:hAnsi="仿宋" w:eastAsia="仿宋"/>
          <w:sz w:val="28"/>
          <w:szCs w:val="28"/>
        </w:rPr>
      </w:pPr>
      <w:r>
        <w:rPr>
          <w:rFonts w:hint="eastAsia" w:ascii="仿宋" w:hAnsi="仿宋" w:eastAsia="仿宋"/>
          <w:sz w:val="28"/>
          <w:szCs w:val="28"/>
        </w:rPr>
        <w:t>总表决情况：同意24,590,310股，占出席会议所有股东所持股份的99.9894％；反对2,600股，占出席会议所有股东所持股份的0.0106％；弃权0股，占出席会议所有股东所持股份的0</w:t>
      </w:r>
      <w:r>
        <w:rPr>
          <w:rFonts w:ascii="仿宋" w:hAnsi="仿宋" w:eastAsia="仿宋"/>
          <w:sz w:val="28"/>
          <w:szCs w:val="28"/>
        </w:rPr>
        <w:t>.0000</w:t>
      </w:r>
      <w:r>
        <w:rPr>
          <w:rFonts w:hint="eastAsia" w:ascii="仿宋" w:hAnsi="仿宋" w:eastAsia="仿宋"/>
          <w:sz w:val="28"/>
          <w:szCs w:val="28"/>
        </w:rPr>
        <w:t>％。</w:t>
      </w:r>
    </w:p>
    <w:p w14:paraId="537F0269">
      <w:pPr>
        <w:ind w:firstLine="560" w:firstLineChars="200"/>
        <w:rPr>
          <w:rFonts w:ascii="仿宋" w:hAnsi="仿宋" w:eastAsia="仿宋"/>
          <w:sz w:val="28"/>
          <w:szCs w:val="28"/>
        </w:rPr>
      </w:pPr>
      <w:r>
        <w:rPr>
          <w:rFonts w:hint="eastAsia" w:ascii="仿宋" w:hAnsi="仿宋" w:eastAsia="仿宋"/>
          <w:sz w:val="28"/>
          <w:szCs w:val="28"/>
        </w:rPr>
        <w:t>中小股东总表决情况：</w:t>
      </w:r>
    </w:p>
    <w:p w14:paraId="2805BD31">
      <w:pPr>
        <w:ind w:firstLine="560" w:firstLineChars="200"/>
        <w:rPr>
          <w:rFonts w:ascii="仿宋" w:hAnsi="仿宋" w:eastAsia="仿宋"/>
          <w:sz w:val="28"/>
          <w:szCs w:val="28"/>
        </w:rPr>
      </w:pPr>
      <w:r>
        <w:rPr>
          <w:rFonts w:hint="eastAsia" w:ascii="仿宋" w:hAnsi="仿宋" w:eastAsia="仿宋"/>
          <w:sz w:val="28"/>
          <w:szCs w:val="28"/>
        </w:rPr>
        <w:t>同意1,080,366股，占出席会议的中小股股东所持股份的99.7599％；反对2,600股，占出席会议的中小股股东所持股份的0.2401％；弃权0股（其中，因未投票默认弃权0股），占出席会议的中小股股东所持股份的0.0000％。</w:t>
      </w:r>
    </w:p>
    <w:p w14:paraId="2F5B0617">
      <w:pPr>
        <w:ind w:firstLine="560" w:firstLineChars="200"/>
        <w:rPr>
          <w:rFonts w:hint="eastAsia" w:ascii="仿宋" w:hAnsi="仿宋" w:eastAsia="仿宋"/>
          <w:sz w:val="28"/>
          <w:szCs w:val="28"/>
        </w:rPr>
      </w:pPr>
      <w:r>
        <w:rPr>
          <w:rFonts w:hint="eastAsia" w:ascii="仿宋" w:hAnsi="仿宋" w:eastAsia="仿宋"/>
          <w:sz w:val="28"/>
          <w:szCs w:val="28"/>
        </w:rPr>
        <w:t>回避表决情况：本议案不涉及回避表决情况。</w:t>
      </w:r>
    </w:p>
    <w:p w14:paraId="58DABEAE">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表决结果：审议通过《关于使用部分闲置自有资金进行现金管理的议案》。</w:t>
      </w:r>
    </w:p>
    <w:p w14:paraId="0FAEAFA4">
      <w:pPr>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 xml:space="preserve">0. </w:t>
      </w:r>
      <w:r>
        <w:rPr>
          <w:rFonts w:hint="eastAsia" w:ascii="仿宋" w:hAnsi="仿宋" w:eastAsia="仿宋"/>
          <w:sz w:val="28"/>
          <w:szCs w:val="28"/>
        </w:rPr>
        <w:t>《关于回购注销部分已授予但尚未解除限售的限制性股票的议案》</w:t>
      </w:r>
    </w:p>
    <w:p w14:paraId="0639DFAC">
      <w:pPr>
        <w:ind w:firstLine="560" w:firstLineChars="200"/>
        <w:rPr>
          <w:rFonts w:ascii="仿宋" w:hAnsi="仿宋" w:eastAsia="仿宋"/>
          <w:bCs/>
          <w:sz w:val="28"/>
          <w:szCs w:val="28"/>
        </w:rPr>
      </w:pPr>
      <w:r>
        <w:rPr>
          <w:rFonts w:hint="eastAsia" w:ascii="仿宋" w:hAnsi="仿宋" w:eastAsia="仿宋"/>
          <w:bCs/>
          <w:sz w:val="28"/>
          <w:szCs w:val="28"/>
        </w:rPr>
        <w:t>总表决情况：同意1,080,366股，占出席会议</w:t>
      </w:r>
      <w:r>
        <w:rPr>
          <w:rFonts w:hint="eastAsia" w:ascii="仿宋" w:hAnsi="仿宋" w:eastAsia="仿宋"/>
          <w:bCs/>
          <w:sz w:val="28"/>
          <w:szCs w:val="28"/>
          <w:lang w:eastAsia="zh-CN"/>
        </w:rPr>
        <w:t>有表决权</w:t>
      </w:r>
      <w:r>
        <w:rPr>
          <w:rFonts w:hint="eastAsia" w:ascii="仿宋" w:hAnsi="仿宋" w:eastAsia="仿宋"/>
          <w:bCs/>
          <w:sz w:val="28"/>
          <w:szCs w:val="28"/>
        </w:rPr>
        <w:t>股东所持股份的99.7599％；反对2,600股，占出席会议</w:t>
      </w:r>
      <w:r>
        <w:rPr>
          <w:rFonts w:hint="eastAsia" w:ascii="仿宋" w:hAnsi="仿宋" w:eastAsia="仿宋"/>
          <w:bCs/>
          <w:sz w:val="28"/>
          <w:szCs w:val="28"/>
          <w:lang w:eastAsia="zh-CN"/>
        </w:rPr>
        <w:t>有表决权</w:t>
      </w:r>
      <w:r>
        <w:rPr>
          <w:rFonts w:hint="eastAsia" w:ascii="仿宋" w:hAnsi="仿宋" w:eastAsia="仿宋"/>
          <w:bCs/>
          <w:sz w:val="28"/>
          <w:szCs w:val="28"/>
        </w:rPr>
        <w:t>股东所持股份的0.2401％；弃权0股，占出席会议</w:t>
      </w:r>
      <w:r>
        <w:rPr>
          <w:rFonts w:hint="eastAsia" w:ascii="仿宋" w:hAnsi="仿宋" w:eastAsia="仿宋"/>
          <w:bCs/>
          <w:sz w:val="28"/>
          <w:szCs w:val="28"/>
          <w:lang w:eastAsia="zh-CN"/>
        </w:rPr>
        <w:t>有表决权</w:t>
      </w:r>
      <w:r>
        <w:rPr>
          <w:rFonts w:hint="eastAsia" w:ascii="仿宋" w:hAnsi="仿宋" w:eastAsia="仿宋"/>
          <w:bCs/>
          <w:sz w:val="28"/>
          <w:szCs w:val="28"/>
        </w:rPr>
        <w:t>股东所持股份的0</w:t>
      </w:r>
      <w:r>
        <w:rPr>
          <w:rFonts w:ascii="仿宋" w:hAnsi="仿宋" w:eastAsia="仿宋"/>
          <w:bCs/>
          <w:sz w:val="28"/>
          <w:szCs w:val="28"/>
        </w:rPr>
        <w:t>.0000</w:t>
      </w:r>
      <w:r>
        <w:rPr>
          <w:rFonts w:hint="eastAsia" w:ascii="仿宋" w:hAnsi="仿宋" w:eastAsia="仿宋"/>
          <w:bCs/>
          <w:sz w:val="28"/>
          <w:szCs w:val="28"/>
        </w:rPr>
        <w:t>％。</w:t>
      </w:r>
    </w:p>
    <w:p w14:paraId="573662D3">
      <w:pPr>
        <w:ind w:firstLine="560" w:firstLineChars="200"/>
        <w:rPr>
          <w:rFonts w:hint="eastAsia" w:ascii="仿宋" w:hAnsi="仿宋" w:eastAsia="仿宋"/>
          <w:bCs/>
          <w:sz w:val="28"/>
          <w:szCs w:val="28"/>
        </w:rPr>
      </w:pPr>
      <w:bookmarkStart w:id="17" w:name="OLE_LINK1"/>
      <w:r>
        <w:rPr>
          <w:rFonts w:hint="eastAsia" w:ascii="仿宋" w:hAnsi="仿宋" w:eastAsia="仿宋"/>
          <w:bCs/>
          <w:sz w:val="28"/>
          <w:szCs w:val="28"/>
        </w:rPr>
        <w:t>中小股东总表决情况：</w:t>
      </w:r>
      <w:bookmarkEnd w:id="17"/>
    </w:p>
    <w:p w14:paraId="2612A467">
      <w:pPr>
        <w:ind w:firstLine="560" w:firstLineChars="200"/>
        <w:rPr>
          <w:rFonts w:ascii="仿宋" w:hAnsi="仿宋" w:eastAsia="仿宋"/>
          <w:bCs/>
          <w:sz w:val="28"/>
          <w:szCs w:val="28"/>
        </w:rPr>
      </w:pPr>
      <w:r>
        <w:rPr>
          <w:rFonts w:hint="eastAsia" w:ascii="仿宋" w:hAnsi="仿宋" w:eastAsia="仿宋"/>
          <w:bCs/>
          <w:sz w:val="28"/>
          <w:szCs w:val="28"/>
        </w:rPr>
        <w:t>同意1,080,366股，占出席会议有表决权的中小股股东所持股份的99.7599％；反对2,600股，占出席会议有表决权的中小股股东所持股份的0.2401％；弃权0股（其中，因未投票默认弃权0股），占出席会议有表决权的中小股股东所持股份的0.0000％。</w:t>
      </w:r>
    </w:p>
    <w:p w14:paraId="6F561D7D">
      <w:pPr>
        <w:ind w:firstLine="560" w:firstLineChars="200"/>
        <w:rPr>
          <w:rFonts w:hint="eastAsia" w:ascii="仿宋" w:hAnsi="仿宋" w:eastAsia="仿宋"/>
          <w:b/>
          <w:sz w:val="28"/>
          <w:szCs w:val="28"/>
        </w:rPr>
      </w:pPr>
      <w:r>
        <w:rPr>
          <w:rFonts w:hint="eastAsia" w:ascii="仿宋" w:hAnsi="仿宋" w:eastAsia="仿宋"/>
          <w:bCs/>
          <w:sz w:val="28"/>
          <w:szCs w:val="28"/>
        </w:rPr>
        <w:t>回避表决情况：关联股东林明玲、马学沛回避表决。</w:t>
      </w:r>
    </w:p>
    <w:p w14:paraId="6EC7279E">
      <w:pPr>
        <w:ind w:firstLine="560" w:firstLineChars="200"/>
        <w:rPr>
          <w:rFonts w:ascii="仿宋" w:hAnsi="仿宋" w:eastAsia="仿宋"/>
          <w:sz w:val="28"/>
          <w:szCs w:val="28"/>
        </w:rPr>
      </w:pPr>
      <w:r>
        <w:rPr>
          <w:rFonts w:hint="eastAsia" w:ascii="仿宋" w:hAnsi="仿宋" w:eastAsia="仿宋"/>
          <w:sz w:val="28"/>
          <w:szCs w:val="28"/>
        </w:rPr>
        <w:t>表决结果：审议通过《关于回购注销部分已授予但尚未解除限售的限制性股票的议案》。</w:t>
      </w:r>
    </w:p>
    <w:p w14:paraId="5785C09D">
      <w:pPr>
        <w:ind w:firstLine="560" w:firstLineChars="200"/>
        <w:rPr>
          <w:rFonts w:ascii="仿宋" w:hAnsi="仿宋" w:eastAsia="仿宋"/>
          <w:sz w:val="28"/>
          <w:szCs w:val="28"/>
        </w:rPr>
      </w:pPr>
      <w:r>
        <w:rPr>
          <w:rFonts w:hint="eastAsia" w:ascii="仿宋" w:hAnsi="仿宋" w:eastAsia="仿宋"/>
          <w:sz w:val="28"/>
          <w:szCs w:val="28"/>
        </w:rPr>
        <w:t>11. 《关于拟减少公司注册资本并修订章程的议案》</w:t>
      </w:r>
    </w:p>
    <w:p w14:paraId="4DFFB33A">
      <w:pPr>
        <w:ind w:firstLine="560" w:firstLineChars="200"/>
        <w:rPr>
          <w:rFonts w:ascii="仿宋" w:hAnsi="仿宋" w:eastAsia="仿宋"/>
          <w:sz w:val="28"/>
          <w:szCs w:val="28"/>
        </w:rPr>
      </w:pPr>
      <w:r>
        <w:rPr>
          <w:rFonts w:hint="eastAsia" w:ascii="仿宋" w:hAnsi="仿宋" w:eastAsia="仿宋"/>
          <w:sz w:val="28"/>
          <w:szCs w:val="28"/>
        </w:rPr>
        <w:t>总表决情况：同意24,583,610股，占出席会议所有股东所持股份的99.9622％；反对3,300股，占出席会议所有股东所持股份的0.0134％；弃权6,000股，占出席会议所有股东所持股份的0</w:t>
      </w:r>
      <w:r>
        <w:rPr>
          <w:rFonts w:ascii="仿宋" w:hAnsi="仿宋" w:eastAsia="仿宋"/>
          <w:sz w:val="28"/>
          <w:szCs w:val="28"/>
        </w:rPr>
        <w:t>.</w:t>
      </w:r>
      <w:r>
        <w:rPr>
          <w:rFonts w:hint="eastAsia" w:ascii="仿宋" w:hAnsi="仿宋" w:eastAsia="仿宋"/>
          <w:sz w:val="28"/>
          <w:szCs w:val="28"/>
        </w:rPr>
        <w:t>0244％。</w:t>
      </w:r>
    </w:p>
    <w:p w14:paraId="532AD04A">
      <w:pPr>
        <w:ind w:firstLine="560" w:firstLineChars="200"/>
        <w:rPr>
          <w:rFonts w:hint="eastAsia" w:ascii="仿宋" w:hAnsi="仿宋" w:eastAsia="仿宋"/>
          <w:sz w:val="28"/>
          <w:szCs w:val="28"/>
        </w:rPr>
      </w:pPr>
      <w:r>
        <w:rPr>
          <w:rFonts w:hint="eastAsia" w:ascii="仿宋" w:hAnsi="仿宋" w:eastAsia="仿宋"/>
          <w:bCs/>
          <w:sz w:val="28"/>
          <w:szCs w:val="28"/>
        </w:rPr>
        <w:t>中小股东总表决情况：</w:t>
      </w:r>
    </w:p>
    <w:p w14:paraId="5E0B09D8">
      <w:pPr>
        <w:ind w:firstLine="560" w:firstLineChars="200"/>
        <w:rPr>
          <w:rFonts w:ascii="仿宋" w:hAnsi="仿宋" w:eastAsia="仿宋"/>
          <w:sz w:val="28"/>
          <w:szCs w:val="28"/>
        </w:rPr>
      </w:pPr>
      <w:r>
        <w:rPr>
          <w:rFonts w:hint="eastAsia" w:ascii="仿宋" w:hAnsi="仿宋" w:eastAsia="仿宋"/>
          <w:sz w:val="28"/>
          <w:szCs w:val="28"/>
        </w:rPr>
        <w:t>同意1,073,666股，占出席会议的中小股股东所持股份的99.1412％；反对3,300股，占出席会议的中小股股东所持股份的0.3047％；弃权6,000股（其中，因未投票默认弃权0股），占出席会议的中小股股东所持股份的0.5540％。</w:t>
      </w:r>
    </w:p>
    <w:p w14:paraId="2BA305EF">
      <w:pPr>
        <w:ind w:firstLine="560" w:firstLineChars="200"/>
        <w:rPr>
          <w:rFonts w:ascii="仿宋" w:hAnsi="仿宋" w:eastAsia="仿宋"/>
          <w:sz w:val="28"/>
          <w:szCs w:val="28"/>
        </w:rPr>
      </w:pPr>
      <w:r>
        <w:rPr>
          <w:rFonts w:hint="eastAsia" w:ascii="仿宋" w:hAnsi="仿宋" w:eastAsia="仿宋"/>
          <w:sz w:val="28"/>
          <w:szCs w:val="28"/>
        </w:rPr>
        <w:t>回避表决情况：本议案不涉及回避表决情况。</w:t>
      </w:r>
    </w:p>
    <w:p w14:paraId="3642BA86">
      <w:pPr>
        <w:ind w:firstLine="560" w:firstLineChars="200"/>
        <w:rPr>
          <w:rFonts w:hint="eastAsia" w:ascii="仿宋" w:hAnsi="仿宋" w:eastAsia="仿宋"/>
          <w:sz w:val="28"/>
          <w:szCs w:val="28"/>
        </w:rPr>
      </w:pPr>
      <w:r>
        <w:rPr>
          <w:rFonts w:hint="eastAsia" w:ascii="仿宋" w:hAnsi="仿宋" w:eastAsia="仿宋"/>
          <w:sz w:val="28"/>
          <w:szCs w:val="28"/>
        </w:rPr>
        <w:t>表决结果：审议通过《关于拟减少公司注册资本并修订章程的议案》。</w:t>
      </w:r>
    </w:p>
    <w:p w14:paraId="3263636E">
      <w:pPr>
        <w:ind w:firstLine="560" w:firstLineChars="200"/>
        <w:rPr>
          <w:rFonts w:ascii="仿宋" w:hAnsi="仿宋" w:eastAsia="仿宋"/>
          <w:sz w:val="28"/>
          <w:szCs w:val="28"/>
        </w:rPr>
      </w:pPr>
      <w:r>
        <w:rPr>
          <w:rFonts w:hint="eastAsia" w:ascii="仿宋" w:hAnsi="仿宋" w:eastAsia="仿宋"/>
          <w:sz w:val="28"/>
          <w:szCs w:val="28"/>
        </w:rPr>
        <w:t>12. 《关于未来三年（2025-2027 年）股东回报规划的议案》</w:t>
      </w:r>
    </w:p>
    <w:p w14:paraId="2655A6B5">
      <w:pPr>
        <w:ind w:firstLine="560" w:firstLineChars="200"/>
        <w:rPr>
          <w:rFonts w:ascii="仿宋" w:hAnsi="仿宋" w:eastAsia="仿宋"/>
          <w:sz w:val="28"/>
          <w:szCs w:val="28"/>
        </w:rPr>
      </w:pPr>
      <w:r>
        <w:rPr>
          <w:rFonts w:hint="eastAsia" w:ascii="仿宋" w:hAnsi="仿宋" w:eastAsia="仿宋"/>
          <w:sz w:val="28"/>
          <w:szCs w:val="28"/>
        </w:rPr>
        <w:t>总表决情况：同意24,589,910股，占出席会议所有股东所持股份的99.9878％；反对3,000股，占出席会议所有股东所持股份的0.0122％；弃权0股，占出席会议所有股东所持股份的0</w:t>
      </w:r>
      <w:r>
        <w:rPr>
          <w:rFonts w:ascii="仿宋" w:hAnsi="仿宋" w:eastAsia="仿宋"/>
          <w:sz w:val="28"/>
          <w:szCs w:val="28"/>
        </w:rPr>
        <w:t>.0000</w:t>
      </w:r>
      <w:r>
        <w:rPr>
          <w:rFonts w:hint="eastAsia" w:ascii="仿宋" w:hAnsi="仿宋" w:eastAsia="仿宋"/>
          <w:sz w:val="28"/>
          <w:szCs w:val="28"/>
        </w:rPr>
        <w:t>％。</w:t>
      </w:r>
    </w:p>
    <w:p w14:paraId="291D2CE0">
      <w:pPr>
        <w:ind w:firstLine="560" w:firstLineChars="200"/>
        <w:rPr>
          <w:rFonts w:hint="eastAsia" w:ascii="仿宋" w:hAnsi="仿宋" w:eastAsia="仿宋"/>
          <w:sz w:val="28"/>
          <w:szCs w:val="28"/>
        </w:rPr>
      </w:pPr>
      <w:r>
        <w:rPr>
          <w:rFonts w:hint="eastAsia" w:ascii="仿宋" w:hAnsi="仿宋" w:eastAsia="仿宋"/>
          <w:bCs/>
          <w:sz w:val="28"/>
          <w:szCs w:val="28"/>
        </w:rPr>
        <w:t>中小股东总表决情况：</w:t>
      </w:r>
    </w:p>
    <w:p w14:paraId="6EC228D8">
      <w:pPr>
        <w:ind w:firstLine="560" w:firstLineChars="200"/>
        <w:rPr>
          <w:rFonts w:ascii="仿宋" w:hAnsi="仿宋" w:eastAsia="仿宋"/>
          <w:sz w:val="28"/>
          <w:szCs w:val="28"/>
        </w:rPr>
      </w:pPr>
      <w:r>
        <w:rPr>
          <w:rFonts w:hint="eastAsia" w:ascii="仿宋" w:hAnsi="仿宋" w:eastAsia="仿宋"/>
          <w:sz w:val="28"/>
          <w:szCs w:val="28"/>
        </w:rPr>
        <w:t>同意1,079,966股，占出席会议的中小股股东所持股份的99.7230％；反对3,000股，占出席会议的中小股股东所持股份的0.2770％；弃权0股（其中，因未投票默认弃权0股），占出席会议的中小股股东所持股份的0.0000％。</w:t>
      </w:r>
    </w:p>
    <w:p w14:paraId="22A03418">
      <w:pPr>
        <w:ind w:firstLine="560" w:firstLineChars="200"/>
        <w:rPr>
          <w:rFonts w:hint="eastAsia" w:ascii="仿宋" w:hAnsi="仿宋" w:eastAsia="仿宋"/>
          <w:bCs/>
          <w:sz w:val="28"/>
          <w:szCs w:val="28"/>
        </w:rPr>
      </w:pPr>
      <w:r>
        <w:rPr>
          <w:rFonts w:hint="eastAsia" w:ascii="仿宋" w:hAnsi="仿宋" w:eastAsia="仿宋"/>
          <w:bCs/>
          <w:sz w:val="28"/>
          <w:szCs w:val="28"/>
        </w:rPr>
        <w:t>回避表决情况：</w:t>
      </w:r>
      <w:bookmarkStart w:id="18" w:name="_Hlk197945576"/>
      <w:r>
        <w:rPr>
          <w:rFonts w:hint="eastAsia" w:ascii="仿宋" w:hAnsi="仿宋" w:eastAsia="仿宋"/>
          <w:bCs/>
          <w:sz w:val="28"/>
          <w:szCs w:val="28"/>
        </w:rPr>
        <w:t>本议案不涉及回避表决情况。</w:t>
      </w:r>
      <w:bookmarkEnd w:id="18"/>
    </w:p>
    <w:p w14:paraId="624EC553">
      <w:pPr>
        <w:ind w:firstLine="560" w:firstLineChars="200"/>
        <w:rPr>
          <w:rFonts w:ascii="仿宋" w:hAnsi="仿宋" w:eastAsia="仿宋"/>
          <w:bCs/>
          <w:sz w:val="28"/>
          <w:szCs w:val="28"/>
        </w:rPr>
      </w:pPr>
      <w:r>
        <w:rPr>
          <w:rFonts w:hint="eastAsia" w:ascii="仿宋" w:hAnsi="仿宋" w:eastAsia="仿宋"/>
          <w:bCs/>
          <w:sz w:val="28"/>
          <w:szCs w:val="28"/>
        </w:rPr>
        <w:t>表决结果：审议通过《关于未来三年（2025-2027年）股东回报规划的议案》。</w:t>
      </w:r>
    </w:p>
    <w:p w14:paraId="1A391752">
      <w:pPr>
        <w:ind w:firstLine="560" w:firstLineChars="200"/>
        <w:rPr>
          <w:rFonts w:ascii="仿宋" w:hAnsi="仿宋" w:eastAsia="仿宋"/>
          <w:sz w:val="28"/>
          <w:szCs w:val="28"/>
        </w:rPr>
      </w:pPr>
      <w:r>
        <w:rPr>
          <w:rFonts w:hint="eastAsia" w:ascii="仿宋" w:hAnsi="仿宋" w:eastAsia="仿宋"/>
          <w:sz w:val="28"/>
          <w:szCs w:val="28"/>
        </w:rPr>
        <w:t>上述议案除提案7、10、11外，均属于普通决议议案。普通议案均已由出席股东会的股东（包括股东代理人）所持表决权的二分之一以上表决通过；提案7、10、11属于特别决议议案，已由出席股东会的股东（包括股东代理人）所持表决权的三分之二以上表决通过。</w:t>
      </w:r>
    </w:p>
    <w:p w14:paraId="73145F7C">
      <w:pPr>
        <w:ind w:firstLine="560" w:firstLineChars="200"/>
        <w:rPr>
          <w:rFonts w:ascii="仿宋" w:hAnsi="仿宋" w:eastAsia="仿宋"/>
          <w:sz w:val="28"/>
          <w:szCs w:val="28"/>
        </w:rPr>
      </w:pPr>
      <w:r>
        <w:rPr>
          <w:rFonts w:hint="eastAsia" w:ascii="仿宋" w:hAnsi="仿宋" w:eastAsia="仿宋"/>
          <w:sz w:val="28"/>
          <w:szCs w:val="28"/>
        </w:rPr>
        <w:t>会议主持人当场公布了上述议案的表决结果，参加本次股东会的股东及股东代理人对表决结果没有提出异议。</w:t>
      </w:r>
    </w:p>
    <w:p w14:paraId="020B5D49">
      <w:pPr>
        <w:ind w:firstLine="560" w:firstLineChars="200"/>
        <w:rPr>
          <w:rFonts w:hint="eastAsia" w:ascii="仿宋" w:hAnsi="仿宋" w:eastAsia="仿宋"/>
          <w:sz w:val="28"/>
          <w:szCs w:val="28"/>
        </w:rPr>
      </w:pPr>
      <w:r>
        <w:rPr>
          <w:rFonts w:hint="eastAsia" w:ascii="仿宋" w:hAnsi="仿宋" w:eastAsia="仿宋"/>
          <w:sz w:val="28"/>
          <w:szCs w:val="28"/>
        </w:rPr>
        <w:t>经核查，本所律师认为，公司本次股东会的表决程序符合法律、法规、规范性文件和公司《章程》的规定，表决结果合法有效。</w:t>
      </w:r>
    </w:p>
    <w:p w14:paraId="1CE03778">
      <w:pPr>
        <w:pStyle w:val="9"/>
        <w:ind w:left="630"/>
        <w:rPr>
          <w:rFonts w:hint="eastAsia" w:ascii="仿宋" w:hAnsi="仿宋" w:eastAsia="仿宋"/>
        </w:rPr>
      </w:pPr>
      <w:bookmarkStart w:id="19" w:name="_Toc198050688"/>
      <w:bookmarkStart w:id="20" w:name="_Toc479529678"/>
      <w:r>
        <w:rPr>
          <w:rFonts w:hint="eastAsia" w:ascii="仿宋" w:hAnsi="仿宋" w:eastAsia="仿宋"/>
        </w:rPr>
        <w:t>五、结论性意见</w:t>
      </w:r>
      <w:bookmarkEnd w:id="19"/>
      <w:bookmarkEnd w:id="20"/>
    </w:p>
    <w:p w14:paraId="28767600">
      <w:pPr>
        <w:ind w:firstLine="560" w:firstLineChars="200"/>
        <w:rPr>
          <w:rFonts w:hint="eastAsia" w:ascii="仿宋" w:hAnsi="仿宋" w:eastAsia="仿宋"/>
          <w:sz w:val="28"/>
          <w:szCs w:val="28"/>
        </w:rPr>
      </w:pPr>
      <w:r>
        <w:rPr>
          <w:rFonts w:hint="eastAsia" w:ascii="仿宋" w:hAnsi="仿宋" w:eastAsia="仿宋"/>
          <w:sz w:val="28"/>
          <w:szCs w:val="28"/>
        </w:rPr>
        <w:t>基于上述事实，本所律师认为，公司本次股东会的召集、召开程序、出席会议人员的资格、表决程序和表决结果均符合中国法律法规和公司《章程》的规定，合法有效，公司本次股东会未发生增加、变更、否决提案的情形，本次股东会通过的决议合法有效。</w:t>
      </w:r>
    </w:p>
    <w:p w14:paraId="5319A513">
      <w:pPr>
        <w:ind w:firstLine="560" w:firstLineChars="200"/>
        <w:rPr>
          <w:rFonts w:ascii="仿宋" w:hAnsi="仿宋" w:eastAsia="仿宋"/>
          <w:sz w:val="28"/>
          <w:szCs w:val="28"/>
        </w:rPr>
      </w:pPr>
      <w:r>
        <w:rPr>
          <w:rFonts w:hint="eastAsia" w:ascii="仿宋" w:hAnsi="仿宋" w:eastAsia="仿宋"/>
          <w:sz w:val="28"/>
          <w:szCs w:val="28"/>
        </w:rPr>
        <w:t>本法律意见书正本一式叁份。</w:t>
      </w:r>
    </w:p>
    <w:p w14:paraId="1A2846DF">
      <w:pPr>
        <w:ind w:firstLine="560" w:firstLineChars="200"/>
        <w:rPr>
          <w:rFonts w:ascii="仿宋" w:hAnsi="仿宋" w:eastAsia="仿宋"/>
          <w:sz w:val="28"/>
          <w:szCs w:val="28"/>
        </w:rPr>
      </w:pPr>
      <w:r>
        <w:rPr>
          <w:rFonts w:hint="eastAsia" w:ascii="仿宋" w:hAnsi="仿宋" w:eastAsia="仿宋"/>
          <w:sz w:val="28"/>
          <w:szCs w:val="28"/>
        </w:rPr>
        <w:t>（以下无正文）</w:t>
      </w:r>
    </w:p>
    <w:p w14:paraId="05BBA92D">
      <w:pPr>
        <w:ind w:firstLine="560" w:firstLineChars="200"/>
        <w:rPr>
          <w:rFonts w:ascii="仿宋" w:hAnsi="仿宋" w:eastAsia="仿宋"/>
          <w:sz w:val="28"/>
          <w:szCs w:val="28"/>
        </w:rPr>
      </w:pPr>
    </w:p>
    <w:p w14:paraId="67457470">
      <w:pPr>
        <w:ind w:firstLine="560" w:firstLineChars="200"/>
        <w:rPr>
          <w:rFonts w:ascii="仿宋" w:hAnsi="仿宋" w:eastAsia="仿宋"/>
          <w:sz w:val="28"/>
          <w:szCs w:val="28"/>
        </w:rPr>
      </w:pPr>
    </w:p>
    <w:p w14:paraId="311B2766">
      <w:pPr>
        <w:ind w:firstLine="560" w:firstLineChars="200"/>
        <w:rPr>
          <w:rFonts w:ascii="仿宋" w:hAnsi="仿宋" w:eastAsia="仿宋"/>
          <w:sz w:val="28"/>
          <w:szCs w:val="28"/>
        </w:rPr>
      </w:pPr>
    </w:p>
    <w:p w14:paraId="376D96D3">
      <w:pPr>
        <w:ind w:firstLine="560" w:firstLineChars="200"/>
        <w:rPr>
          <w:rFonts w:ascii="仿宋" w:hAnsi="仿宋" w:eastAsia="仿宋"/>
          <w:sz w:val="28"/>
          <w:szCs w:val="28"/>
        </w:rPr>
      </w:pPr>
    </w:p>
    <w:p w14:paraId="5A1B6E1A">
      <w:pPr>
        <w:ind w:firstLine="560" w:firstLineChars="200"/>
        <w:rPr>
          <w:rFonts w:ascii="仿宋" w:hAnsi="仿宋" w:eastAsia="仿宋"/>
          <w:sz w:val="28"/>
          <w:szCs w:val="28"/>
        </w:rPr>
      </w:pPr>
    </w:p>
    <w:p w14:paraId="7DEB6ECF">
      <w:pPr>
        <w:ind w:firstLine="560" w:firstLineChars="200"/>
        <w:rPr>
          <w:rFonts w:ascii="仿宋" w:hAnsi="仿宋" w:eastAsia="仿宋"/>
          <w:sz w:val="28"/>
          <w:szCs w:val="28"/>
        </w:rPr>
      </w:pPr>
    </w:p>
    <w:p w14:paraId="32305C09">
      <w:pPr>
        <w:ind w:firstLine="560" w:firstLineChars="200"/>
        <w:rPr>
          <w:rFonts w:ascii="仿宋" w:hAnsi="仿宋" w:eastAsia="仿宋"/>
          <w:sz w:val="28"/>
          <w:szCs w:val="28"/>
        </w:rPr>
      </w:pPr>
    </w:p>
    <w:p w14:paraId="7BEFD4F8">
      <w:pPr>
        <w:ind w:firstLine="560" w:firstLineChars="200"/>
        <w:rPr>
          <w:rFonts w:ascii="仿宋" w:hAnsi="仿宋" w:eastAsia="仿宋"/>
          <w:sz w:val="28"/>
          <w:szCs w:val="28"/>
        </w:rPr>
      </w:pPr>
    </w:p>
    <w:p w14:paraId="6B0DEAD1">
      <w:pPr>
        <w:ind w:firstLine="560" w:firstLineChars="200"/>
        <w:rPr>
          <w:rFonts w:ascii="仿宋" w:hAnsi="仿宋" w:eastAsia="仿宋"/>
          <w:sz w:val="28"/>
          <w:szCs w:val="28"/>
        </w:rPr>
      </w:pPr>
    </w:p>
    <w:p w14:paraId="61106A4A">
      <w:pPr>
        <w:ind w:firstLine="560" w:firstLineChars="200"/>
        <w:rPr>
          <w:rFonts w:ascii="仿宋" w:hAnsi="仿宋" w:eastAsia="仿宋"/>
          <w:sz w:val="28"/>
          <w:szCs w:val="28"/>
        </w:rPr>
      </w:pPr>
    </w:p>
    <w:p w14:paraId="3DE42DE7">
      <w:pPr>
        <w:ind w:firstLine="560" w:firstLineChars="200"/>
        <w:rPr>
          <w:rFonts w:ascii="仿宋" w:hAnsi="仿宋" w:eastAsia="仿宋"/>
          <w:sz w:val="28"/>
          <w:szCs w:val="28"/>
        </w:rPr>
      </w:pPr>
    </w:p>
    <w:p w14:paraId="5A91BAA2">
      <w:pPr>
        <w:ind w:firstLine="560" w:firstLineChars="200"/>
        <w:rPr>
          <w:rFonts w:ascii="仿宋" w:hAnsi="仿宋" w:eastAsia="仿宋"/>
          <w:sz w:val="28"/>
          <w:szCs w:val="28"/>
        </w:rPr>
      </w:pPr>
    </w:p>
    <w:p w14:paraId="49C4F726">
      <w:pPr>
        <w:ind w:firstLine="560" w:firstLineChars="200"/>
        <w:rPr>
          <w:rFonts w:ascii="仿宋" w:hAnsi="仿宋" w:eastAsia="仿宋"/>
          <w:sz w:val="28"/>
          <w:szCs w:val="28"/>
        </w:rPr>
      </w:pPr>
    </w:p>
    <w:p w14:paraId="6C866D14">
      <w:pPr>
        <w:ind w:firstLine="560" w:firstLineChars="200"/>
        <w:rPr>
          <w:rFonts w:ascii="仿宋" w:hAnsi="仿宋" w:eastAsia="仿宋"/>
          <w:sz w:val="28"/>
          <w:szCs w:val="28"/>
        </w:rPr>
      </w:pPr>
    </w:p>
    <w:p w14:paraId="179B27EF">
      <w:pPr>
        <w:ind w:firstLine="560" w:firstLineChars="200"/>
        <w:rPr>
          <w:rFonts w:ascii="仿宋" w:hAnsi="仿宋" w:eastAsia="仿宋"/>
          <w:sz w:val="28"/>
          <w:szCs w:val="28"/>
        </w:rPr>
      </w:pPr>
    </w:p>
    <w:p w14:paraId="5F514416">
      <w:pPr>
        <w:ind w:firstLine="560" w:firstLineChars="200"/>
        <w:rPr>
          <w:rFonts w:ascii="仿宋" w:hAnsi="仿宋" w:eastAsia="仿宋"/>
          <w:sz w:val="28"/>
          <w:szCs w:val="28"/>
        </w:rPr>
      </w:pPr>
    </w:p>
    <w:p w14:paraId="4151684E">
      <w:pPr>
        <w:ind w:firstLine="560" w:firstLineChars="200"/>
        <w:rPr>
          <w:rFonts w:ascii="仿宋" w:hAnsi="仿宋" w:eastAsia="仿宋"/>
          <w:sz w:val="28"/>
          <w:szCs w:val="28"/>
        </w:rPr>
      </w:pPr>
    </w:p>
    <w:p w14:paraId="350AAD9D">
      <w:pPr>
        <w:ind w:firstLine="560" w:firstLineChars="200"/>
        <w:rPr>
          <w:rFonts w:ascii="仿宋" w:hAnsi="仿宋" w:eastAsia="仿宋"/>
          <w:sz w:val="28"/>
          <w:szCs w:val="28"/>
        </w:rPr>
      </w:pPr>
    </w:p>
    <w:p w14:paraId="1DAC14D7">
      <w:pPr>
        <w:ind w:firstLine="560" w:firstLineChars="200"/>
        <w:rPr>
          <w:rFonts w:hint="eastAsia" w:ascii="仿宋" w:hAnsi="仿宋" w:eastAsia="仿宋"/>
          <w:sz w:val="28"/>
          <w:szCs w:val="28"/>
        </w:rPr>
      </w:pPr>
    </w:p>
    <w:p w14:paraId="6D86DD82">
      <w:pPr>
        <w:rPr>
          <w:rFonts w:hint="eastAsia" w:ascii="仿宋" w:hAnsi="仿宋" w:eastAsia="仿宋"/>
          <w:sz w:val="28"/>
          <w:szCs w:val="28"/>
        </w:rPr>
      </w:pPr>
      <w:r>
        <w:rPr>
          <w:rFonts w:hint="eastAsia" w:ascii="仿宋" w:hAnsi="仿宋" w:eastAsia="仿宋"/>
          <w:sz w:val="28"/>
          <w:szCs w:val="28"/>
        </w:rPr>
        <w:t>（此页无正文，为《广东泛尔律师事务所关于</w:t>
      </w:r>
      <w:r>
        <w:rPr>
          <w:rFonts w:hint="eastAsia" w:ascii="仿宋" w:hAnsi="仿宋" w:eastAsia="仿宋"/>
          <w:bCs/>
          <w:sz w:val="28"/>
          <w:szCs w:val="28"/>
        </w:rPr>
        <w:t>广东天亿马信息产业股份有限公司</w:t>
      </w:r>
      <w:r>
        <w:rPr>
          <w:rFonts w:hint="eastAsia" w:ascii="仿宋" w:hAnsi="仿宋" w:eastAsia="仿宋"/>
          <w:sz w:val="28"/>
          <w:szCs w:val="28"/>
        </w:rPr>
        <w:t>2024年</w:t>
      </w:r>
      <w:r>
        <w:rPr>
          <w:rFonts w:hint="eastAsia" w:ascii="仿宋" w:hAnsi="仿宋" w:eastAsia="仿宋"/>
          <w:bCs/>
          <w:sz w:val="28"/>
          <w:szCs w:val="28"/>
        </w:rPr>
        <w:t>年度股东会</w:t>
      </w:r>
      <w:r>
        <w:rPr>
          <w:rFonts w:hint="eastAsia" w:ascii="仿宋" w:hAnsi="仿宋" w:eastAsia="仿宋"/>
          <w:sz w:val="28"/>
          <w:szCs w:val="28"/>
        </w:rPr>
        <w:t>法律意见书》签章页）</w:t>
      </w:r>
    </w:p>
    <w:p w14:paraId="34F7C91F">
      <w:pPr>
        <w:ind w:firstLine="560" w:firstLineChars="200"/>
        <w:rPr>
          <w:rFonts w:hint="eastAsia" w:ascii="仿宋" w:hAnsi="仿宋" w:eastAsia="仿宋"/>
          <w:sz w:val="28"/>
          <w:szCs w:val="28"/>
        </w:rPr>
      </w:pPr>
    </w:p>
    <w:p w14:paraId="6DDE442E">
      <w:pPr>
        <w:ind w:firstLine="560" w:firstLineChars="200"/>
        <w:rPr>
          <w:rFonts w:hint="eastAsia" w:ascii="仿宋" w:hAnsi="仿宋" w:eastAsia="仿宋"/>
          <w:sz w:val="28"/>
          <w:szCs w:val="28"/>
        </w:rPr>
      </w:pPr>
      <w:r>
        <w:rPr>
          <w:rFonts w:hint="eastAsia" w:ascii="仿宋" w:hAnsi="仿宋" w:eastAsia="仿宋"/>
          <w:sz w:val="28"/>
          <w:szCs w:val="28"/>
        </w:rPr>
        <w:t>广东泛尔律师事务所</w:t>
      </w:r>
    </w:p>
    <w:p w14:paraId="11D0BC44">
      <w:pPr>
        <w:ind w:firstLine="560" w:firstLineChars="200"/>
        <w:rPr>
          <w:rFonts w:hint="eastAsia" w:ascii="仿宋" w:hAnsi="仿宋" w:eastAsia="仿宋"/>
          <w:sz w:val="28"/>
          <w:szCs w:val="28"/>
        </w:rPr>
      </w:pPr>
    </w:p>
    <w:p w14:paraId="21F5B305">
      <w:pPr>
        <w:ind w:firstLine="560" w:firstLineChars="200"/>
        <w:rPr>
          <w:rFonts w:hint="eastAsia" w:ascii="仿宋" w:hAnsi="仿宋" w:eastAsia="仿宋"/>
          <w:sz w:val="28"/>
          <w:szCs w:val="28"/>
        </w:rPr>
      </w:pPr>
      <w:r>
        <w:rPr>
          <w:rFonts w:hint="eastAsia" w:ascii="仿宋" w:hAnsi="仿宋" w:eastAsia="仿宋"/>
          <w:sz w:val="28"/>
          <w:szCs w:val="28"/>
        </w:rPr>
        <w:t>负责人：</w:t>
      </w:r>
      <w:r>
        <w:rPr>
          <w:rFonts w:hint="eastAsia" w:ascii="仿宋" w:hAnsi="仿宋" w:eastAsia="仿宋"/>
          <w:sz w:val="28"/>
          <w:szCs w:val="28"/>
          <w:u w:val="single"/>
        </w:rPr>
        <w:t xml:space="preserve">          </w:t>
      </w:r>
    </w:p>
    <w:p w14:paraId="428726B2">
      <w:pPr>
        <w:ind w:firstLine="560" w:firstLineChars="200"/>
        <w:rPr>
          <w:rFonts w:hint="eastAsia" w:ascii="仿宋" w:hAnsi="仿宋" w:eastAsia="仿宋"/>
          <w:sz w:val="28"/>
          <w:szCs w:val="28"/>
        </w:rPr>
      </w:pPr>
      <w:r>
        <w:rPr>
          <w:rFonts w:hint="eastAsia" w:ascii="仿宋" w:hAnsi="仿宋" w:eastAsia="仿宋"/>
          <w:sz w:val="28"/>
          <w:szCs w:val="28"/>
        </w:rPr>
        <w:t xml:space="preserve">          郭锋</w:t>
      </w:r>
    </w:p>
    <w:p w14:paraId="699CE748">
      <w:pPr>
        <w:ind w:firstLine="562" w:firstLineChars="200"/>
        <w:rPr>
          <w:rFonts w:hint="eastAsia" w:ascii="仿宋" w:hAnsi="仿宋" w:eastAsia="仿宋"/>
          <w:sz w:val="28"/>
          <w:szCs w:val="28"/>
        </w:rPr>
      </w:pPr>
      <w:r>
        <w:rPr>
          <w:rFonts w:hint="eastAsia" w:ascii="仿宋" w:hAnsi="仿宋" w:eastAsia="仿宋"/>
          <w:b/>
          <w:sz w:val="28"/>
          <w:szCs w:val="28"/>
        </w:rPr>
        <w:t xml:space="preserve">                              </w:t>
      </w:r>
      <w:r>
        <w:rPr>
          <w:rFonts w:hint="eastAsia" w:ascii="仿宋" w:hAnsi="仿宋" w:eastAsia="仿宋"/>
          <w:sz w:val="28"/>
          <w:szCs w:val="28"/>
        </w:rPr>
        <w:t>经办律师：</w:t>
      </w:r>
      <w:r>
        <w:rPr>
          <w:rFonts w:hint="eastAsia" w:ascii="仿宋" w:hAnsi="仿宋" w:eastAsia="仿宋"/>
          <w:sz w:val="28"/>
          <w:szCs w:val="28"/>
          <w:u w:val="single"/>
        </w:rPr>
        <w:t xml:space="preserve">          </w:t>
      </w:r>
    </w:p>
    <w:p w14:paraId="58EE3872">
      <w:pPr>
        <w:ind w:firstLine="560" w:firstLineChars="200"/>
        <w:rPr>
          <w:rFonts w:hint="eastAsia" w:ascii="仿宋" w:hAnsi="仿宋" w:eastAsia="仿宋"/>
          <w:sz w:val="28"/>
          <w:szCs w:val="28"/>
        </w:rPr>
      </w:pPr>
      <w:r>
        <w:rPr>
          <w:rFonts w:hint="eastAsia" w:ascii="仿宋" w:hAnsi="仿宋" w:eastAsia="仿宋"/>
          <w:sz w:val="28"/>
          <w:szCs w:val="28"/>
        </w:rPr>
        <w:t xml:space="preserve">                                          郭锋</w:t>
      </w:r>
    </w:p>
    <w:p w14:paraId="1F274F4C">
      <w:pPr>
        <w:ind w:firstLine="560" w:firstLineChars="200"/>
        <w:rPr>
          <w:rFonts w:hint="eastAsia" w:ascii="仿宋" w:hAnsi="仿宋" w:eastAsia="仿宋"/>
          <w:sz w:val="28"/>
          <w:szCs w:val="28"/>
        </w:rPr>
      </w:pPr>
      <w:r>
        <w:rPr>
          <w:rFonts w:hint="eastAsia" w:ascii="仿宋" w:hAnsi="仿宋" w:eastAsia="仿宋"/>
          <w:sz w:val="28"/>
          <w:szCs w:val="28"/>
        </w:rPr>
        <w:t xml:space="preserve">                                        </w:t>
      </w:r>
    </w:p>
    <w:p w14:paraId="07021E8F">
      <w:pPr>
        <w:ind w:firstLine="560" w:firstLineChars="200"/>
        <w:rPr>
          <w:rFonts w:hint="eastAsia" w:ascii="仿宋" w:hAnsi="仿宋" w:eastAsia="仿宋"/>
          <w:sz w:val="28"/>
          <w:szCs w:val="28"/>
        </w:rPr>
      </w:pPr>
      <w:r>
        <w:rPr>
          <w:rFonts w:hint="eastAsia" w:ascii="仿宋" w:hAnsi="仿宋" w:eastAsia="仿宋"/>
          <w:sz w:val="28"/>
          <w:szCs w:val="28"/>
        </w:rPr>
        <w:t xml:space="preserve">                                        </w:t>
      </w:r>
      <w:r>
        <w:rPr>
          <w:rFonts w:hint="eastAsia" w:ascii="仿宋" w:hAnsi="仿宋" w:eastAsia="仿宋"/>
          <w:sz w:val="28"/>
          <w:szCs w:val="28"/>
          <w:u w:val="single"/>
        </w:rPr>
        <w:t xml:space="preserve">          </w:t>
      </w:r>
    </w:p>
    <w:p w14:paraId="21CBC2CE">
      <w:pPr>
        <w:spacing w:after="156" w:afterLines="50"/>
        <w:ind w:left="566"/>
        <w:rPr>
          <w:rFonts w:hint="eastAsia" w:ascii="仿宋" w:hAnsi="仿宋" w:eastAsia="仿宋"/>
          <w:color w:val="000000"/>
          <w:spacing w:val="2"/>
          <w:kern w:val="0"/>
          <w:sz w:val="28"/>
          <w:szCs w:val="28"/>
        </w:rPr>
      </w:pPr>
      <w:r>
        <w:rPr>
          <w:rFonts w:ascii="仿宋" w:hAnsi="仿宋" w:eastAsia="仿宋"/>
          <w:color w:val="000000"/>
          <w:spacing w:val="2"/>
          <w:kern w:val="0"/>
          <w:szCs w:val="21"/>
        </w:rPr>
        <w:t xml:space="preserve">                                                  </w:t>
      </w:r>
      <w:r>
        <w:rPr>
          <w:rFonts w:hint="eastAsia" w:ascii="仿宋" w:hAnsi="仿宋" w:eastAsia="仿宋"/>
          <w:color w:val="000000"/>
          <w:spacing w:val="2"/>
          <w:kern w:val="0"/>
          <w:szCs w:val="21"/>
        </w:rPr>
        <w:t xml:space="preserve">    </w:t>
      </w:r>
      <w:r>
        <w:rPr>
          <w:rFonts w:hint="eastAsia" w:ascii="仿宋" w:hAnsi="仿宋" w:eastAsia="仿宋"/>
          <w:color w:val="000000"/>
          <w:spacing w:val="2"/>
          <w:kern w:val="0"/>
          <w:sz w:val="28"/>
          <w:szCs w:val="28"/>
        </w:rPr>
        <w:t>胡婕涵</w:t>
      </w:r>
    </w:p>
    <w:p w14:paraId="56A08074">
      <w:pPr>
        <w:spacing w:after="156" w:afterLines="50"/>
        <w:ind w:left="566" w:firstLine="5396" w:firstLineChars="1900"/>
        <w:rPr>
          <w:rFonts w:hint="eastAsia" w:ascii="仿宋" w:hAnsi="仿宋" w:eastAsia="仿宋"/>
          <w:color w:val="000000"/>
          <w:spacing w:val="2"/>
          <w:kern w:val="0"/>
          <w:sz w:val="28"/>
          <w:szCs w:val="28"/>
        </w:rPr>
      </w:pPr>
    </w:p>
    <w:p w14:paraId="04F809FA">
      <w:pPr>
        <w:spacing w:after="156" w:afterLines="50"/>
        <w:ind w:left="566" w:firstLine="5396" w:firstLineChars="1900"/>
        <w:rPr>
          <w:rFonts w:ascii="仿宋" w:hAnsi="仿宋" w:eastAsia="仿宋"/>
          <w:color w:val="000000"/>
          <w:spacing w:val="2"/>
          <w:kern w:val="0"/>
          <w:sz w:val="28"/>
          <w:szCs w:val="28"/>
        </w:rPr>
      </w:pPr>
      <w:r>
        <w:rPr>
          <w:rFonts w:hint="eastAsia" w:ascii="仿宋" w:hAnsi="仿宋" w:eastAsia="仿宋"/>
          <w:color w:val="000000"/>
          <w:spacing w:val="2"/>
          <w:kern w:val="0"/>
          <w:sz w:val="28"/>
          <w:szCs w:val="28"/>
        </w:rPr>
        <w:t>2025年</w:t>
      </w:r>
      <w:r>
        <w:rPr>
          <w:rFonts w:ascii="仿宋" w:hAnsi="仿宋" w:eastAsia="仿宋"/>
          <w:color w:val="000000"/>
          <w:spacing w:val="2"/>
          <w:kern w:val="0"/>
          <w:sz w:val="28"/>
          <w:szCs w:val="28"/>
        </w:rPr>
        <w:t>5</w:t>
      </w:r>
      <w:r>
        <w:rPr>
          <w:rFonts w:hint="eastAsia" w:ascii="仿宋" w:hAnsi="仿宋" w:eastAsia="仿宋"/>
          <w:color w:val="000000"/>
          <w:spacing w:val="2"/>
          <w:kern w:val="0"/>
          <w:sz w:val="28"/>
          <w:szCs w:val="28"/>
        </w:rPr>
        <w:t>月13日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59689">
    <w:pPr>
      <w:pStyle w:val="6"/>
      <w:jc w:val="center"/>
      <w:rPr>
        <w:rFonts w:hint="eastAsia"/>
      </w:rPr>
    </w:pPr>
  </w:p>
  <w:p w14:paraId="324A0912">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D593A">
    <w:pPr>
      <w:pStyle w:val="6"/>
      <w:jc w:val="center"/>
    </w:pPr>
  </w:p>
  <w:p w14:paraId="0FC639CF">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C73"/>
    <w:rsid w:val="0000003F"/>
    <w:rsid w:val="000002E7"/>
    <w:rsid w:val="00000492"/>
    <w:rsid w:val="00001058"/>
    <w:rsid w:val="00001F5D"/>
    <w:rsid w:val="0000239D"/>
    <w:rsid w:val="0000410B"/>
    <w:rsid w:val="00006324"/>
    <w:rsid w:val="00006FC7"/>
    <w:rsid w:val="00013CAC"/>
    <w:rsid w:val="000142B1"/>
    <w:rsid w:val="000146F5"/>
    <w:rsid w:val="00015849"/>
    <w:rsid w:val="00015987"/>
    <w:rsid w:val="00017659"/>
    <w:rsid w:val="000179F1"/>
    <w:rsid w:val="00021C73"/>
    <w:rsid w:val="00024F81"/>
    <w:rsid w:val="0002513D"/>
    <w:rsid w:val="0002586A"/>
    <w:rsid w:val="000262AF"/>
    <w:rsid w:val="00030A86"/>
    <w:rsid w:val="000317A0"/>
    <w:rsid w:val="00031830"/>
    <w:rsid w:val="000334EE"/>
    <w:rsid w:val="00034FF1"/>
    <w:rsid w:val="00035A80"/>
    <w:rsid w:val="00035F2C"/>
    <w:rsid w:val="0003679B"/>
    <w:rsid w:val="00037241"/>
    <w:rsid w:val="00040493"/>
    <w:rsid w:val="00040E72"/>
    <w:rsid w:val="00041572"/>
    <w:rsid w:val="00041958"/>
    <w:rsid w:val="00042125"/>
    <w:rsid w:val="0004382B"/>
    <w:rsid w:val="00047B71"/>
    <w:rsid w:val="00056B79"/>
    <w:rsid w:val="0005717C"/>
    <w:rsid w:val="000579AE"/>
    <w:rsid w:val="00060067"/>
    <w:rsid w:val="00062F0B"/>
    <w:rsid w:val="00063385"/>
    <w:rsid w:val="00063671"/>
    <w:rsid w:val="000639C9"/>
    <w:rsid w:val="00063D99"/>
    <w:rsid w:val="00064E79"/>
    <w:rsid w:val="000651D8"/>
    <w:rsid w:val="00070875"/>
    <w:rsid w:val="0007154A"/>
    <w:rsid w:val="00071624"/>
    <w:rsid w:val="00075558"/>
    <w:rsid w:val="00075F01"/>
    <w:rsid w:val="00075F17"/>
    <w:rsid w:val="00076EFC"/>
    <w:rsid w:val="0007736C"/>
    <w:rsid w:val="00077A8A"/>
    <w:rsid w:val="000807A8"/>
    <w:rsid w:val="000809B7"/>
    <w:rsid w:val="00081305"/>
    <w:rsid w:val="00082229"/>
    <w:rsid w:val="000833FC"/>
    <w:rsid w:val="00085416"/>
    <w:rsid w:val="00085A3F"/>
    <w:rsid w:val="00085D2A"/>
    <w:rsid w:val="00086DBB"/>
    <w:rsid w:val="00090779"/>
    <w:rsid w:val="00090AEC"/>
    <w:rsid w:val="000912E0"/>
    <w:rsid w:val="00091658"/>
    <w:rsid w:val="00091B00"/>
    <w:rsid w:val="0009663E"/>
    <w:rsid w:val="00096DAD"/>
    <w:rsid w:val="000A07E5"/>
    <w:rsid w:val="000A261C"/>
    <w:rsid w:val="000A4469"/>
    <w:rsid w:val="000A55B7"/>
    <w:rsid w:val="000A5C86"/>
    <w:rsid w:val="000A792C"/>
    <w:rsid w:val="000B0735"/>
    <w:rsid w:val="000B0C37"/>
    <w:rsid w:val="000B2C90"/>
    <w:rsid w:val="000B4494"/>
    <w:rsid w:val="000B6BDE"/>
    <w:rsid w:val="000B6F74"/>
    <w:rsid w:val="000B7258"/>
    <w:rsid w:val="000B7D17"/>
    <w:rsid w:val="000B7F5D"/>
    <w:rsid w:val="000C0151"/>
    <w:rsid w:val="000C0546"/>
    <w:rsid w:val="000C19F7"/>
    <w:rsid w:val="000C218C"/>
    <w:rsid w:val="000C328E"/>
    <w:rsid w:val="000C434E"/>
    <w:rsid w:val="000C4476"/>
    <w:rsid w:val="000C5607"/>
    <w:rsid w:val="000C57A8"/>
    <w:rsid w:val="000C68BE"/>
    <w:rsid w:val="000C7427"/>
    <w:rsid w:val="000C7E12"/>
    <w:rsid w:val="000D15A1"/>
    <w:rsid w:val="000D2038"/>
    <w:rsid w:val="000D2438"/>
    <w:rsid w:val="000D53BB"/>
    <w:rsid w:val="000E09D2"/>
    <w:rsid w:val="000E7DB2"/>
    <w:rsid w:val="000F096C"/>
    <w:rsid w:val="000F3E8C"/>
    <w:rsid w:val="000F4487"/>
    <w:rsid w:val="000F50DC"/>
    <w:rsid w:val="000F6658"/>
    <w:rsid w:val="000F7FC1"/>
    <w:rsid w:val="0010078C"/>
    <w:rsid w:val="00100D24"/>
    <w:rsid w:val="00101DD7"/>
    <w:rsid w:val="0010611E"/>
    <w:rsid w:val="0010658F"/>
    <w:rsid w:val="001076A5"/>
    <w:rsid w:val="001078BA"/>
    <w:rsid w:val="00110E0A"/>
    <w:rsid w:val="0011227E"/>
    <w:rsid w:val="00113B1E"/>
    <w:rsid w:val="001142F3"/>
    <w:rsid w:val="0011432D"/>
    <w:rsid w:val="00114B4C"/>
    <w:rsid w:val="00115498"/>
    <w:rsid w:val="00117EE1"/>
    <w:rsid w:val="00120647"/>
    <w:rsid w:val="00120906"/>
    <w:rsid w:val="00121E2A"/>
    <w:rsid w:val="00122122"/>
    <w:rsid w:val="001238ED"/>
    <w:rsid w:val="00123B89"/>
    <w:rsid w:val="001265D7"/>
    <w:rsid w:val="00126D35"/>
    <w:rsid w:val="00126DD9"/>
    <w:rsid w:val="00131FEF"/>
    <w:rsid w:val="001329D8"/>
    <w:rsid w:val="00133320"/>
    <w:rsid w:val="00133CB6"/>
    <w:rsid w:val="00134893"/>
    <w:rsid w:val="001349FC"/>
    <w:rsid w:val="00134C64"/>
    <w:rsid w:val="00135AC2"/>
    <w:rsid w:val="001363C0"/>
    <w:rsid w:val="001364CD"/>
    <w:rsid w:val="00136D4E"/>
    <w:rsid w:val="0013737B"/>
    <w:rsid w:val="0014141E"/>
    <w:rsid w:val="00141C1F"/>
    <w:rsid w:val="001438FE"/>
    <w:rsid w:val="0014420C"/>
    <w:rsid w:val="00144D3F"/>
    <w:rsid w:val="001451AE"/>
    <w:rsid w:val="00146513"/>
    <w:rsid w:val="00146612"/>
    <w:rsid w:val="00150283"/>
    <w:rsid w:val="001507FE"/>
    <w:rsid w:val="00150986"/>
    <w:rsid w:val="00150AFF"/>
    <w:rsid w:val="00152662"/>
    <w:rsid w:val="00154945"/>
    <w:rsid w:val="00154C1A"/>
    <w:rsid w:val="00160B61"/>
    <w:rsid w:val="00160F4E"/>
    <w:rsid w:val="00161950"/>
    <w:rsid w:val="001628A8"/>
    <w:rsid w:val="00166537"/>
    <w:rsid w:val="00166F0A"/>
    <w:rsid w:val="001702E9"/>
    <w:rsid w:val="001709F6"/>
    <w:rsid w:val="00171624"/>
    <w:rsid w:val="0017221C"/>
    <w:rsid w:val="0017449A"/>
    <w:rsid w:val="00174543"/>
    <w:rsid w:val="00176982"/>
    <w:rsid w:val="001772E2"/>
    <w:rsid w:val="0017739A"/>
    <w:rsid w:val="00177900"/>
    <w:rsid w:val="00177BA9"/>
    <w:rsid w:val="00177E0C"/>
    <w:rsid w:val="00180991"/>
    <w:rsid w:val="001810A9"/>
    <w:rsid w:val="0018112B"/>
    <w:rsid w:val="00181A94"/>
    <w:rsid w:val="001827BB"/>
    <w:rsid w:val="00182866"/>
    <w:rsid w:val="0018373D"/>
    <w:rsid w:val="00183A50"/>
    <w:rsid w:val="00183AE4"/>
    <w:rsid w:val="001866A4"/>
    <w:rsid w:val="001867E4"/>
    <w:rsid w:val="00190515"/>
    <w:rsid w:val="00190BC0"/>
    <w:rsid w:val="001922D5"/>
    <w:rsid w:val="001925A3"/>
    <w:rsid w:val="0019377D"/>
    <w:rsid w:val="001940F6"/>
    <w:rsid w:val="00194B67"/>
    <w:rsid w:val="00195077"/>
    <w:rsid w:val="00195A75"/>
    <w:rsid w:val="00197727"/>
    <w:rsid w:val="001A0183"/>
    <w:rsid w:val="001A04BD"/>
    <w:rsid w:val="001A151C"/>
    <w:rsid w:val="001A2007"/>
    <w:rsid w:val="001A2B80"/>
    <w:rsid w:val="001A3635"/>
    <w:rsid w:val="001A3D00"/>
    <w:rsid w:val="001A56C0"/>
    <w:rsid w:val="001A5EFB"/>
    <w:rsid w:val="001A625B"/>
    <w:rsid w:val="001A6803"/>
    <w:rsid w:val="001A69BE"/>
    <w:rsid w:val="001B1EC0"/>
    <w:rsid w:val="001B25A3"/>
    <w:rsid w:val="001B4AFD"/>
    <w:rsid w:val="001B4B6F"/>
    <w:rsid w:val="001B4C86"/>
    <w:rsid w:val="001B5902"/>
    <w:rsid w:val="001B5B95"/>
    <w:rsid w:val="001B65DD"/>
    <w:rsid w:val="001B6ABB"/>
    <w:rsid w:val="001B6CC4"/>
    <w:rsid w:val="001B792A"/>
    <w:rsid w:val="001C03B6"/>
    <w:rsid w:val="001C0AC2"/>
    <w:rsid w:val="001C231D"/>
    <w:rsid w:val="001C3B3E"/>
    <w:rsid w:val="001C4724"/>
    <w:rsid w:val="001C4BE7"/>
    <w:rsid w:val="001C4DB7"/>
    <w:rsid w:val="001C4E29"/>
    <w:rsid w:val="001C5AF2"/>
    <w:rsid w:val="001C5C6F"/>
    <w:rsid w:val="001D1687"/>
    <w:rsid w:val="001D18B1"/>
    <w:rsid w:val="001D1DB4"/>
    <w:rsid w:val="001D4F29"/>
    <w:rsid w:val="001D5E07"/>
    <w:rsid w:val="001D6ADA"/>
    <w:rsid w:val="001D77C7"/>
    <w:rsid w:val="001D7806"/>
    <w:rsid w:val="001E00CB"/>
    <w:rsid w:val="001E0BE6"/>
    <w:rsid w:val="001E1535"/>
    <w:rsid w:val="001E20ED"/>
    <w:rsid w:val="001E261A"/>
    <w:rsid w:val="001E2E80"/>
    <w:rsid w:val="001E4724"/>
    <w:rsid w:val="001E79DE"/>
    <w:rsid w:val="001E7ABB"/>
    <w:rsid w:val="001E7FDA"/>
    <w:rsid w:val="001F0268"/>
    <w:rsid w:val="001F080D"/>
    <w:rsid w:val="001F16DF"/>
    <w:rsid w:val="001F2888"/>
    <w:rsid w:val="001F496C"/>
    <w:rsid w:val="001F4BD0"/>
    <w:rsid w:val="001F619C"/>
    <w:rsid w:val="001F6D6E"/>
    <w:rsid w:val="0020016D"/>
    <w:rsid w:val="00200DE6"/>
    <w:rsid w:val="002013A1"/>
    <w:rsid w:val="002018CE"/>
    <w:rsid w:val="00202FA5"/>
    <w:rsid w:val="00203197"/>
    <w:rsid w:val="00204110"/>
    <w:rsid w:val="002052B6"/>
    <w:rsid w:val="002074F5"/>
    <w:rsid w:val="00207ADE"/>
    <w:rsid w:val="00210136"/>
    <w:rsid w:val="00210672"/>
    <w:rsid w:val="00211159"/>
    <w:rsid w:val="00211621"/>
    <w:rsid w:val="00211FB1"/>
    <w:rsid w:val="00214089"/>
    <w:rsid w:val="002142C1"/>
    <w:rsid w:val="002164D7"/>
    <w:rsid w:val="00216EA8"/>
    <w:rsid w:val="00220856"/>
    <w:rsid w:val="00222346"/>
    <w:rsid w:val="002242C3"/>
    <w:rsid w:val="002242E1"/>
    <w:rsid w:val="002279CE"/>
    <w:rsid w:val="00227BFB"/>
    <w:rsid w:val="00234739"/>
    <w:rsid w:val="00235586"/>
    <w:rsid w:val="0023749D"/>
    <w:rsid w:val="00241583"/>
    <w:rsid w:val="00241EE3"/>
    <w:rsid w:val="00244366"/>
    <w:rsid w:val="00245B39"/>
    <w:rsid w:val="00246C43"/>
    <w:rsid w:val="00247684"/>
    <w:rsid w:val="00247BBE"/>
    <w:rsid w:val="00247DE1"/>
    <w:rsid w:val="00250032"/>
    <w:rsid w:val="00251A4C"/>
    <w:rsid w:val="00252614"/>
    <w:rsid w:val="00252C69"/>
    <w:rsid w:val="00253165"/>
    <w:rsid w:val="00253E4C"/>
    <w:rsid w:val="0025747D"/>
    <w:rsid w:val="00262AE4"/>
    <w:rsid w:val="00262ED1"/>
    <w:rsid w:val="002631C5"/>
    <w:rsid w:val="002640D6"/>
    <w:rsid w:val="0026518F"/>
    <w:rsid w:val="002662AC"/>
    <w:rsid w:val="00266340"/>
    <w:rsid w:val="00272FDC"/>
    <w:rsid w:val="00273697"/>
    <w:rsid w:val="002748DC"/>
    <w:rsid w:val="002822AA"/>
    <w:rsid w:val="002837C4"/>
    <w:rsid w:val="00284996"/>
    <w:rsid w:val="00285D99"/>
    <w:rsid w:val="002936D3"/>
    <w:rsid w:val="002948D9"/>
    <w:rsid w:val="00295E27"/>
    <w:rsid w:val="00296957"/>
    <w:rsid w:val="002971D8"/>
    <w:rsid w:val="002A18D3"/>
    <w:rsid w:val="002A270E"/>
    <w:rsid w:val="002A4289"/>
    <w:rsid w:val="002A5F11"/>
    <w:rsid w:val="002A61B4"/>
    <w:rsid w:val="002A6CC3"/>
    <w:rsid w:val="002B0DC9"/>
    <w:rsid w:val="002B124D"/>
    <w:rsid w:val="002B2C3D"/>
    <w:rsid w:val="002B2CE3"/>
    <w:rsid w:val="002B2E4C"/>
    <w:rsid w:val="002B3749"/>
    <w:rsid w:val="002B4B59"/>
    <w:rsid w:val="002B72A3"/>
    <w:rsid w:val="002B74A4"/>
    <w:rsid w:val="002B79C5"/>
    <w:rsid w:val="002B7BB6"/>
    <w:rsid w:val="002C1BCF"/>
    <w:rsid w:val="002C60E7"/>
    <w:rsid w:val="002C729F"/>
    <w:rsid w:val="002D0972"/>
    <w:rsid w:val="002D13D9"/>
    <w:rsid w:val="002D2420"/>
    <w:rsid w:val="002D2A16"/>
    <w:rsid w:val="002D4C2C"/>
    <w:rsid w:val="002D4F24"/>
    <w:rsid w:val="002D5184"/>
    <w:rsid w:val="002D601E"/>
    <w:rsid w:val="002D7CE5"/>
    <w:rsid w:val="002E0083"/>
    <w:rsid w:val="002E078B"/>
    <w:rsid w:val="002E0DE4"/>
    <w:rsid w:val="002E0E56"/>
    <w:rsid w:val="002E1203"/>
    <w:rsid w:val="002E15B5"/>
    <w:rsid w:val="002E296D"/>
    <w:rsid w:val="002E2EF3"/>
    <w:rsid w:val="002E6793"/>
    <w:rsid w:val="002F4BCE"/>
    <w:rsid w:val="002F5F6C"/>
    <w:rsid w:val="003000F9"/>
    <w:rsid w:val="00300F2C"/>
    <w:rsid w:val="003055F0"/>
    <w:rsid w:val="00305BE9"/>
    <w:rsid w:val="00305DED"/>
    <w:rsid w:val="00305F41"/>
    <w:rsid w:val="00307CE5"/>
    <w:rsid w:val="00310B79"/>
    <w:rsid w:val="00310CDC"/>
    <w:rsid w:val="00311B2D"/>
    <w:rsid w:val="00312AD5"/>
    <w:rsid w:val="0031368E"/>
    <w:rsid w:val="003213B4"/>
    <w:rsid w:val="00321C67"/>
    <w:rsid w:val="0032268B"/>
    <w:rsid w:val="00323606"/>
    <w:rsid w:val="00324FA7"/>
    <w:rsid w:val="00327C99"/>
    <w:rsid w:val="00327CE0"/>
    <w:rsid w:val="00330180"/>
    <w:rsid w:val="003313FB"/>
    <w:rsid w:val="003327CF"/>
    <w:rsid w:val="00332B31"/>
    <w:rsid w:val="00333C6B"/>
    <w:rsid w:val="00334BB2"/>
    <w:rsid w:val="00334F03"/>
    <w:rsid w:val="003357CE"/>
    <w:rsid w:val="003371F4"/>
    <w:rsid w:val="003376B0"/>
    <w:rsid w:val="00337B4E"/>
    <w:rsid w:val="00340082"/>
    <w:rsid w:val="00342066"/>
    <w:rsid w:val="003425F9"/>
    <w:rsid w:val="00342A87"/>
    <w:rsid w:val="00342BDC"/>
    <w:rsid w:val="00343EDE"/>
    <w:rsid w:val="00344617"/>
    <w:rsid w:val="00344830"/>
    <w:rsid w:val="00344AC6"/>
    <w:rsid w:val="003461BC"/>
    <w:rsid w:val="00346227"/>
    <w:rsid w:val="0035002F"/>
    <w:rsid w:val="0035004D"/>
    <w:rsid w:val="00350A66"/>
    <w:rsid w:val="00352CC6"/>
    <w:rsid w:val="003537EE"/>
    <w:rsid w:val="0035583F"/>
    <w:rsid w:val="003609A2"/>
    <w:rsid w:val="00360DEF"/>
    <w:rsid w:val="0036282E"/>
    <w:rsid w:val="0036303E"/>
    <w:rsid w:val="00363113"/>
    <w:rsid w:val="00364A84"/>
    <w:rsid w:val="00364E82"/>
    <w:rsid w:val="00367C86"/>
    <w:rsid w:val="00370010"/>
    <w:rsid w:val="00370541"/>
    <w:rsid w:val="003721C0"/>
    <w:rsid w:val="003746AB"/>
    <w:rsid w:val="00374A1A"/>
    <w:rsid w:val="00374F8E"/>
    <w:rsid w:val="00374FAE"/>
    <w:rsid w:val="0037579C"/>
    <w:rsid w:val="003805E0"/>
    <w:rsid w:val="00381A97"/>
    <w:rsid w:val="00381EC3"/>
    <w:rsid w:val="00383B18"/>
    <w:rsid w:val="003843A9"/>
    <w:rsid w:val="003866BE"/>
    <w:rsid w:val="00386F72"/>
    <w:rsid w:val="003877C1"/>
    <w:rsid w:val="003900D0"/>
    <w:rsid w:val="0039010C"/>
    <w:rsid w:val="00390B9F"/>
    <w:rsid w:val="00390E83"/>
    <w:rsid w:val="003912EE"/>
    <w:rsid w:val="00391A9D"/>
    <w:rsid w:val="00393899"/>
    <w:rsid w:val="00393F5B"/>
    <w:rsid w:val="00396439"/>
    <w:rsid w:val="003A3A17"/>
    <w:rsid w:val="003A4A47"/>
    <w:rsid w:val="003A4DC0"/>
    <w:rsid w:val="003A5A6A"/>
    <w:rsid w:val="003A64E1"/>
    <w:rsid w:val="003A720A"/>
    <w:rsid w:val="003B1A55"/>
    <w:rsid w:val="003B2270"/>
    <w:rsid w:val="003B2371"/>
    <w:rsid w:val="003B3114"/>
    <w:rsid w:val="003B3626"/>
    <w:rsid w:val="003B3725"/>
    <w:rsid w:val="003B399B"/>
    <w:rsid w:val="003B500F"/>
    <w:rsid w:val="003B53CB"/>
    <w:rsid w:val="003B5D92"/>
    <w:rsid w:val="003B5F06"/>
    <w:rsid w:val="003B71B7"/>
    <w:rsid w:val="003B73D7"/>
    <w:rsid w:val="003C039B"/>
    <w:rsid w:val="003C22A3"/>
    <w:rsid w:val="003C273A"/>
    <w:rsid w:val="003C2E8C"/>
    <w:rsid w:val="003C36BD"/>
    <w:rsid w:val="003C3D7C"/>
    <w:rsid w:val="003C6252"/>
    <w:rsid w:val="003C6ECE"/>
    <w:rsid w:val="003D074B"/>
    <w:rsid w:val="003D11AB"/>
    <w:rsid w:val="003D287A"/>
    <w:rsid w:val="003D28F4"/>
    <w:rsid w:val="003D2A66"/>
    <w:rsid w:val="003D2F79"/>
    <w:rsid w:val="003D5166"/>
    <w:rsid w:val="003E040D"/>
    <w:rsid w:val="003E185E"/>
    <w:rsid w:val="003E2568"/>
    <w:rsid w:val="003E3B81"/>
    <w:rsid w:val="003E4ED6"/>
    <w:rsid w:val="003E647E"/>
    <w:rsid w:val="003E6F63"/>
    <w:rsid w:val="003F2CB1"/>
    <w:rsid w:val="003F5829"/>
    <w:rsid w:val="003F6C65"/>
    <w:rsid w:val="00400824"/>
    <w:rsid w:val="00402EB4"/>
    <w:rsid w:val="00404129"/>
    <w:rsid w:val="00406331"/>
    <w:rsid w:val="00406A27"/>
    <w:rsid w:val="00412444"/>
    <w:rsid w:val="00412668"/>
    <w:rsid w:val="00412F46"/>
    <w:rsid w:val="004130C5"/>
    <w:rsid w:val="004142F8"/>
    <w:rsid w:val="00415642"/>
    <w:rsid w:val="004203BD"/>
    <w:rsid w:val="00421F1E"/>
    <w:rsid w:val="00424F14"/>
    <w:rsid w:val="00425521"/>
    <w:rsid w:val="004266AE"/>
    <w:rsid w:val="00426E5D"/>
    <w:rsid w:val="00427D82"/>
    <w:rsid w:val="00427F05"/>
    <w:rsid w:val="00427F79"/>
    <w:rsid w:val="004313D3"/>
    <w:rsid w:val="00431D3B"/>
    <w:rsid w:val="00433291"/>
    <w:rsid w:val="00434678"/>
    <w:rsid w:val="004355F3"/>
    <w:rsid w:val="00437064"/>
    <w:rsid w:val="004377D7"/>
    <w:rsid w:val="00437EA3"/>
    <w:rsid w:val="004402F5"/>
    <w:rsid w:val="00441218"/>
    <w:rsid w:val="004412FE"/>
    <w:rsid w:val="0044251B"/>
    <w:rsid w:val="004426EC"/>
    <w:rsid w:val="004433F7"/>
    <w:rsid w:val="004448A6"/>
    <w:rsid w:val="00445224"/>
    <w:rsid w:val="00445BF5"/>
    <w:rsid w:val="004461E8"/>
    <w:rsid w:val="00446900"/>
    <w:rsid w:val="0045124B"/>
    <w:rsid w:val="0045249B"/>
    <w:rsid w:val="00453447"/>
    <w:rsid w:val="0045363F"/>
    <w:rsid w:val="00454793"/>
    <w:rsid w:val="0045496D"/>
    <w:rsid w:val="00455431"/>
    <w:rsid w:val="00455CEF"/>
    <w:rsid w:val="004601DC"/>
    <w:rsid w:val="004619EC"/>
    <w:rsid w:val="00462B50"/>
    <w:rsid w:val="0046361C"/>
    <w:rsid w:val="00463FCF"/>
    <w:rsid w:val="00464392"/>
    <w:rsid w:val="00464BC7"/>
    <w:rsid w:val="00465409"/>
    <w:rsid w:val="00465976"/>
    <w:rsid w:val="00465A8C"/>
    <w:rsid w:val="004665B8"/>
    <w:rsid w:val="0046681E"/>
    <w:rsid w:val="0046682D"/>
    <w:rsid w:val="00470994"/>
    <w:rsid w:val="00471663"/>
    <w:rsid w:val="004732DF"/>
    <w:rsid w:val="00473332"/>
    <w:rsid w:val="00473D78"/>
    <w:rsid w:val="00474D1F"/>
    <w:rsid w:val="00475635"/>
    <w:rsid w:val="0047620C"/>
    <w:rsid w:val="0048102C"/>
    <w:rsid w:val="00482027"/>
    <w:rsid w:val="00484F4D"/>
    <w:rsid w:val="004861C5"/>
    <w:rsid w:val="00486A28"/>
    <w:rsid w:val="00486DFA"/>
    <w:rsid w:val="00487B81"/>
    <w:rsid w:val="00487B92"/>
    <w:rsid w:val="00491D44"/>
    <w:rsid w:val="004926E6"/>
    <w:rsid w:val="0049438A"/>
    <w:rsid w:val="004973DA"/>
    <w:rsid w:val="00497E6D"/>
    <w:rsid w:val="004A1267"/>
    <w:rsid w:val="004A198D"/>
    <w:rsid w:val="004A3729"/>
    <w:rsid w:val="004A5982"/>
    <w:rsid w:val="004A6726"/>
    <w:rsid w:val="004A6F0A"/>
    <w:rsid w:val="004B0E50"/>
    <w:rsid w:val="004B0FFC"/>
    <w:rsid w:val="004B23C7"/>
    <w:rsid w:val="004B3018"/>
    <w:rsid w:val="004B6358"/>
    <w:rsid w:val="004B643F"/>
    <w:rsid w:val="004B7041"/>
    <w:rsid w:val="004B72F2"/>
    <w:rsid w:val="004C2462"/>
    <w:rsid w:val="004C29C5"/>
    <w:rsid w:val="004C2E55"/>
    <w:rsid w:val="004C30EF"/>
    <w:rsid w:val="004C6AE1"/>
    <w:rsid w:val="004C6C31"/>
    <w:rsid w:val="004C6E14"/>
    <w:rsid w:val="004C79DC"/>
    <w:rsid w:val="004D0032"/>
    <w:rsid w:val="004D0B8B"/>
    <w:rsid w:val="004D10ED"/>
    <w:rsid w:val="004D271B"/>
    <w:rsid w:val="004D2DE3"/>
    <w:rsid w:val="004D38A0"/>
    <w:rsid w:val="004D4228"/>
    <w:rsid w:val="004D4C67"/>
    <w:rsid w:val="004D4FD4"/>
    <w:rsid w:val="004D5266"/>
    <w:rsid w:val="004D5AB2"/>
    <w:rsid w:val="004D78A1"/>
    <w:rsid w:val="004D7939"/>
    <w:rsid w:val="004E4948"/>
    <w:rsid w:val="004E4C5A"/>
    <w:rsid w:val="004F08B9"/>
    <w:rsid w:val="004F141D"/>
    <w:rsid w:val="004F22F9"/>
    <w:rsid w:val="004F3415"/>
    <w:rsid w:val="004F35A8"/>
    <w:rsid w:val="004F3FFD"/>
    <w:rsid w:val="004F454F"/>
    <w:rsid w:val="004F5D9A"/>
    <w:rsid w:val="004F5E07"/>
    <w:rsid w:val="0050047E"/>
    <w:rsid w:val="005029CD"/>
    <w:rsid w:val="00504F44"/>
    <w:rsid w:val="0050502D"/>
    <w:rsid w:val="0050561E"/>
    <w:rsid w:val="005059B4"/>
    <w:rsid w:val="0050608A"/>
    <w:rsid w:val="00507052"/>
    <w:rsid w:val="0051195B"/>
    <w:rsid w:val="00513129"/>
    <w:rsid w:val="005132A5"/>
    <w:rsid w:val="00514697"/>
    <w:rsid w:val="00521106"/>
    <w:rsid w:val="005250F5"/>
    <w:rsid w:val="005259C8"/>
    <w:rsid w:val="0052707D"/>
    <w:rsid w:val="0052737C"/>
    <w:rsid w:val="005275C3"/>
    <w:rsid w:val="00527EEC"/>
    <w:rsid w:val="00530C27"/>
    <w:rsid w:val="00531F3E"/>
    <w:rsid w:val="00532609"/>
    <w:rsid w:val="00532F00"/>
    <w:rsid w:val="005347F9"/>
    <w:rsid w:val="00535482"/>
    <w:rsid w:val="00536190"/>
    <w:rsid w:val="005368C7"/>
    <w:rsid w:val="0054369C"/>
    <w:rsid w:val="0054370E"/>
    <w:rsid w:val="0054436B"/>
    <w:rsid w:val="005476A5"/>
    <w:rsid w:val="00547B06"/>
    <w:rsid w:val="00552EBA"/>
    <w:rsid w:val="0055345B"/>
    <w:rsid w:val="00554BE7"/>
    <w:rsid w:val="0055521B"/>
    <w:rsid w:val="00555CA0"/>
    <w:rsid w:val="00556ADB"/>
    <w:rsid w:val="00560EE3"/>
    <w:rsid w:val="00561F32"/>
    <w:rsid w:val="005624F7"/>
    <w:rsid w:val="005625CD"/>
    <w:rsid w:val="00563CED"/>
    <w:rsid w:val="0056480B"/>
    <w:rsid w:val="005669F8"/>
    <w:rsid w:val="00570479"/>
    <w:rsid w:val="005705C7"/>
    <w:rsid w:val="005708E1"/>
    <w:rsid w:val="00573497"/>
    <w:rsid w:val="00573F91"/>
    <w:rsid w:val="00574615"/>
    <w:rsid w:val="00575023"/>
    <w:rsid w:val="00575104"/>
    <w:rsid w:val="00575391"/>
    <w:rsid w:val="0058212C"/>
    <w:rsid w:val="005825BF"/>
    <w:rsid w:val="00582AB4"/>
    <w:rsid w:val="005875DD"/>
    <w:rsid w:val="00592EDC"/>
    <w:rsid w:val="00592FFD"/>
    <w:rsid w:val="0059301A"/>
    <w:rsid w:val="0059687D"/>
    <w:rsid w:val="005973E3"/>
    <w:rsid w:val="005A00FA"/>
    <w:rsid w:val="005A21C4"/>
    <w:rsid w:val="005A2702"/>
    <w:rsid w:val="005A2B4F"/>
    <w:rsid w:val="005A598F"/>
    <w:rsid w:val="005A626A"/>
    <w:rsid w:val="005A6343"/>
    <w:rsid w:val="005B023A"/>
    <w:rsid w:val="005B144F"/>
    <w:rsid w:val="005B3578"/>
    <w:rsid w:val="005B4470"/>
    <w:rsid w:val="005B6452"/>
    <w:rsid w:val="005B6B76"/>
    <w:rsid w:val="005B78E3"/>
    <w:rsid w:val="005C15CE"/>
    <w:rsid w:val="005C1627"/>
    <w:rsid w:val="005C35EE"/>
    <w:rsid w:val="005C460A"/>
    <w:rsid w:val="005C7979"/>
    <w:rsid w:val="005D072B"/>
    <w:rsid w:val="005D1904"/>
    <w:rsid w:val="005D1D35"/>
    <w:rsid w:val="005D2016"/>
    <w:rsid w:val="005D48DD"/>
    <w:rsid w:val="005D4AF5"/>
    <w:rsid w:val="005D540E"/>
    <w:rsid w:val="005D66BC"/>
    <w:rsid w:val="005D77EF"/>
    <w:rsid w:val="005D7B25"/>
    <w:rsid w:val="005E1BAC"/>
    <w:rsid w:val="005E2137"/>
    <w:rsid w:val="005E2A10"/>
    <w:rsid w:val="005E3613"/>
    <w:rsid w:val="005E3EB0"/>
    <w:rsid w:val="005E5283"/>
    <w:rsid w:val="005E5D9A"/>
    <w:rsid w:val="005E636B"/>
    <w:rsid w:val="005E6CFA"/>
    <w:rsid w:val="005E7F67"/>
    <w:rsid w:val="005F2029"/>
    <w:rsid w:val="005F24AA"/>
    <w:rsid w:val="005F250B"/>
    <w:rsid w:val="005F3B8C"/>
    <w:rsid w:val="005F3CAC"/>
    <w:rsid w:val="005F3D16"/>
    <w:rsid w:val="005F5842"/>
    <w:rsid w:val="005F5851"/>
    <w:rsid w:val="005F5C98"/>
    <w:rsid w:val="005F7CC6"/>
    <w:rsid w:val="00600DFA"/>
    <w:rsid w:val="00601374"/>
    <w:rsid w:val="00602965"/>
    <w:rsid w:val="00603FA8"/>
    <w:rsid w:val="00604133"/>
    <w:rsid w:val="00604314"/>
    <w:rsid w:val="00604A4D"/>
    <w:rsid w:val="00604F88"/>
    <w:rsid w:val="0060561C"/>
    <w:rsid w:val="00606DC1"/>
    <w:rsid w:val="00610571"/>
    <w:rsid w:val="006108D6"/>
    <w:rsid w:val="006110C8"/>
    <w:rsid w:val="00611545"/>
    <w:rsid w:val="006117D5"/>
    <w:rsid w:val="006137E0"/>
    <w:rsid w:val="00613DD2"/>
    <w:rsid w:val="00614FA8"/>
    <w:rsid w:val="00615579"/>
    <w:rsid w:val="00615AD2"/>
    <w:rsid w:val="006162F9"/>
    <w:rsid w:val="00616692"/>
    <w:rsid w:val="006172BD"/>
    <w:rsid w:val="00620266"/>
    <w:rsid w:val="00625FE5"/>
    <w:rsid w:val="00627027"/>
    <w:rsid w:val="00630451"/>
    <w:rsid w:val="00630C96"/>
    <w:rsid w:val="00631B54"/>
    <w:rsid w:val="00631E68"/>
    <w:rsid w:val="006347DD"/>
    <w:rsid w:val="00635A38"/>
    <w:rsid w:val="00641BAB"/>
    <w:rsid w:val="00642928"/>
    <w:rsid w:val="0064329E"/>
    <w:rsid w:val="00643EED"/>
    <w:rsid w:val="00644C59"/>
    <w:rsid w:val="00645399"/>
    <w:rsid w:val="00645845"/>
    <w:rsid w:val="00646EF1"/>
    <w:rsid w:val="0064763D"/>
    <w:rsid w:val="00647C26"/>
    <w:rsid w:val="00647CAE"/>
    <w:rsid w:val="00647EE3"/>
    <w:rsid w:val="00650025"/>
    <w:rsid w:val="00650BBF"/>
    <w:rsid w:val="0065203D"/>
    <w:rsid w:val="00652C07"/>
    <w:rsid w:val="006535BD"/>
    <w:rsid w:val="00653F6A"/>
    <w:rsid w:val="00654168"/>
    <w:rsid w:val="00654CED"/>
    <w:rsid w:val="006557E3"/>
    <w:rsid w:val="0065625F"/>
    <w:rsid w:val="00656B70"/>
    <w:rsid w:val="00657EA2"/>
    <w:rsid w:val="00660FD9"/>
    <w:rsid w:val="00661280"/>
    <w:rsid w:val="006632F8"/>
    <w:rsid w:val="00663EA3"/>
    <w:rsid w:val="00665B01"/>
    <w:rsid w:val="00666921"/>
    <w:rsid w:val="00666A9E"/>
    <w:rsid w:val="006673D2"/>
    <w:rsid w:val="0066776A"/>
    <w:rsid w:val="00667862"/>
    <w:rsid w:val="00670F85"/>
    <w:rsid w:val="0067178A"/>
    <w:rsid w:val="00672D9A"/>
    <w:rsid w:val="006753D3"/>
    <w:rsid w:val="006759F2"/>
    <w:rsid w:val="00675A4D"/>
    <w:rsid w:val="006768E2"/>
    <w:rsid w:val="006804DE"/>
    <w:rsid w:val="0068051A"/>
    <w:rsid w:val="00680DC0"/>
    <w:rsid w:val="00680FF0"/>
    <w:rsid w:val="00681DCA"/>
    <w:rsid w:val="006821B1"/>
    <w:rsid w:val="006822E9"/>
    <w:rsid w:val="00682716"/>
    <w:rsid w:val="006828E3"/>
    <w:rsid w:val="00682A97"/>
    <w:rsid w:val="006833F2"/>
    <w:rsid w:val="006845A1"/>
    <w:rsid w:val="00686A84"/>
    <w:rsid w:val="006901E9"/>
    <w:rsid w:val="00690D1F"/>
    <w:rsid w:val="0069170A"/>
    <w:rsid w:val="00691E83"/>
    <w:rsid w:val="00692295"/>
    <w:rsid w:val="0069280D"/>
    <w:rsid w:val="0069533A"/>
    <w:rsid w:val="00696755"/>
    <w:rsid w:val="00696757"/>
    <w:rsid w:val="006A1B70"/>
    <w:rsid w:val="006A1E78"/>
    <w:rsid w:val="006A1E8C"/>
    <w:rsid w:val="006A27AE"/>
    <w:rsid w:val="006A3053"/>
    <w:rsid w:val="006A319C"/>
    <w:rsid w:val="006A4756"/>
    <w:rsid w:val="006A5408"/>
    <w:rsid w:val="006A547F"/>
    <w:rsid w:val="006A6888"/>
    <w:rsid w:val="006A7BD9"/>
    <w:rsid w:val="006B27B6"/>
    <w:rsid w:val="006B49C8"/>
    <w:rsid w:val="006B5748"/>
    <w:rsid w:val="006B5B5C"/>
    <w:rsid w:val="006B5F62"/>
    <w:rsid w:val="006B6861"/>
    <w:rsid w:val="006B69DA"/>
    <w:rsid w:val="006C0F0B"/>
    <w:rsid w:val="006C1737"/>
    <w:rsid w:val="006C2C1C"/>
    <w:rsid w:val="006C6849"/>
    <w:rsid w:val="006C6DCB"/>
    <w:rsid w:val="006D0C02"/>
    <w:rsid w:val="006D0C99"/>
    <w:rsid w:val="006D2954"/>
    <w:rsid w:val="006D2B28"/>
    <w:rsid w:val="006D2C77"/>
    <w:rsid w:val="006D3D33"/>
    <w:rsid w:val="006D4B82"/>
    <w:rsid w:val="006D6D84"/>
    <w:rsid w:val="006D78B1"/>
    <w:rsid w:val="006E0805"/>
    <w:rsid w:val="006E49DC"/>
    <w:rsid w:val="006E5587"/>
    <w:rsid w:val="006E7B1D"/>
    <w:rsid w:val="006F0171"/>
    <w:rsid w:val="006F0290"/>
    <w:rsid w:val="006F0705"/>
    <w:rsid w:val="006F2ACF"/>
    <w:rsid w:val="006F3364"/>
    <w:rsid w:val="006F4160"/>
    <w:rsid w:val="006F4F55"/>
    <w:rsid w:val="006F560B"/>
    <w:rsid w:val="007004DA"/>
    <w:rsid w:val="00700B00"/>
    <w:rsid w:val="00703B37"/>
    <w:rsid w:val="00703EE7"/>
    <w:rsid w:val="00704A66"/>
    <w:rsid w:val="007108E4"/>
    <w:rsid w:val="00711237"/>
    <w:rsid w:val="00711778"/>
    <w:rsid w:val="00711A84"/>
    <w:rsid w:val="007135EF"/>
    <w:rsid w:val="0071400E"/>
    <w:rsid w:val="007141C7"/>
    <w:rsid w:val="00715CB6"/>
    <w:rsid w:val="007167D7"/>
    <w:rsid w:val="0071716A"/>
    <w:rsid w:val="00720BFD"/>
    <w:rsid w:val="00720C50"/>
    <w:rsid w:val="007225AD"/>
    <w:rsid w:val="00723BF7"/>
    <w:rsid w:val="0072428C"/>
    <w:rsid w:val="007246CC"/>
    <w:rsid w:val="00724BAE"/>
    <w:rsid w:val="00724F1E"/>
    <w:rsid w:val="00726AC5"/>
    <w:rsid w:val="00727461"/>
    <w:rsid w:val="00731D1C"/>
    <w:rsid w:val="00731D2F"/>
    <w:rsid w:val="007330A3"/>
    <w:rsid w:val="00733B12"/>
    <w:rsid w:val="007346FA"/>
    <w:rsid w:val="0073585D"/>
    <w:rsid w:val="00736BB2"/>
    <w:rsid w:val="00737499"/>
    <w:rsid w:val="00737B61"/>
    <w:rsid w:val="00740D28"/>
    <w:rsid w:val="007426F2"/>
    <w:rsid w:val="0074323C"/>
    <w:rsid w:val="00743AFF"/>
    <w:rsid w:val="00746DBA"/>
    <w:rsid w:val="0075143A"/>
    <w:rsid w:val="00751824"/>
    <w:rsid w:val="00752020"/>
    <w:rsid w:val="0075230A"/>
    <w:rsid w:val="0075311E"/>
    <w:rsid w:val="00753428"/>
    <w:rsid w:val="00754D4D"/>
    <w:rsid w:val="00754EEA"/>
    <w:rsid w:val="00755277"/>
    <w:rsid w:val="007560F0"/>
    <w:rsid w:val="0075618E"/>
    <w:rsid w:val="0075646E"/>
    <w:rsid w:val="00762188"/>
    <w:rsid w:val="00762385"/>
    <w:rsid w:val="00762BCB"/>
    <w:rsid w:val="00772BFC"/>
    <w:rsid w:val="007733B7"/>
    <w:rsid w:val="007734EA"/>
    <w:rsid w:val="00773614"/>
    <w:rsid w:val="00774DCF"/>
    <w:rsid w:val="00775675"/>
    <w:rsid w:val="0077687A"/>
    <w:rsid w:val="00777536"/>
    <w:rsid w:val="00782337"/>
    <w:rsid w:val="007828AF"/>
    <w:rsid w:val="00782C80"/>
    <w:rsid w:val="00786265"/>
    <w:rsid w:val="00786D62"/>
    <w:rsid w:val="0078780E"/>
    <w:rsid w:val="00790A59"/>
    <w:rsid w:val="0079222C"/>
    <w:rsid w:val="00793571"/>
    <w:rsid w:val="007943C1"/>
    <w:rsid w:val="0079548F"/>
    <w:rsid w:val="007958C4"/>
    <w:rsid w:val="007A0D35"/>
    <w:rsid w:val="007A0D7C"/>
    <w:rsid w:val="007A13B9"/>
    <w:rsid w:val="007A1E6C"/>
    <w:rsid w:val="007A22C1"/>
    <w:rsid w:val="007A3188"/>
    <w:rsid w:val="007A4417"/>
    <w:rsid w:val="007A456C"/>
    <w:rsid w:val="007A4781"/>
    <w:rsid w:val="007A6C85"/>
    <w:rsid w:val="007A6CC6"/>
    <w:rsid w:val="007B0431"/>
    <w:rsid w:val="007B1DE1"/>
    <w:rsid w:val="007B25FC"/>
    <w:rsid w:val="007B3FA0"/>
    <w:rsid w:val="007B5E57"/>
    <w:rsid w:val="007B62B4"/>
    <w:rsid w:val="007B78A8"/>
    <w:rsid w:val="007C05DF"/>
    <w:rsid w:val="007C07D6"/>
    <w:rsid w:val="007C19D9"/>
    <w:rsid w:val="007C1DF4"/>
    <w:rsid w:val="007C40CD"/>
    <w:rsid w:val="007C4B9F"/>
    <w:rsid w:val="007C4DFE"/>
    <w:rsid w:val="007C5148"/>
    <w:rsid w:val="007C52E5"/>
    <w:rsid w:val="007C53EE"/>
    <w:rsid w:val="007C5EFC"/>
    <w:rsid w:val="007C710B"/>
    <w:rsid w:val="007D0718"/>
    <w:rsid w:val="007D0D85"/>
    <w:rsid w:val="007D30FA"/>
    <w:rsid w:val="007D42B2"/>
    <w:rsid w:val="007D6CAA"/>
    <w:rsid w:val="007E1139"/>
    <w:rsid w:val="007E2322"/>
    <w:rsid w:val="007E2517"/>
    <w:rsid w:val="007E263B"/>
    <w:rsid w:val="007E4115"/>
    <w:rsid w:val="007E5743"/>
    <w:rsid w:val="007E74D5"/>
    <w:rsid w:val="007E7A5A"/>
    <w:rsid w:val="007E7AF3"/>
    <w:rsid w:val="007E7D12"/>
    <w:rsid w:val="007F16EC"/>
    <w:rsid w:val="007F2FA1"/>
    <w:rsid w:val="007F36A5"/>
    <w:rsid w:val="007F41DF"/>
    <w:rsid w:val="007F66BA"/>
    <w:rsid w:val="007F7CE9"/>
    <w:rsid w:val="00803E11"/>
    <w:rsid w:val="00805DC8"/>
    <w:rsid w:val="0080776A"/>
    <w:rsid w:val="0080793D"/>
    <w:rsid w:val="00810695"/>
    <w:rsid w:val="00810F46"/>
    <w:rsid w:val="00811B31"/>
    <w:rsid w:val="0081280C"/>
    <w:rsid w:val="008130A5"/>
    <w:rsid w:val="00813343"/>
    <w:rsid w:val="00813905"/>
    <w:rsid w:val="00814142"/>
    <w:rsid w:val="00814738"/>
    <w:rsid w:val="00814AFA"/>
    <w:rsid w:val="00815F14"/>
    <w:rsid w:val="00817635"/>
    <w:rsid w:val="0082054F"/>
    <w:rsid w:val="0082112F"/>
    <w:rsid w:val="00822594"/>
    <w:rsid w:val="0082289F"/>
    <w:rsid w:val="00825144"/>
    <w:rsid w:val="008251A2"/>
    <w:rsid w:val="008264ED"/>
    <w:rsid w:val="00826C57"/>
    <w:rsid w:val="00830A2A"/>
    <w:rsid w:val="00830A2D"/>
    <w:rsid w:val="00830C48"/>
    <w:rsid w:val="0083169C"/>
    <w:rsid w:val="008331F7"/>
    <w:rsid w:val="008338F0"/>
    <w:rsid w:val="0083403E"/>
    <w:rsid w:val="008344D4"/>
    <w:rsid w:val="00834DEA"/>
    <w:rsid w:val="00834F39"/>
    <w:rsid w:val="0083689B"/>
    <w:rsid w:val="00840FE7"/>
    <w:rsid w:val="00841EB3"/>
    <w:rsid w:val="0084446C"/>
    <w:rsid w:val="00845B0D"/>
    <w:rsid w:val="00845DFF"/>
    <w:rsid w:val="00845F25"/>
    <w:rsid w:val="0084663B"/>
    <w:rsid w:val="00847436"/>
    <w:rsid w:val="00847BF6"/>
    <w:rsid w:val="008541CC"/>
    <w:rsid w:val="008546E2"/>
    <w:rsid w:val="00855A7C"/>
    <w:rsid w:val="00856F8A"/>
    <w:rsid w:val="0085783F"/>
    <w:rsid w:val="00857E08"/>
    <w:rsid w:val="00860031"/>
    <w:rsid w:val="008603E8"/>
    <w:rsid w:val="00860527"/>
    <w:rsid w:val="00860FEF"/>
    <w:rsid w:val="00861F89"/>
    <w:rsid w:val="00862C0C"/>
    <w:rsid w:val="008642B6"/>
    <w:rsid w:val="00864A3D"/>
    <w:rsid w:val="00865610"/>
    <w:rsid w:val="00865613"/>
    <w:rsid w:val="00866A11"/>
    <w:rsid w:val="0087141E"/>
    <w:rsid w:val="00872545"/>
    <w:rsid w:val="008725D0"/>
    <w:rsid w:val="00873388"/>
    <w:rsid w:val="00873577"/>
    <w:rsid w:val="008742C4"/>
    <w:rsid w:val="008742FD"/>
    <w:rsid w:val="00874738"/>
    <w:rsid w:val="00874D45"/>
    <w:rsid w:val="00875E18"/>
    <w:rsid w:val="00876C20"/>
    <w:rsid w:val="00876F42"/>
    <w:rsid w:val="00877700"/>
    <w:rsid w:val="0088165F"/>
    <w:rsid w:val="00882057"/>
    <w:rsid w:val="00882EE6"/>
    <w:rsid w:val="00883789"/>
    <w:rsid w:val="00885E17"/>
    <w:rsid w:val="008870FD"/>
    <w:rsid w:val="0088761E"/>
    <w:rsid w:val="008877D9"/>
    <w:rsid w:val="00891D08"/>
    <w:rsid w:val="00892E7D"/>
    <w:rsid w:val="00894FBA"/>
    <w:rsid w:val="00895220"/>
    <w:rsid w:val="00895C46"/>
    <w:rsid w:val="00896300"/>
    <w:rsid w:val="00897EBC"/>
    <w:rsid w:val="008A06E4"/>
    <w:rsid w:val="008A0DE2"/>
    <w:rsid w:val="008A0FED"/>
    <w:rsid w:val="008A17B0"/>
    <w:rsid w:val="008A1AA4"/>
    <w:rsid w:val="008A2B82"/>
    <w:rsid w:val="008A6214"/>
    <w:rsid w:val="008A666D"/>
    <w:rsid w:val="008A7A07"/>
    <w:rsid w:val="008A7E34"/>
    <w:rsid w:val="008B2F4F"/>
    <w:rsid w:val="008B3C2F"/>
    <w:rsid w:val="008B4736"/>
    <w:rsid w:val="008B4A96"/>
    <w:rsid w:val="008B5B97"/>
    <w:rsid w:val="008B5E01"/>
    <w:rsid w:val="008B68E8"/>
    <w:rsid w:val="008B6F2D"/>
    <w:rsid w:val="008B7C2E"/>
    <w:rsid w:val="008B7C7E"/>
    <w:rsid w:val="008C0D55"/>
    <w:rsid w:val="008C13E0"/>
    <w:rsid w:val="008C1C92"/>
    <w:rsid w:val="008C1EF9"/>
    <w:rsid w:val="008C2118"/>
    <w:rsid w:val="008C3CF6"/>
    <w:rsid w:val="008C442F"/>
    <w:rsid w:val="008C5377"/>
    <w:rsid w:val="008C60E0"/>
    <w:rsid w:val="008C62CA"/>
    <w:rsid w:val="008C6E92"/>
    <w:rsid w:val="008C7CF2"/>
    <w:rsid w:val="008C7F25"/>
    <w:rsid w:val="008C7F87"/>
    <w:rsid w:val="008D2922"/>
    <w:rsid w:val="008D3873"/>
    <w:rsid w:val="008D4A2E"/>
    <w:rsid w:val="008D7AA6"/>
    <w:rsid w:val="008E1D3A"/>
    <w:rsid w:val="008E2312"/>
    <w:rsid w:val="008E2BA6"/>
    <w:rsid w:val="008E3BFC"/>
    <w:rsid w:val="008E3FBC"/>
    <w:rsid w:val="008E6072"/>
    <w:rsid w:val="008E7A82"/>
    <w:rsid w:val="008F073B"/>
    <w:rsid w:val="008F2260"/>
    <w:rsid w:val="008F23E0"/>
    <w:rsid w:val="008F3CB3"/>
    <w:rsid w:val="008F3F37"/>
    <w:rsid w:val="008F46A9"/>
    <w:rsid w:val="008F6145"/>
    <w:rsid w:val="008F75CF"/>
    <w:rsid w:val="008F78CD"/>
    <w:rsid w:val="009005A1"/>
    <w:rsid w:val="00901165"/>
    <w:rsid w:val="00901DAA"/>
    <w:rsid w:val="00902D24"/>
    <w:rsid w:val="00904840"/>
    <w:rsid w:val="009048AE"/>
    <w:rsid w:val="00904CDB"/>
    <w:rsid w:val="00905180"/>
    <w:rsid w:val="00907FE2"/>
    <w:rsid w:val="00913421"/>
    <w:rsid w:val="00913ED5"/>
    <w:rsid w:val="0091467D"/>
    <w:rsid w:val="009172BF"/>
    <w:rsid w:val="00917D66"/>
    <w:rsid w:val="00920597"/>
    <w:rsid w:val="00920ED5"/>
    <w:rsid w:val="00922C83"/>
    <w:rsid w:val="0092390B"/>
    <w:rsid w:val="00925054"/>
    <w:rsid w:val="009255D8"/>
    <w:rsid w:val="009259AD"/>
    <w:rsid w:val="00925BC2"/>
    <w:rsid w:val="00926FCB"/>
    <w:rsid w:val="00927020"/>
    <w:rsid w:val="009276F6"/>
    <w:rsid w:val="00930024"/>
    <w:rsid w:val="009302AF"/>
    <w:rsid w:val="00930536"/>
    <w:rsid w:val="009306BD"/>
    <w:rsid w:val="00930A7D"/>
    <w:rsid w:val="00931036"/>
    <w:rsid w:val="009318EE"/>
    <w:rsid w:val="00932C21"/>
    <w:rsid w:val="009335D3"/>
    <w:rsid w:val="00933DC3"/>
    <w:rsid w:val="00934153"/>
    <w:rsid w:val="0093499D"/>
    <w:rsid w:val="00936271"/>
    <w:rsid w:val="00936FF4"/>
    <w:rsid w:val="00940399"/>
    <w:rsid w:val="00940687"/>
    <w:rsid w:val="00941F3C"/>
    <w:rsid w:val="009421F3"/>
    <w:rsid w:val="009433C5"/>
    <w:rsid w:val="009443DF"/>
    <w:rsid w:val="0094452B"/>
    <w:rsid w:val="00946C58"/>
    <w:rsid w:val="00947652"/>
    <w:rsid w:val="00950383"/>
    <w:rsid w:val="00950CD3"/>
    <w:rsid w:val="009513B2"/>
    <w:rsid w:val="0095353F"/>
    <w:rsid w:val="009567D4"/>
    <w:rsid w:val="00956C5A"/>
    <w:rsid w:val="00957B92"/>
    <w:rsid w:val="00957E2E"/>
    <w:rsid w:val="009600E8"/>
    <w:rsid w:val="00960840"/>
    <w:rsid w:val="00961AD8"/>
    <w:rsid w:val="00962401"/>
    <w:rsid w:val="00962A7D"/>
    <w:rsid w:val="0096317F"/>
    <w:rsid w:val="00964722"/>
    <w:rsid w:val="00964954"/>
    <w:rsid w:val="00966C87"/>
    <w:rsid w:val="00972B1C"/>
    <w:rsid w:val="00973DBA"/>
    <w:rsid w:val="00973F99"/>
    <w:rsid w:val="00975292"/>
    <w:rsid w:val="0097582D"/>
    <w:rsid w:val="00976113"/>
    <w:rsid w:val="00980C2D"/>
    <w:rsid w:val="009810DE"/>
    <w:rsid w:val="00981FB5"/>
    <w:rsid w:val="00983EB6"/>
    <w:rsid w:val="00985B2A"/>
    <w:rsid w:val="00987544"/>
    <w:rsid w:val="009922CD"/>
    <w:rsid w:val="00992384"/>
    <w:rsid w:val="00992DB9"/>
    <w:rsid w:val="009932B1"/>
    <w:rsid w:val="00995E5C"/>
    <w:rsid w:val="00997786"/>
    <w:rsid w:val="009A00BD"/>
    <w:rsid w:val="009A02BD"/>
    <w:rsid w:val="009A052A"/>
    <w:rsid w:val="009A1A66"/>
    <w:rsid w:val="009A20CD"/>
    <w:rsid w:val="009A3F67"/>
    <w:rsid w:val="009A482C"/>
    <w:rsid w:val="009A4D73"/>
    <w:rsid w:val="009A5915"/>
    <w:rsid w:val="009A59D3"/>
    <w:rsid w:val="009A74C1"/>
    <w:rsid w:val="009A7A23"/>
    <w:rsid w:val="009B0BCD"/>
    <w:rsid w:val="009B179B"/>
    <w:rsid w:val="009B21E8"/>
    <w:rsid w:val="009B229C"/>
    <w:rsid w:val="009B2C2A"/>
    <w:rsid w:val="009B34CF"/>
    <w:rsid w:val="009B5ECC"/>
    <w:rsid w:val="009C07D2"/>
    <w:rsid w:val="009C0F50"/>
    <w:rsid w:val="009C1AF4"/>
    <w:rsid w:val="009C2992"/>
    <w:rsid w:val="009C3576"/>
    <w:rsid w:val="009C399B"/>
    <w:rsid w:val="009C44C3"/>
    <w:rsid w:val="009C4518"/>
    <w:rsid w:val="009C4FB4"/>
    <w:rsid w:val="009C57C6"/>
    <w:rsid w:val="009C5FA8"/>
    <w:rsid w:val="009C7251"/>
    <w:rsid w:val="009D1286"/>
    <w:rsid w:val="009D2835"/>
    <w:rsid w:val="009D3D2F"/>
    <w:rsid w:val="009D5C56"/>
    <w:rsid w:val="009D5F08"/>
    <w:rsid w:val="009D7713"/>
    <w:rsid w:val="009E0C6F"/>
    <w:rsid w:val="009E128C"/>
    <w:rsid w:val="009E16ED"/>
    <w:rsid w:val="009E1EBB"/>
    <w:rsid w:val="009E283F"/>
    <w:rsid w:val="009E2A5A"/>
    <w:rsid w:val="009E4EAC"/>
    <w:rsid w:val="009E6C66"/>
    <w:rsid w:val="009E76E7"/>
    <w:rsid w:val="009E7C0E"/>
    <w:rsid w:val="009E7D4B"/>
    <w:rsid w:val="009F356A"/>
    <w:rsid w:val="009F58FB"/>
    <w:rsid w:val="009F5E23"/>
    <w:rsid w:val="00A00F59"/>
    <w:rsid w:val="00A01D2C"/>
    <w:rsid w:val="00A04487"/>
    <w:rsid w:val="00A070AB"/>
    <w:rsid w:val="00A10FDE"/>
    <w:rsid w:val="00A11E7B"/>
    <w:rsid w:val="00A124F7"/>
    <w:rsid w:val="00A126D3"/>
    <w:rsid w:val="00A12F62"/>
    <w:rsid w:val="00A14725"/>
    <w:rsid w:val="00A147D9"/>
    <w:rsid w:val="00A15178"/>
    <w:rsid w:val="00A1634D"/>
    <w:rsid w:val="00A166CF"/>
    <w:rsid w:val="00A17758"/>
    <w:rsid w:val="00A17B5E"/>
    <w:rsid w:val="00A20543"/>
    <w:rsid w:val="00A20890"/>
    <w:rsid w:val="00A2137A"/>
    <w:rsid w:val="00A226AA"/>
    <w:rsid w:val="00A226E1"/>
    <w:rsid w:val="00A23A16"/>
    <w:rsid w:val="00A2650C"/>
    <w:rsid w:val="00A27B0D"/>
    <w:rsid w:val="00A311A6"/>
    <w:rsid w:val="00A328C2"/>
    <w:rsid w:val="00A33423"/>
    <w:rsid w:val="00A34040"/>
    <w:rsid w:val="00A347E3"/>
    <w:rsid w:val="00A34824"/>
    <w:rsid w:val="00A353C1"/>
    <w:rsid w:val="00A36F6E"/>
    <w:rsid w:val="00A36F9C"/>
    <w:rsid w:val="00A372E5"/>
    <w:rsid w:val="00A4011C"/>
    <w:rsid w:val="00A406A7"/>
    <w:rsid w:val="00A413B5"/>
    <w:rsid w:val="00A427BE"/>
    <w:rsid w:val="00A42E64"/>
    <w:rsid w:val="00A4451C"/>
    <w:rsid w:val="00A447DD"/>
    <w:rsid w:val="00A449C0"/>
    <w:rsid w:val="00A45CE0"/>
    <w:rsid w:val="00A47D6B"/>
    <w:rsid w:val="00A51CEC"/>
    <w:rsid w:val="00A5270A"/>
    <w:rsid w:val="00A54153"/>
    <w:rsid w:val="00A54D22"/>
    <w:rsid w:val="00A56909"/>
    <w:rsid w:val="00A57C2E"/>
    <w:rsid w:val="00A57E7C"/>
    <w:rsid w:val="00A62652"/>
    <w:rsid w:val="00A65631"/>
    <w:rsid w:val="00A7084A"/>
    <w:rsid w:val="00A730E2"/>
    <w:rsid w:val="00A73498"/>
    <w:rsid w:val="00A73805"/>
    <w:rsid w:val="00A742D9"/>
    <w:rsid w:val="00A7731D"/>
    <w:rsid w:val="00A777C4"/>
    <w:rsid w:val="00A8202B"/>
    <w:rsid w:val="00A82752"/>
    <w:rsid w:val="00A87472"/>
    <w:rsid w:val="00A87853"/>
    <w:rsid w:val="00A901CF"/>
    <w:rsid w:val="00A91BD8"/>
    <w:rsid w:val="00A9303D"/>
    <w:rsid w:val="00A93375"/>
    <w:rsid w:val="00A94B8F"/>
    <w:rsid w:val="00A94C21"/>
    <w:rsid w:val="00A95254"/>
    <w:rsid w:val="00A95319"/>
    <w:rsid w:val="00A97A28"/>
    <w:rsid w:val="00AA010F"/>
    <w:rsid w:val="00AA04B5"/>
    <w:rsid w:val="00AA2316"/>
    <w:rsid w:val="00AA3258"/>
    <w:rsid w:val="00AA41C2"/>
    <w:rsid w:val="00AA45E8"/>
    <w:rsid w:val="00AA74A6"/>
    <w:rsid w:val="00AB0B87"/>
    <w:rsid w:val="00AB1959"/>
    <w:rsid w:val="00AB25CE"/>
    <w:rsid w:val="00AB2D90"/>
    <w:rsid w:val="00AB34B9"/>
    <w:rsid w:val="00AB3D2F"/>
    <w:rsid w:val="00AB682A"/>
    <w:rsid w:val="00AC0028"/>
    <w:rsid w:val="00AC13CD"/>
    <w:rsid w:val="00AC16F9"/>
    <w:rsid w:val="00AC1AC3"/>
    <w:rsid w:val="00AC2114"/>
    <w:rsid w:val="00AC26E6"/>
    <w:rsid w:val="00AC2FC1"/>
    <w:rsid w:val="00AD0674"/>
    <w:rsid w:val="00AD10D5"/>
    <w:rsid w:val="00AD244F"/>
    <w:rsid w:val="00AD343D"/>
    <w:rsid w:val="00AD4FA5"/>
    <w:rsid w:val="00AE18FF"/>
    <w:rsid w:val="00AE3A77"/>
    <w:rsid w:val="00AE57C5"/>
    <w:rsid w:val="00AE5D7B"/>
    <w:rsid w:val="00AE7EDA"/>
    <w:rsid w:val="00AF0811"/>
    <w:rsid w:val="00AF3BA9"/>
    <w:rsid w:val="00AF7BB5"/>
    <w:rsid w:val="00B01AE3"/>
    <w:rsid w:val="00B030BB"/>
    <w:rsid w:val="00B07249"/>
    <w:rsid w:val="00B11166"/>
    <w:rsid w:val="00B11240"/>
    <w:rsid w:val="00B1175C"/>
    <w:rsid w:val="00B11A18"/>
    <w:rsid w:val="00B11C4E"/>
    <w:rsid w:val="00B141B8"/>
    <w:rsid w:val="00B164FE"/>
    <w:rsid w:val="00B204F1"/>
    <w:rsid w:val="00B20F03"/>
    <w:rsid w:val="00B216F5"/>
    <w:rsid w:val="00B22888"/>
    <w:rsid w:val="00B23802"/>
    <w:rsid w:val="00B23CB6"/>
    <w:rsid w:val="00B23DBA"/>
    <w:rsid w:val="00B23E30"/>
    <w:rsid w:val="00B2537E"/>
    <w:rsid w:val="00B255CC"/>
    <w:rsid w:val="00B273E5"/>
    <w:rsid w:val="00B277C2"/>
    <w:rsid w:val="00B27A54"/>
    <w:rsid w:val="00B307E0"/>
    <w:rsid w:val="00B31784"/>
    <w:rsid w:val="00B31A59"/>
    <w:rsid w:val="00B32108"/>
    <w:rsid w:val="00B326A1"/>
    <w:rsid w:val="00B33B4D"/>
    <w:rsid w:val="00B34BC0"/>
    <w:rsid w:val="00B34BEF"/>
    <w:rsid w:val="00B35629"/>
    <w:rsid w:val="00B419AC"/>
    <w:rsid w:val="00B42248"/>
    <w:rsid w:val="00B42D39"/>
    <w:rsid w:val="00B4429D"/>
    <w:rsid w:val="00B44B98"/>
    <w:rsid w:val="00B4518C"/>
    <w:rsid w:val="00B45A4B"/>
    <w:rsid w:val="00B4620D"/>
    <w:rsid w:val="00B46DB5"/>
    <w:rsid w:val="00B47E17"/>
    <w:rsid w:val="00B52592"/>
    <w:rsid w:val="00B529E4"/>
    <w:rsid w:val="00B5342B"/>
    <w:rsid w:val="00B53DE2"/>
    <w:rsid w:val="00B55589"/>
    <w:rsid w:val="00B55771"/>
    <w:rsid w:val="00B56F97"/>
    <w:rsid w:val="00B573BF"/>
    <w:rsid w:val="00B57555"/>
    <w:rsid w:val="00B57928"/>
    <w:rsid w:val="00B57CCF"/>
    <w:rsid w:val="00B57E6C"/>
    <w:rsid w:val="00B6109A"/>
    <w:rsid w:val="00B61811"/>
    <w:rsid w:val="00B6306B"/>
    <w:rsid w:val="00B6402A"/>
    <w:rsid w:val="00B64D0A"/>
    <w:rsid w:val="00B64DE7"/>
    <w:rsid w:val="00B6514C"/>
    <w:rsid w:val="00B66B8A"/>
    <w:rsid w:val="00B67730"/>
    <w:rsid w:val="00B732CB"/>
    <w:rsid w:val="00B74500"/>
    <w:rsid w:val="00B77191"/>
    <w:rsid w:val="00B8073C"/>
    <w:rsid w:val="00B80B7E"/>
    <w:rsid w:val="00B80C2A"/>
    <w:rsid w:val="00B819F7"/>
    <w:rsid w:val="00B81D4F"/>
    <w:rsid w:val="00B828AA"/>
    <w:rsid w:val="00B82E57"/>
    <w:rsid w:val="00B84EEF"/>
    <w:rsid w:val="00B852B3"/>
    <w:rsid w:val="00B86FBC"/>
    <w:rsid w:val="00B90CF6"/>
    <w:rsid w:val="00B92A2D"/>
    <w:rsid w:val="00B92DE0"/>
    <w:rsid w:val="00B93DFF"/>
    <w:rsid w:val="00B93EB2"/>
    <w:rsid w:val="00B94DBA"/>
    <w:rsid w:val="00B9512A"/>
    <w:rsid w:val="00B95448"/>
    <w:rsid w:val="00B96387"/>
    <w:rsid w:val="00B969EF"/>
    <w:rsid w:val="00B969FC"/>
    <w:rsid w:val="00B979A8"/>
    <w:rsid w:val="00BA028D"/>
    <w:rsid w:val="00BA15B0"/>
    <w:rsid w:val="00BA17F3"/>
    <w:rsid w:val="00BA3816"/>
    <w:rsid w:val="00BA40F8"/>
    <w:rsid w:val="00BA5F30"/>
    <w:rsid w:val="00BA6431"/>
    <w:rsid w:val="00BA6EBE"/>
    <w:rsid w:val="00BB11F4"/>
    <w:rsid w:val="00BB3A1E"/>
    <w:rsid w:val="00BB3CF2"/>
    <w:rsid w:val="00BB5B9E"/>
    <w:rsid w:val="00BB6043"/>
    <w:rsid w:val="00BB7F32"/>
    <w:rsid w:val="00BC2640"/>
    <w:rsid w:val="00BC49FF"/>
    <w:rsid w:val="00BC6AB6"/>
    <w:rsid w:val="00BC7E26"/>
    <w:rsid w:val="00BD0D0E"/>
    <w:rsid w:val="00BD3A57"/>
    <w:rsid w:val="00BD4647"/>
    <w:rsid w:val="00BD4C78"/>
    <w:rsid w:val="00BD4D9B"/>
    <w:rsid w:val="00BD57B8"/>
    <w:rsid w:val="00BE0A2D"/>
    <w:rsid w:val="00BE1E5C"/>
    <w:rsid w:val="00BE5672"/>
    <w:rsid w:val="00BE6459"/>
    <w:rsid w:val="00BE7D7D"/>
    <w:rsid w:val="00BF2138"/>
    <w:rsid w:val="00BF3A65"/>
    <w:rsid w:val="00BF51D0"/>
    <w:rsid w:val="00BF615B"/>
    <w:rsid w:val="00BF76CD"/>
    <w:rsid w:val="00C00200"/>
    <w:rsid w:val="00C04114"/>
    <w:rsid w:val="00C05500"/>
    <w:rsid w:val="00C07B5B"/>
    <w:rsid w:val="00C11515"/>
    <w:rsid w:val="00C121D3"/>
    <w:rsid w:val="00C15347"/>
    <w:rsid w:val="00C16BA8"/>
    <w:rsid w:val="00C20686"/>
    <w:rsid w:val="00C209D1"/>
    <w:rsid w:val="00C22AE4"/>
    <w:rsid w:val="00C23F07"/>
    <w:rsid w:val="00C2475A"/>
    <w:rsid w:val="00C323C9"/>
    <w:rsid w:val="00C333E8"/>
    <w:rsid w:val="00C34B33"/>
    <w:rsid w:val="00C351B7"/>
    <w:rsid w:val="00C36351"/>
    <w:rsid w:val="00C364E2"/>
    <w:rsid w:val="00C36BB2"/>
    <w:rsid w:val="00C37D8C"/>
    <w:rsid w:val="00C41295"/>
    <w:rsid w:val="00C417C1"/>
    <w:rsid w:val="00C42282"/>
    <w:rsid w:val="00C42320"/>
    <w:rsid w:val="00C42D4A"/>
    <w:rsid w:val="00C42F98"/>
    <w:rsid w:val="00C523FC"/>
    <w:rsid w:val="00C5570A"/>
    <w:rsid w:val="00C56A72"/>
    <w:rsid w:val="00C57315"/>
    <w:rsid w:val="00C57B91"/>
    <w:rsid w:val="00C61F8E"/>
    <w:rsid w:val="00C62CF5"/>
    <w:rsid w:val="00C67D12"/>
    <w:rsid w:val="00C71D04"/>
    <w:rsid w:val="00C737CF"/>
    <w:rsid w:val="00C7695C"/>
    <w:rsid w:val="00C8134A"/>
    <w:rsid w:val="00C81978"/>
    <w:rsid w:val="00C83BD3"/>
    <w:rsid w:val="00C84E2D"/>
    <w:rsid w:val="00C87450"/>
    <w:rsid w:val="00C92DBC"/>
    <w:rsid w:val="00C930EB"/>
    <w:rsid w:val="00C934D4"/>
    <w:rsid w:val="00C96909"/>
    <w:rsid w:val="00C96C69"/>
    <w:rsid w:val="00C97197"/>
    <w:rsid w:val="00C97940"/>
    <w:rsid w:val="00CA2B5E"/>
    <w:rsid w:val="00CA37B3"/>
    <w:rsid w:val="00CA6342"/>
    <w:rsid w:val="00CA685A"/>
    <w:rsid w:val="00CA6B8A"/>
    <w:rsid w:val="00CA72B7"/>
    <w:rsid w:val="00CB0E3A"/>
    <w:rsid w:val="00CB131A"/>
    <w:rsid w:val="00CB35C5"/>
    <w:rsid w:val="00CB4245"/>
    <w:rsid w:val="00CB4392"/>
    <w:rsid w:val="00CB5A0D"/>
    <w:rsid w:val="00CB60AD"/>
    <w:rsid w:val="00CB6242"/>
    <w:rsid w:val="00CB72FF"/>
    <w:rsid w:val="00CC0110"/>
    <w:rsid w:val="00CC046B"/>
    <w:rsid w:val="00CC1DE2"/>
    <w:rsid w:val="00CD0E66"/>
    <w:rsid w:val="00CD0FA2"/>
    <w:rsid w:val="00CD1596"/>
    <w:rsid w:val="00CD52A0"/>
    <w:rsid w:val="00CD6273"/>
    <w:rsid w:val="00CD635A"/>
    <w:rsid w:val="00CD7AEF"/>
    <w:rsid w:val="00CE33D6"/>
    <w:rsid w:val="00CE367A"/>
    <w:rsid w:val="00CE3C53"/>
    <w:rsid w:val="00CE5810"/>
    <w:rsid w:val="00CE59DD"/>
    <w:rsid w:val="00CE6049"/>
    <w:rsid w:val="00CF010C"/>
    <w:rsid w:val="00CF039C"/>
    <w:rsid w:val="00CF289C"/>
    <w:rsid w:val="00CF330E"/>
    <w:rsid w:val="00CF4663"/>
    <w:rsid w:val="00CF6DA3"/>
    <w:rsid w:val="00CF76E3"/>
    <w:rsid w:val="00CF772A"/>
    <w:rsid w:val="00D038AB"/>
    <w:rsid w:val="00D05BAA"/>
    <w:rsid w:val="00D06F70"/>
    <w:rsid w:val="00D071CE"/>
    <w:rsid w:val="00D13125"/>
    <w:rsid w:val="00D137BC"/>
    <w:rsid w:val="00D14138"/>
    <w:rsid w:val="00D14BE6"/>
    <w:rsid w:val="00D15069"/>
    <w:rsid w:val="00D15E56"/>
    <w:rsid w:val="00D16675"/>
    <w:rsid w:val="00D16692"/>
    <w:rsid w:val="00D16B79"/>
    <w:rsid w:val="00D16B89"/>
    <w:rsid w:val="00D17838"/>
    <w:rsid w:val="00D17B6A"/>
    <w:rsid w:val="00D20F86"/>
    <w:rsid w:val="00D2217B"/>
    <w:rsid w:val="00D2291C"/>
    <w:rsid w:val="00D243CA"/>
    <w:rsid w:val="00D2572F"/>
    <w:rsid w:val="00D25AC5"/>
    <w:rsid w:val="00D26422"/>
    <w:rsid w:val="00D30B3F"/>
    <w:rsid w:val="00D310C6"/>
    <w:rsid w:val="00D31BEE"/>
    <w:rsid w:val="00D31FEF"/>
    <w:rsid w:val="00D334BF"/>
    <w:rsid w:val="00D349AA"/>
    <w:rsid w:val="00D34C96"/>
    <w:rsid w:val="00D35926"/>
    <w:rsid w:val="00D36878"/>
    <w:rsid w:val="00D36A78"/>
    <w:rsid w:val="00D36B35"/>
    <w:rsid w:val="00D36DCB"/>
    <w:rsid w:val="00D407FA"/>
    <w:rsid w:val="00D4273E"/>
    <w:rsid w:val="00D430A9"/>
    <w:rsid w:val="00D476CE"/>
    <w:rsid w:val="00D47A9D"/>
    <w:rsid w:val="00D5008B"/>
    <w:rsid w:val="00D50BC8"/>
    <w:rsid w:val="00D50D0B"/>
    <w:rsid w:val="00D535E4"/>
    <w:rsid w:val="00D5395A"/>
    <w:rsid w:val="00D55AE2"/>
    <w:rsid w:val="00D56D54"/>
    <w:rsid w:val="00D6016A"/>
    <w:rsid w:val="00D6109A"/>
    <w:rsid w:val="00D6275C"/>
    <w:rsid w:val="00D62818"/>
    <w:rsid w:val="00D62B9A"/>
    <w:rsid w:val="00D6490A"/>
    <w:rsid w:val="00D65541"/>
    <w:rsid w:val="00D66555"/>
    <w:rsid w:val="00D67222"/>
    <w:rsid w:val="00D71DF7"/>
    <w:rsid w:val="00D7232D"/>
    <w:rsid w:val="00D72F54"/>
    <w:rsid w:val="00D75F63"/>
    <w:rsid w:val="00D80600"/>
    <w:rsid w:val="00D81351"/>
    <w:rsid w:val="00D845B0"/>
    <w:rsid w:val="00D85B30"/>
    <w:rsid w:val="00D85E38"/>
    <w:rsid w:val="00D87EC8"/>
    <w:rsid w:val="00D91771"/>
    <w:rsid w:val="00D9189C"/>
    <w:rsid w:val="00D91FE1"/>
    <w:rsid w:val="00D9240F"/>
    <w:rsid w:val="00D946BB"/>
    <w:rsid w:val="00D94AAE"/>
    <w:rsid w:val="00D96CAE"/>
    <w:rsid w:val="00DA1DF2"/>
    <w:rsid w:val="00DA2219"/>
    <w:rsid w:val="00DA3821"/>
    <w:rsid w:val="00DA387A"/>
    <w:rsid w:val="00DA3921"/>
    <w:rsid w:val="00DA3D4B"/>
    <w:rsid w:val="00DA3E7F"/>
    <w:rsid w:val="00DA4A3F"/>
    <w:rsid w:val="00DA565B"/>
    <w:rsid w:val="00DA581B"/>
    <w:rsid w:val="00DA5A5E"/>
    <w:rsid w:val="00DA71D0"/>
    <w:rsid w:val="00DA7DBF"/>
    <w:rsid w:val="00DB0E1D"/>
    <w:rsid w:val="00DB1526"/>
    <w:rsid w:val="00DB2289"/>
    <w:rsid w:val="00DB27B2"/>
    <w:rsid w:val="00DB2A8E"/>
    <w:rsid w:val="00DB2FFB"/>
    <w:rsid w:val="00DB327F"/>
    <w:rsid w:val="00DB3470"/>
    <w:rsid w:val="00DB3925"/>
    <w:rsid w:val="00DB544B"/>
    <w:rsid w:val="00DB5F5B"/>
    <w:rsid w:val="00DB797E"/>
    <w:rsid w:val="00DC0499"/>
    <w:rsid w:val="00DC0ED7"/>
    <w:rsid w:val="00DC19C7"/>
    <w:rsid w:val="00DC228D"/>
    <w:rsid w:val="00DC3230"/>
    <w:rsid w:val="00DC3E1E"/>
    <w:rsid w:val="00DC4561"/>
    <w:rsid w:val="00DC4C19"/>
    <w:rsid w:val="00DC54B9"/>
    <w:rsid w:val="00DD1A0B"/>
    <w:rsid w:val="00DD4CAB"/>
    <w:rsid w:val="00DE00D7"/>
    <w:rsid w:val="00DE05F2"/>
    <w:rsid w:val="00DE0619"/>
    <w:rsid w:val="00DE1236"/>
    <w:rsid w:val="00DE20F1"/>
    <w:rsid w:val="00DE39CA"/>
    <w:rsid w:val="00DE4117"/>
    <w:rsid w:val="00DE414B"/>
    <w:rsid w:val="00DE4565"/>
    <w:rsid w:val="00DE4DA0"/>
    <w:rsid w:val="00DE5434"/>
    <w:rsid w:val="00DE5911"/>
    <w:rsid w:val="00DE69A8"/>
    <w:rsid w:val="00DE7403"/>
    <w:rsid w:val="00DF14AE"/>
    <w:rsid w:val="00DF2170"/>
    <w:rsid w:val="00DF2404"/>
    <w:rsid w:val="00DF2F72"/>
    <w:rsid w:val="00DF3C04"/>
    <w:rsid w:val="00DF4F5C"/>
    <w:rsid w:val="00DF56F6"/>
    <w:rsid w:val="00DF5C4F"/>
    <w:rsid w:val="00DF706E"/>
    <w:rsid w:val="00E006EB"/>
    <w:rsid w:val="00E009F0"/>
    <w:rsid w:val="00E01D41"/>
    <w:rsid w:val="00E041A9"/>
    <w:rsid w:val="00E0544B"/>
    <w:rsid w:val="00E05E36"/>
    <w:rsid w:val="00E06945"/>
    <w:rsid w:val="00E06AB8"/>
    <w:rsid w:val="00E07DD6"/>
    <w:rsid w:val="00E100A3"/>
    <w:rsid w:val="00E126A1"/>
    <w:rsid w:val="00E138A3"/>
    <w:rsid w:val="00E1453D"/>
    <w:rsid w:val="00E148E3"/>
    <w:rsid w:val="00E1550B"/>
    <w:rsid w:val="00E15E3B"/>
    <w:rsid w:val="00E16C7B"/>
    <w:rsid w:val="00E20984"/>
    <w:rsid w:val="00E20CF6"/>
    <w:rsid w:val="00E21707"/>
    <w:rsid w:val="00E21E73"/>
    <w:rsid w:val="00E22BB7"/>
    <w:rsid w:val="00E23C63"/>
    <w:rsid w:val="00E23F39"/>
    <w:rsid w:val="00E24546"/>
    <w:rsid w:val="00E245BA"/>
    <w:rsid w:val="00E24641"/>
    <w:rsid w:val="00E256F5"/>
    <w:rsid w:val="00E266D2"/>
    <w:rsid w:val="00E26773"/>
    <w:rsid w:val="00E26CA1"/>
    <w:rsid w:val="00E31632"/>
    <w:rsid w:val="00E32236"/>
    <w:rsid w:val="00E337BF"/>
    <w:rsid w:val="00E36AF3"/>
    <w:rsid w:val="00E42C48"/>
    <w:rsid w:val="00E450E9"/>
    <w:rsid w:val="00E4580A"/>
    <w:rsid w:val="00E4603C"/>
    <w:rsid w:val="00E46A39"/>
    <w:rsid w:val="00E47521"/>
    <w:rsid w:val="00E50B64"/>
    <w:rsid w:val="00E52FC1"/>
    <w:rsid w:val="00E546DC"/>
    <w:rsid w:val="00E54B21"/>
    <w:rsid w:val="00E57556"/>
    <w:rsid w:val="00E6173A"/>
    <w:rsid w:val="00E62961"/>
    <w:rsid w:val="00E63C21"/>
    <w:rsid w:val="00E63D09"/>
    <w:rsid w:val="00E646EA"/>
    <w:rsid w:val="00E6673A"/>
    <w:rsid w:val="00E66C15"/>
    <w:rsid w:val="00E7082F"/>
    <w:rsid w:val="00E73F0E"/>
    <w:rsid w:val="00E74E5B"/>
    <w:rsid w:val="00E74F5B"/>
    <w:rsid w:val="00E74FAC"/>
    <w:rsid w:val="00E76A69"/>
    <w:rsid w:val="00E7707C"/>
    <w:rsid w:val="00E77145"/>
    <w:rsid w:val="00E77C49"/>
    <w:rsid w:val="00E806B7"/>
    <w:rsid w:val="00E81185"/>
    <w:rsid w:val="00E82C1B"/>
    <w:rsid w:val="00E85918"/>
    <w:rsid w:val="00E86117"/>
    <w:rsid w:val="00E905FD"/>
    <w:rsid w:val="00E91AB2"/>
    <w:rsid w:val="00E91BE8"/>
    <w:rsid w:val="00E91F42"/>
    <w:rsid w:val="00E928B0"/>
    <w:rsid w:val="00E936B2"/>
    <w:rsid w:val="00E938AC"/>
    <w:rsid w:val="00E96847"/>
    <w:rsid w:val="00EA1506"/>
    <w:rsid w:val="00EA2CD0"/>
    <w:rsid w:val="00EA431F"/>
    <w:rsid w:val="00EA5281"/>
    <w:rsid w:val="00EA5DD0"/>
    <w:rsid w:val="00EA5F19"/>
    <w:rsid w:val="00EA64A1"/>
    <w:rsid w:val="00EA7BAF"/>
    <w:rsid w:val="00EB04C6"/>
    <w:rsid w:val="00EB2A7B"/>
    <w:rsid w:val="00EB330F"/>
    <w:rsid w:val="00EB4065"/>
    <w:rsid w:val="00EB4098"/>
    <w:rsid w:val="00EB47A1"/>
    <w:rsid w:val="00EB5977"/>
    <w:rsid w:val="00EB5979"/>
    <w:rsid w:val="00EB6110"/>
    <w:rsid w:val="00EC08D9"/>
    <w:rsid w:val="00EC0F8F"/>
    <w:rsid w:val="00EC42B9"/>
    <w:rsid w:val="00EC708F"/>
    <w:rsid w:val="00ED0BFF"/>
    <w:rsid w:val="00ED16D8"/>
    <w:rsid w:val="00ED19B2"/>
    <w:rsid w:val="00ED2A13"/>
    <w:rsid w:val="00ED3AEC"/>
    <w:rsid w:val="00ED3E7C"/>
    <w:rsid w:val="00EE06EC"/>
    <w:rsid w:val="00EE21DB"/>
    <w:rsid w:val="00EE2AFD"/>
    <w:rsid w:val="00EE2E37"/>
    <w:rsid w:val="00EE332E"/>
    <w:rsid w:val="00EE4476"/>
    <w:rsid w:val="00EE4C80"/>
    <w:rsid w:val="00EE4D52"/>
    <w:rsid w:val="00EE5A07"/>
    <w:rsid w:val="00EE7513"/>
    <w:rsid w:val="00EE75CB"/>
    <w:rsid w:val="00EE7F26"/>
    <w:rsid w:val="00EF1BF6"/>
    <w:rsid w:val="00EF1DFA"/>
    <w:rsid w:val="00EF1FA6"/>
    <w:rsid w:val="00EF3388"/>
    <w:rsid w:val="00EF4500"/>
    <w:rsid w:val="00EF637B"/>
    <w:rsid w:val="00EF639F"/>
    <w:rsid w:val="00EF69E5"/>
    <w:rsid w:val="00F0191C"/>
    <w:rsid w:val="00F01B3B"/>
    <w:rsid w:val="00F02240"/>
    <w:rsid w:val="00F0495A"/>
    <w:rsid w:val="00F055F9"/>
    <w:rsid w:val="00F07580"/>
    <w:rsid w:val="00F07ACF"/>
    <w:rsid w:val="00F07F0A"/>
    <w:rsid w:val="00F10FC1"/>
    <w:rsid w:val="00F146DB"/>
    <w:rsid w:val="00F14D24"/>
    <w:rsid w:val="00F16581"/>
    <w:rsid w:val="00F16AFB"/>
    <w:rsid w:val="00F20CDE"/>
    <w:rsid w:val="00F23DB4"/>
    <w:rsid w:val="00F26487"/>
    <w:rsid w:val="00F264F6"/>
    <w:rsid w:val="00F26D58"/>
    <w:rsid w:val="00F2765A"/>
    <w:rsid w:val="00F30D11"/>
    <w:rsid w:val="00F31A4A"/>
    <w:rsid w:val="00F33A01"/>
    <w:rsid w:val="00F34416"/>
    <w:rsid w:val="00F344B4"/>
    <w:rsid w:val="00F413B8"/>
    <w:rsid w:val="00F41766"/>
    <w:rsid w:val="00F41E60"/>
    <w:rsid w:val="00F427B3"/>
    <w:rsid w:val="00F42CB4"/>
    <w:rsid w:val="00F43616"/>
    <w:rsid w:val="00F43F8C"/>
    <w:rsid w:val="00F44309"/>
    <w:rsid w:val="00F449EF"/>
    <w:rsid w:val="00F44D29"/>
    <w:rsid w:val="00F4572E"/>
    <w:rsid w:val="00F51835"/>
    <w:rsid w:val="00F51BA8"/>
    <w:rsid w:val="00F5345B"/>
    <w:rsid w:val="00F55709"/>
    <w:rsid w:val="00F55BB8"/>
    <w:rsid w:val="00F56A07"/>
    <w:rsid w:val="00F57E56"/>
    <w:rsid w:val="00F60F69"/>
    <w:rsid w:val="00F6241C"/>
    <w:rsid w:val="00F64F2F"/>
    <w:rsid w:val="00F650AB"/>
    <w:rsid w:val="00F6542B"/>
    <w:rsid w:val="00F6720E"/>
    <w:rsid w:val="00F70F06"/>
    <w:rsid w:val="00F71BC4"/>
    <w:rsid w:val="00F7242F"/>
    <w:rsid w:val="00F72CDB"/>
    <w:rsid w:val="00F72EC5"/>
    <w:rsid w:val="00F73D42"/>
    <w:rsid w:val="00F73EA7"/>
    <w:rsid w:val="00F74FCA"/>
    <w:rsid w:val="00F75086"/>
    <w:rsid w:val="00F755A3"/>
    <w:rsid w:val="00F757D8"/>
    <w:rsid w:val="00F77A6C"/>
    <w:rsid w:val="00F81EFF"/>
    <w:rsid w:val="00F842EE"/>
    <w:rsid w:val="00F84E77"/>
    <w:rsid w:val="00F85551"/>
    <w:rsid w:val="00F86F70"/>
    <w:rsid w:val="00F92E11"/>
    <w:rsid w:val="00F951E6"/>
    <w:rsid w:val="00F95BE5"/>
    <w:rsid w:val="00F96BA5"/>
    <w:rsid w:val="00F971D5"/>
    <w:rsid w:val="00F97600"/>
    <w:rsid w:val="00FA0115"/>
    <w:rsid w:val="00FA2102"/>
    <w:rsid w:val="00FA2CA4"/>
    <w:rsid w:val="00FA49AC"/>
    <w:rsid w:val="00FA5A42"/>
    <w:rsid w:val="00FA6254"/>
    <w:rsid w:val="00FA681B"/>
    <w:rsid w:val="00FA6C0A"/>
    <w:rsid w:val="00FB2AFB"/>
    <w:rsid w:val="00FB3021"/>
    <w:rsid w:val="00FB3554"/>
    <w:rsid w:val="00FB3965"/>
    <w:rsid w:val="00FB5486"/>
    <w:rsid w:val="00FC04C5"/>
    <w:rsid w:val="00FC0C4C"/>
    <w:rsid w:val="00FC1862"/>
    <w:rsid w:val="00FC2462"/>
    <w:rsid w:val="00FC3D96"/>
    <w:rsid w:val="00FC5344"/>
    <w:rsid w:val="00FC56E1"/>
    <w:rsid w:val="00FC7020"/>
    <w:rsid w:val="00FC7147"/>
    <w:rsid w:val="00FC76EC"/>
    <w:rsid w:val="00FD0127"/>
    <w:rsid w:val="00FD07CD"/>
    <w:rsid w:val="00FD399C"/>
    <w:rsid w:val="00FD40FE"/>
    <w:rsid w:val="00FD4FF5"/>
    <w:rsid w:val="00FD5AD5"/>
    <w:rsid w:val="00FD5D51"/>
    <w:rsid w:val="00FD5F75"/>
    <w:rsid w:val="00FD7CEF"/>
    <w:rsid w:val="00FE4412"/>
    <w:rsid w:val="00FE4C4A"/>
    <w:rsid w:val="00FE73FD"/>
    <w:rsid w:val="00FF1F1E"/>
    <w:rsid w:val="00FF255F"/>
    <w:rsid w:val="00FF5E77"/>
    <w:rsid w:val="00FF6508"/>
    <w:rsid w:val="00FF6602"/>
    <w:rsid w:val="030D460F"/>
    <w:rsid w:val="0C596987"/>
    <w:rsid w:val="11055239"/>
    <w:rsid w:val="14A544A5"/>
    <w:rsid w:val="16037602"/>
    <w:rsid w:val="1BD16179"/>
    <w:rsid w:val="1D5064D2"/>
    <w:rsid w:val="2D493106"/>
    <w:rsid w:val="4BE40D01"/>
    <w:rsid w:val="50E62272"/>
    <w:rsid w:val="50ED3165"/>
    <w:rsid w:val="5C550E91"/>
    <w:rsid w:val="789C1603"/>
    <w:rsid w:val="78F1497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keepLines/>
      <w:spacing w:before="340" w:after="330" w:line="578" w:lineRule="auto"/>
      <w:jc w:val="center"/>
      <w:outlineLvl w:val="0"/>
    </w:pPr>
    <w:rPr>
      <w:b/>
      <w:bCs/>
      <w:kern w:val="44"/>
      <w:sz w:val="44"/>
      <w:szCs w:val="44"/>
    </w:rPr>
  </w:style>
  <w:style w:type="character" w:default="1" w:styleId="12">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Body Text"/>
    <w:basedOn w:val="1"/>
    <w:link w:val="15"/>
    <w:qFormat/>
    <w:uiPriority w:val="0"/>
    <w:rPr>
      <w:sz w:val="24"/>
      <w:szCs w:val="20"/>
    </w:rPr>
  </w:style>
  <w:style w:type="paragraph" w:styleId="4">
    <w:name w:val="Date"/>
    <w:basedOn w:val="1"/>
    <w:next w:val="1"/>
    <w:link w:val="16"/>
    <w:uiPriority w:val="0"/>
    <w:pPr>
      <w:ind w:left="100" w:leftChars="2500"/>
    </w:pPr>
  </w:style>
  <w:style w:type="paragraph" w:styleId="5">
    <w:name w:val="Balloon Text"/>
    <w:basedOn w:val="1"/>
    <w:link w:val="17"/>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uiPriority w:val="39"/>
  </w:style>
  <w:style w:type="paragraph" w:styleId="9">
    <w:name w:val="Title"/>
    <w:basedOn w:val="1"/>
    <w:next w:val="1"/>
    <w:link w:val="20"/>
    <w:qFormat/>
    <w:uiPriority w:val="0"/>
    <w:pPr>
      <w:spacing w:before="240" w:after="60"/>
      <w:ind w:left="300" w:leftChars="300"/>
      <w:jc w:val="left"/>
      <w:outlineLvl w:val="0"/>
    </w:pPr>
    <w:rPr>
      <w:rFonts w:ascii="Cambria" w:hAnsi="Cambria" w:cs="Times New Roman"/>
      <w:b/>
      <w:bCs/>
      <w:sz w:val="28"/>
      <w:szCs w:val="32"/>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99"/>
    <w:rPr>
      <w:color w:val="0000FF"/>
      <w:u w:val="single"/>
    </w:rPr>
  </w:style>
  <w:style w:type="character" w:customStyle="1" w:styleId="14">
    <w:name w:val="标题 1 字符"/>
    <w:link w:val="2"/>
    <w:qFormat/>
    <w:uiPriority w:val="0"/>
    <w:rPr>
      <w:b/>
      <w:bCs/>
      <w:kern w:val="44"/>
      <w:sz w:val="44"/>
      <w:szCs w:val="44"/>
    </w:rPr>
  </w:style>
  <w:style w:type="character" w:customStyle="1" w:styleId="15">
    <w:name w:val="正文文本 字符"/>
    <w:link w:val="3"/>
    <w:uiPriority w:val="0"/>
    <w:rPr>
      <w:kern w:val="2"/>
      <w:sz w:val="24"/>
    </w:rPr>
  </w:style>
  <w:style w:type="character" w:customStyle="1" w:styleId="16">
    <w:name w:val="日期 字符"/>
    <w:link w:val="4"/>
    <w:qFormat/>
    <w:uiPriority w:val="0"/>
    <w:rPr>
      <w:kern w:val="2"/>
      <w:sz w:val="21"/>
      <w:szCs w:val="24"/>
    </w:rPr>
  </w:style>
  <w:style w:type="character" w:customStyle="1" w:styleId="17">
    <w:name w:val="批注框文本 字符"/>
    <w:link w:val="5"/>
    <w:qFormat/>
    <w:uiPriority w:val="0"/>
    <w:rPr>
      <w:kern w:val="2"/>
      <w:sz w:val="18"/>
      <w:szCs w:val="18"/>
    </w:rPr>
  </w:style>
  <w:style w:type="character" w:customStyle="1" w:styleId="18">
    <w:name w:val="页脚 字符"/>
    <w:link w:val="6"/>
    <w:uiPriority w:val="99"/>
    <w:rPr>
      <w:kern w:val="2"/>
      <w:sz w:val="18"/>
      <w:szCs w:val="18"/>
    </w:rPr>
  </w:style>
  <w:style w:type="character" w:customStyle="1" w:styleId="19">
    <w:name w:val="页眉 字符"/>
    <w:link w:val="7"/>
    <w:qFormat/>
    <w:uiPriority w:val="0"/>
    <w:rPr>
      <w:kern w:val="2"/>
      <w:sz w:val="18"/>
      <w:szCs w:val="18"/>
    </w:rPr>
  </w:style>
  <w:style w:type="character" w:customStyle="1" w:styleId="20">
    <w:name w:val="标题 字符"/>
    <w:link w:val="9"/>
    <w:qFormat/>
    <w:uiPriority w:val="0"/>
    <w:rPr>
      <w:rFonts w:ascii="Cambria" w:hAnsi="Cambria" w:cs="Times New Roman"/>
      <w:b/>
      <w:bCs/>
      <w:kern w:val="2"/>
      <w:sz w:val="28"/>
      <w:szCs w:val="32"/>
    </w:rPr>
  </w:style>
  <w:style w:type="character" w:customStyle="1" w:styleId="21">
    <w:name w:val="正文文本 Char1"/>
    <w:uiPriority w:val="0"/>
    <w:rPr>
      <w:kern w:val="2"/>
      <w:sz w:val="21"/>
      <w:szCs w:val="24"/>
    </w:rPr>
  </w:style>
  <w:style w:type="paragraph" w:customStyle="1" w:styleId="22">
    <w:name w:val="_Style 21"/>
    <w:basedOn w:val="2"/>
    <w:next w:val="1"/>
    <w:qFormat/>
    <w:uiPriority w:val="39"/>
    <w:pPr>
      <w:widowControl/>
      <w:spacing w:before="480" w:after="0" w:line="276" w:lineRule="auto"/>
      <w:jc w:val="left"/>
      <w:outlineLvl w:val="9"/>
    </w:pPr>
    <w:rPr>
      <w:rFonts w:ascii="Cambria" w:hAnsi="Cambria" w:eastAsia="MS Gothic" w:cs="Times New Roman"/>
      <w:color w:val="365F91"/>
      <w:kern w:val="0"/>
      <w:sz w:val="28"/>
      <w:szCs w:val="28"/>
      <w:lang w:eastAsia="ja-JP"/>
    </w:rPr>
  </w:style>
  <w:style w:type="character" w:customStyle="1" w:styleId="23">
    <w:name w:val="_Style 22"/>
    <w:unhideWhenUsed/>
    <w:uiPriority w:val="99"/>
    <w:rPr>
      <w:color w:val="605E5C"/>
      <w:shd w:val="clear" w:color="auto" w:fill="E1DFDD"/>
    </w:rPr>
  </w:style>
  <w:style w:type="paragraph" w:customStyle="1" w:styleId="24">
    <w:name w:val="_Style 23"/>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16</Pages>
  <Words>5423</Words>
  <Characters>6434</Characters>
  <Lines>216</Lines>
  <Paragraphs>168</Paragraphs>
  <TotalTime>0</TotalTime>
  <ScaleCrop>false</ScaleCrop>
  <LinksUpToDate>false</LinksUpToDate>
  <CharactersWithSpaces>6768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2017-04-25T08:07:00Z</dcterms:created>
  <dc:creator>Lenovo User</dc:creator>
  <cp:lastModifiedBy>黄舒倩</cp:lastModifiedBy>
  <cp:lastPrinted>2022-02-28T03:29:00Z</cp:lastPrinted>
  <dcterms:modified xsi:type="dcterms:W3CDTF">2025-05-13T10:30:36Z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2052-12.1.0.20784</vt:lpwstr>
  </property>
  <property fmtid="{D5CDD505-2E9C-101B-9397-08002B2CF9AE}" pid="4" name="ICV">
    <vt:lpwstr>431EA47434294DE7AD24ECAFAF381D9D_13</vt:lpwstr>
  </property>
</Properties>
</file>