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0FB9DB">
      <w:pPr>
        <w:autoSpaceDE w:val="0"/>
        <w:autoSpaceDN w:val="0"/>
        <w:adjustRightInd w:val="0"/>
        <w:spacing w:line="360" w:lineRule="auto"/>
        <w:jc w:val="center"/>
        <w:rPr>
          <w:rFonts w:hint="eastAsia" w:ascii="仿宋" w:hAnsi="仿宋" w:eastAsia="仿宋" w:cs="Times New Roman"/>
          <w:color w:val="000000"/>
          <w:sz w:val="28"/>
          <w:szCs w:val="20"/>
        </w:rPr>
      </w:pPr>
      <w:r>
        <w:rPr>
          <w:rFonts w:hint="eastAsia" w:ascii="仿宋" w:hAnsi="仿宋" w:eastAsia="仿宋" w:cs="Times New Roman"/>
          <w:color w:val="000000"/>
          <w:sz w:val="28"/>
          <w:szCs w:val="20"/>
        </w:rPr>
        <w:t>证券代码：</w:t>
      </w:r>
      <w:r>
        <w:rPr>
          <w:rFonts w:hint="eastAsia" w:ascii="仿宋" w:hAnsi="仿宋" w:eastAsia="仿宋" w:cs="Times New Roman"/>
          <w:color w:val="000000"/>
          <w:sz w:val="28"/>
          <w:szCs w:val="20"/>
          <w:lang w:val="en-US" w:eastAsia="zh-CN"/>
        </w:rPr>
        <w:t>301178</w:t>
      </w:r>
      <w:r>
        <w:rPr>
          <w:rFonts w:hint="eastAsia" w:ascii="仿宋" w:hAnsi="仿宋" w:eastAsia="仿宋" w:cs="Times New Roman"/>
          <w:color w:val="000000"/>
          <w:sz w:val="28"/>
          <w:szCs w:val="20"/>
        </w:rPr>
        <w:t xml:space="preserve"> </w:t>
      </w:r>
      <w:r>
        <w:rPr>
          <w:rFonts w:hint="eastAsia" w:ascii="仿宋" w:hAnsi="仿宋" w:eastAsia="仿宋" w:cs="Times New Roman"/>
          <w:color w:val="000000"/>
          <w:sz w:val="28"/>
          <w:szCs w:val="20"/>
          <w:lang w:val="en-US" w:eastAsia="zh-CN"/>
        </w:rPr>
        <w:t xml:space="preserve">   </w:t>
      </w:r>
      <w:r>
        <w:rPr>
          <w:rFonts w:hint="eastAsia" w:ascii="仿宋" w:hAnsi="仿宋" w:eastAsia="仿宋" w:cs="Times New Roman"/>
          <w:color w:val="000000"/>
          <w:sz w:val="28"/>
          <w:szCs w:val="20"/>
        </w:rPr>
        <w:t>证券简称：</w:t>
      </w:r>
      <w:r>
        <w:rPr>
          <w:rFonts w:hint="eastAsia" w:ascii="仿宋" w:hAnsi="仿宋" w:eastAsia="仿宋" w:cs="Times New Roman"/>
          <w:color w:val="000000"/>
          <w:sz w:val="28"/>
          <w:szCs w:val="20"/>
          <w:lang w:val="en-US" w:eastAsia="zh-CN"/>
        </w:rPr>
        <w:t xml:space="preserve">天亿马    </w:t>
      </w:r>
      <w:r>
        <w:rPr>
          <w:rFonts w:hint="eastAsia" w:ascii="仿宋" w:hAnsi="仿宋" w:eastAsia="仿宋" w:cs="Times New Roman"/>
          <w:color w:val="000000"/>
          <w:sz w:val="28"/>
          <w:szCs w:val="20"/>
        </w:rPr>
        <w:t>公告编号：2025</w:t>
      </w:r>
      <w:r>
        <w:rPr>
          <w:rFonts w:hint="eastAsia" w:ascii="仿宋" w:hAnsi="仿宋" w:eastAsia="仿宋" w:cs="Times New Roman"/>
          <w:color w:val="000000"/>
          <w:sz w:val="28"/>
          <w:szCs w:val="20"/>
          <w:lang w:val="en-US" w:eastAsia="zh-CN"/>
        </w:rPr>
        <w:t>-046</w:t>
      </w:r>
      <w:r>
        <w:rPr>
          <w:rFonts w:hint="eastAsia" w:ascii="仿宋" w:hAnsi="仿宋" w:eastAsia="仿宋" w:cs="Times New Roman"/>
          <w:color w:val="000000"/>
          <w:sz w:val="28"/>
          <w:szCs w:val="20"/>
        </w:rPr>
        <w:t xml:space="preserve"> </w:t>
      </w:r>
    </w:p>
    <w:p w14:paraId="7E25519E">
      <w:pPr>
        <w:autoSpaceDE w:val="0"/>
        <w:autoSpaceDN w:val="0"/>
        <w:adjustRightInd w:val="0"/>
        <w:spacing w:line="360" w:lineRule="auto"/>
        <w:jc w:val="center"/>
        <w:rPr>
          <w:rFonts w:hint="eastAsia" w:ascii="黑体" w:hAnsi="黑体" w:eastAsia="黑体" w:cs="Times New Roman"/>
          <w:sz w:val="36"/>
          <w:szCs w:val="36"/>
        </w:rPr>
      </w:pPr>
      <w:r>
        <w:rPr>
          <w:rFonts w:hint="eastAsia" w:ascii="黑体" w:hAnsi="黑体" w:eastAsia="黑体" w:cs="Times New Roman"/>
          <w:sz w:val="36"/>
          <w:szCs w:val="36"/>
        </w:rPr>
        <w:t>广东天亿马信息产业股份有限公司</w:t>
      </w:r>
    </w:p>
    <w:p w14:paraId="47CF270B">
      <w:pPr>
        <w:autoSpaceDE w:val="0"/>
        <w:autoSpaceDN w:val="0"/>
        <w:adjustRightInd w:val="0"/>
        <w:spacing w:line="360" w:lineRule="auto"/>
        <w:jc w:val="center"/>
        <w:rPr>
          <w:rFonts w:hint="eastAsia" w:ascii="黑体" w:hAnsi="黑体" w:eastAsia="黑体" w:cs="Times New Roman"/>
          <w:sz w:val="36"/>
          <w:szCs w:val="36"/>
        </w:rPr>
      </w:pPr>
      <w:r>
        <w:rPr>
          <w:rFonts w:hint="eastAsia" w:ascii="黑体" w:hAnsi="黑体" w:eastAsia="黑体" w:cs="Times New Roman"/>
          <w:sz w:val="36"/>
          <w:szCs w:val="36"/>
        </w:rPr>
        <w:t>关于筹划发行股份及支付现金方式购买资产</w:t>
      </w:r>
    </w:p>
    <w:p w14:paraId="69AEDA44">
      <w:pPr>
        <w:autoSpaceDE w:val="0"/>
        <w:autoSpaceDN w:val="0"/>
        <w:adjustRightInd w:val="0"/>
        <w:spacing w:line="360" w:lineRule="auto"/>
        <w:jc w:val="center"/>
        <w:rPr>
          <w:rFonts w:hint="eastAsia" w:ascii="黑体" w:hAnsi="黑体" w:eastAsia="黑体" w:cs="Times New Roman"/>
          <w:sz w:val="36"/>
          <w:szCs w:val="36"/>
        </w:rPr>
      </w:pPr>
      <w:r>
        <w:rPr>
          <w:rFonts w:hint="eastAsia" w:ascii="黑体" w:hAnsi="黑体" w:eastAsia="黑体" w:cs="Times New Roman"/>
          <w:sz w:val="36"/>
          <w:szCs w:val="36"/>
        </w:rPr>
        <w:t>并募集配套资金事项的停牌公告</w:t>
      </w:r>
    </w:p>
    <w:tbl>
      <w:tblPr>
        <w:tblStyle w:val="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7C797A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522" w:type="dxa"/>
            <w:tcBorders>
              <w:top w:val="single" w:color="auto" w:sz="4" w:space="0"/>
              <w:left w:val="single" w:color="auto" w:sz="4" w:space="0"/>
              <w:bottom w:val="single" w:color="auto" w:sz="4" w:space="0"/>
              <w:right w:val="single" w:color="auto" w:sz="4" w:space="0"/>
            </w:tcBorders>
          </w:tcPr>
          <w:p w14:paraId="274F18F4">
            <w:pPr>
              <w:widowControl/>
              <w:spacing w:line="440" w:lineRule="exact"/>
              <w:ind w:firstLine="560" w:firstLineChars="200"/>
              <w:rPr>
                <w:rFonts w:ascii="楷体" w:hAnsi="楷体" w:eastAsia="楷体" w:cs="宋体"/>
                <w:color w:val="000000"/>
                <w:kern w:val="0"/>
                <w:sz w:val="28"/>
              </w:rPr>
            </w:pPr>
            <w:r>
              <w:rPr>
                <w:rFonts w:hint="eastAsia" w:ascii="楷体" w:hAnsi="楷体" w:eastAsia="楷体" w:cs="宋体"/>
                <w:color w:val="000000"/>
                <w:kern w:val="0"/>
                <w:sz w:val="28"/>
              </w:rPr>
              <w:t>本公司及董事会全体成员保证信息披露内容的真实、准确和完整，没有虚假记载、误导性陈述或重大遗漏。</w:t>
            </w:r>
          </w:p>
        </w:tc>
      </w:tr>
    </w:tbl>
    <w:p w14:paraId="0A12C80A">
      <w:pPr>
        <w:keepNext w:val="0"/>
        <w:keepLines w:val="0"/>
        <w:pageBreakBefore w:val="0"/>
        <w:widowControl w:val="0"/>
        <w:numPr>
          <w:ilvl w:val="0"/>
          <w:numId w:val="1"/>
        </w:numPr>
        <w:kinsoku/>
        <w:wordWrap/>
        <w:overflowPunct/>
        <w:topLinePunct w:val="0"/>
        <w:autoSpaceDE/>
        <w:autoSpaceDN/>
        <w:bidi w:val="0"/>
        <w:adjustRightInd/>
        <w:snapToGrid/>
        <w:spacing w:line="360" w:lineRule="auto"/>
        <w:ind w:firstLine="562" w:firstLineChars="200"/>
        <w:textAlignment w:val="auto"/>
        <w:outlineLvl w:val="0"/>
        <w:rPr>
          <w:rFonts w:hint="eastAsia" w:ascii="仿宋" w:hAnsi="仿宋" w:eastAsia="仿宋" w:cs="仿宋"/>
          <w:b/>
          <w:bCs/>
          <w:sz w:val="28"/>
          <w:szCs w:val="28"/>
        </w:rPr>
      </w:pPr>
      <w:r>
        <w:rPr>
          <w:rFonts w:hint="eastAsia" w:ascii="仿宋" w:hAnsi="仿宋" w:eastAsia="仿宋" w:cs="仿宋"/>
          <w:b/>
          <w:bCs/>
          <w:sz w:val="28"/>
          <w:szCs w:val="28"/>
        </w:rPr>
        <w:t xml:space="preserve">停牌事由和工作安排 </w:t>
      </w:r>
    </w:p>
    <w:p w14:paraId="728B5B8B">
      <w:pPr>
        <w:numPr>
          <w:ilvl w:val="0"/>
          <w:numId w:val="0"/>
        </w:numPr>
        <w:spacing w:line="360" w:lineRule="auto"/>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广东天亿马信息产业股份有限公司（以下简称“公司”）正在筹划发行股份及支付现金方式购买资产并募集配套资金事项（以下简称“本次交易”）。根据《上市公司重大资产重组管理办法》等相关规定，本次交易预计构成重大资产重组，不构成重组上市。鉴于本次交易尚处于筹划阶段，存在不确定性，为保证公平信息披露，维护投资者利益，避免对公司证券交易造成重大影响，根据深圳证券交易所的相关规定，经公司申请，公司股票（证券简称：</w:t>
      </w:r>
      <w:r>
        <w:rPr>
          <w:rFonts w:hint="eastAsia" w:ascii="仿宋" w:hAnsi="仿宋" w:eastAsia="仿宋" w:cs="仿宋"/>
          <w:sz w:val="28"/>
          <w:szCs w:val="28"/>
          <w:highlight w:val="none"/>
          <w:lang w:val="en-US" w:eastAsia="zh-CN"/>
        </w:rPr>
        <w:t>天亿马</w:t>
      </w:r>
      <w:r>
        <w:rPr>
          <w:rFonts w:hint="eastAsia" w:ascii="仿宋" w:hAnsi="仿宋" w:eastAsia="仿宋" w:cs="仿宋"/>
          <w:sz w:val="28"/>
          <w:szCs w:val="28"/>
          <w:highlight w:val="none"/>
        </w:rPr>
        <w:t>，证券代码：</w:t>
      </w:r>
      <w:r>
        <w:rPr>
          <w:rFonts w:hint="eastAsia" w:ascii="仿宋" w:hAnsi="仿宋" w:eastAsia="仿宋" w:cs="仿宋"/>
          <w:sz w:val="28"/>
          <w:szCs w:val="28"/>
          <w:highlight w:val="none"/>
          <w:lang w:val="en-US" w:eastAsia="zh-CN"/>
        </w:rPr>
        <w:t>301178</w:t>
      </w:r>
      <w:r>
        <w:rPr>
          <w:rFonts w:hint="eastAsia" w:ascii="仿宋" w:hAnsi="仿宋" w:eastAsia="仿宋" w:cs="仿宋"/>
          <w:sz w:val="28"/>
          <w:szCs w:val="28"/>
          <w:highlight w:val="none"/>
        </w:rPr>
        <w:t>）自2025年</w:t>
      </w:r>
      <w:r>
        <w:rPr>
          <w:rFonts w:hint="eastAsia" w:ascii="仿宋" w:hAnsi="仿宋" w:eastAsia="仿宋" w:cs="仿宋"/>
          <w:sz w:val="28"/>
          <w:szCs w:val="28"/>
          <w:highlight w:val="none"/>
          <w:lang w:val="en-US" w:eastAsia="zh-CN"/>
        </w:rPr>
        <w:t>6</w:t>
      </w:r>
      <w:r>
        <w:rPr>
          <w:rFonts w:hint="eastAsia" w:ascii="仿宋" w:hAnsi="仿宋" w:eastAsia="仿宋" w:cs="仿宋"/>
          <w:sz w:val="28"/>
          <w:szCs w:val="28"/>
          <w:highlight w:val="none"/>
        </w:rPr>
        <w:t>月</w:t>
      </w:r>
      <w:r>
        <w:rPr>
          <w:rFonts w:hint="eastAsia" w:ascii="仿宋" w:hAnsi="仿宋" w:eastAsia="仿宋" w:cs="仿宋"/>
          <w:sz w:val="28"/>
          <w:szCs w:val="28"/>
          <w:highlight w:val="none"/>
          <w:lang w:val="en-US" w:eastAsia="zh-CN"/>
        </w:rPr>
        <w:t>10</w:t>
      </w:r>
      <w:r>
        <w:rPr>
          <w:rFonts w:hint="eastAsia" w:ascii="仿宋" w:hAnsi="仿宋" w:eastAsia="仿宋" w:cs="仿宋"/>
          <w:sz w:val="28"/>
          <w:szCs w:val="28"/>
          <w:highlight w:val="none"/>
        </w:rPr>
        <w:t>日开市起停牌。公司预计在不超过10个交易日的时间内披露本次交易方案，即在2025年6月</w:t>
      </w:r>
      <w:r>
        <w:rPr>
          <w:rFonts w:hint="eastAsia" w:ascii="仿宋" w:hAnsi="仿宋" w:eastAsia="仿宋" w:cs="仿宋"/>
          <w:sz w:val="28"/>
          <w:szCs w:val="28"/>
          <w:highlight w:val="none"/>
          <w:lang w:val="en-US" w:eastAsia="zh-CN"/>
        </w:rPr>
        <w:t>24</w:t>
      </w:r>
      <w:r>
        <w:rPr>
          <w:rFonts w:hint="eastAsia" w:ascii="仿宋" w:hAnsi="仿宋" w:eastAsia="仿宋" w:cs="仿宋"/>
          <w:sz w:val="28"/>
          <w:szCs w:val="28"/>
          <w:highlight w:val="none"/>
        </w:rPr>
        <w:t>日前按照《公开发行证券的公司信息披露内容与格式准则第26号——上市公司重大资产重组》的要求披露相关信息。若公司未能在上述期限内召开董事会审议并披露交易方案，公司证券最晚将于2025年6月</w:t>
      </w:r>
      <w:r>
        <w:rPr>
          <w:rFonts w:hint="eastAsia" w:ascii="仿宋" w:hAnsi="仿宋" w:eastAsia="仿宋" w:cs="仿宋"/>
          <w:sz w:val="28"/>
          <w:szCs w:val="28"/>
          <w:highlight w:val="none"/>
          <w:lang w:val="en-US" w:eastAsia="zh-CN"/>
        </w:rPr>
        <w:t>24</w:t>
      </w:r>
      <w:r>
        <w:rPr>
          <w:rFonts w:hint="eastAsia" w:ascii="仿宋" w:hAnsi="仿宋" w:eastAsia="仿宋" w:cs="仿宋"/>
          <w:sz w:val="28"/>
          <w:szCs w:val="28"/>
          <w:highlight w:val="none"/>
        </w:rPr>
        <w:t xml:space="preserve">日开市起复牌并终止筹划相关事项，同时披露停牌期间筹划事项的主要工作、事项进展、对公司的影响以及后续安排等事项，充分提示相关事项的 风险和不确定性，并承诺自披露相关公告之日起至少1个月内不再筹划重大资产重组事项。 </w:t>
      </w:r>
    </w:p>
    <w:p w14:paraId="27C0ABA0">
      <w:pPr>
        <w:keepNext w:val="0"/>
        <w:keepLines w:val="0"/>
        <w:pageBreakBefore w:val="0"/>
        <w:widowControl w:val="0"/>
        <w:numPr>
          <w:ilvl w:val="0"/>
          <w:numId w:val="1"/>
        </w:numPr>
        <w:kinsoku/>
        <w:wordWrap/>
        <w:overflowPunct/>
        <w:topLinePunct w:val="0"/>
        <w:autoSpaceDE/>
        <w:autoSpaceDN/>
        <w:bidi w:val="0"/>
        <w:adjustRightInd/>
        <w:snapToGrid/>
        <w:spacing w:line="360" w:lineRule="auto"/>
        <w:ind w:firstLine="562" w:firstLineChars="200"/>
        <w:textAlignment w:val="auto"/>
        <w:outlineLvl w:val="0"/>
        <w:rPr>
          <w:rFonts w:hint="eastAsia" w:ascii="仿宋" w:hAnsi="仿宋" w:eastAsia="仿宋" w:cs="仿宋"/>
          <w:b/>
          <w:bCs/>
          <w:sz w:val="28"/>
          <w:szCs w:val="28"/>
        </w:rPr>
      </w:pPr>
      <w:r>
        <w:rPr>
          <w:rFonts w:hint="eastAsia" w:ascii="仿宋" w:hAnsi="仿宋" w:eastAsia="仿宋" w:cs="仿宋"/>
          <w:b/>
          <w:bCs/>
          <w:sz w:val="28"/>
          <w:szCs w:val="28"/>
        </w:rPr>
        <w:t>本次筹划事项的基本情况</w:t>
      </w:r>
    </w:p>
    <w:p w14:paraId="6359299E">
      <w:pPr>
        <w:numPr>
          <w:ilvl w:val="0"/>
          <w:numId w:val="2"/>
        </w:num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标的资产基本情况 </w:t>
      </w:r>
    </w:p>
    <w:p w14:paraId="216220B9">
      <w:pPr>
        <w:numPr>
          <w:ilvl w:val="0"/>
          <w:numId w:val="0"/>
        </w:num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本次交易的标的公司为</w:t>
      </w:r>
      <w:r>
        <w:rPr>
          <w:rFonts w:hint="eastAsia" w:ascii="仿宋" w:hAnsi="仿宋" w:eastAsia="仿宋" w:cs="仿宋"/>
          <w:sz w:val="28"/>
          <w:szCs w:val="28"/>
          <w:lang w:val="en-US" w:eastAsia="zh-CN"/>
        </w:rPr>
        <w:t>广东星云开物科技股份有限公司</w:t>
      </w:r>
      <w:r>
        <w:rPr>
          <w:rFonts w:hint="eastAsia" w:ascii="仿宋" w:hAnsi="仿宋" w:eastAsia="仿宋" w:cs="仿宋"/>
          <w:sz w:val="28"/>
          <w:szCs w:val="28"/>
        </w:rPr>
        <w:t>（以下简称“</w:t>
      </w:r>
      <w:r>
        <w:rPr>
          <w:rFonts w:hint="eastAsia" w:ascii="仿宋" w:hAnsi="仿宋" w:eastAsia="仿宋" w:cs="仿宋"/>
          <w:sz w:val="28"/>
          <w:szCs w:val="28"/>
          <w:lang w:val="en-US" w:eastAsia="zh-CN"/>
        </w:rPr>
        <w:t>星云开物</w:t>
      </w:r>
      <w:r>
        <w:rPr>
          <w:rFonts w:hint="eastAsia" w:ascii="仿宋" w:hAnsi="仿宋" w:eastAsia="仿宋" w:cs="仿宋"/>
          <w:sz w:val="28"/>
          <w:szCs w:val="28"/>
        </w:rPr>
        <w:t xml:space="preserve">”或“标的公司”），其基本情况如下： </w:t>
      </w:r>
    </w:p>
    <w:tbl>
      <w:tblPr>
        <w:tblStyle w:val="3"/>
        <w:tblW w:w="8364" w:type="dxa"/>
        <w:tblInd w:w="2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28" w:type="dxa"/>
          <w:bottom w:w="0" w:type="dxa"/>
          <w:right w:w="28" w:type="dxa"/>
        </w:tblCellMar>
      </w:tblPr>
      <w:tblGrid>
        <w:gridCol w:w="2620"/>
        <w:gridCol w:w="5744"/>
      </w:tblGrid>
      <w:tr w14:paraId="580A6CC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c>
          <w:tcPr>
            <w:tcW w:w="2620" w:type="dxa"/>
            <w:shd w:val="clear" w:color="auto" w:fill="D9D9D9"/>
            <w:vAlign w:val="center"/>
          </w:tcPr>
          <w:p w14:paraId="5B0912F0">
            <w:pPr>
              <w:widowControl/>
              <w:ind w:left="105" w:leftChars="50" w:right="105" w:rightChars="50"/>
              <w:jc w:val="left"/>
              <w:rPr>
                <w:rFonts w:hint="eastAsia" w:ascii="仿宋" w:hAnsi="仿宋" w:eastAsia="仿宋" w:cs="仿宋"/>
                <w:b/>
                <w:color w:val="000000"/>
                <w:kern w:val="0"/>
                <w:sz w:val="28"/>
                <w:szCs w:val="28"/>
              </w:rPr>
            </w:pPr>
            <w:r>
              <w:rPr>
                <w:rFonts w:hint="eastAsia" w:ascii="仿宋" w:hAnsi="仿宋" w:eastAsia="仿宋" w:cs="仿宋"/>
                <w:b/>
                <w:color w:val="000000"/>
                <w:kern w:val="0"/>
                <w:sz w:val="28"/>
                <w:szCs w:val="28"/>
              </w:rPr>
              <w:t>公司名称</w:t>
            </w:r>
          </w:p>
        </w:tc>
        <w:tc>
          <w:tcPr>
            <w:tcW w:w="5744" w:type="dxa"/>
            <w:shd w:val="clear" w:color="FFFFFF" w:fill="FFFFFF"/>
            <w:vAlign w:val="center"/>
          </w:tcPr>
          <w:p w14:paraId="06286DD6">
            <w:pPr>
              <w:widowControl/>
              <w:ind w:left="105" w:leftChars="50" w:right="105" w:rightChars="50"/>
              <w:jc w:val="left"/>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广东星云开物科技股份有限公司</w:t>
            </w:r>
          </w:p>
        </w:tc>
      </w:tr>
      <w:tr w14:paraId="0A3839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15" w:hRule="atLeast"/>
        </w:trPr>
        <w:tc>
          <w:tcPr>
            <w:tcW w:w="2620" w:type="dxa"/>
            <w:shd w:val="clear" w:color="auto" w:fill="D9D9D9"/>
            <w:vAlign w:val="center"/>
          </w:tcPr>
          <w:p w14:paraId="5596F800">
            <w:pPr>
              <w:ind w:left="105" w:leftChars="50" w:right="105" w:rightChars="50"/>
              <w:rPr>
                <w:rFonts w:hint="eastAsia" w:ascii="仿宋" w:hAnsi="仿宋" w:eastAsia="仿宋" w:cs="仿宋"/>
                <w:b/>
                <w:color w:val="000000"/>
                <w:kern w:val="0"/>
                <w:sz w:val="28"/>
                <w:szCs w:val="28"/>
              </w:rPr>
            </w:pPr>
            <w:r>
              <w:rPr>
                <w:rFonts w:hint="eastAsia" w:ascii="仿宋" w:hAnsi="仿宋" w:eastAsia="仿宋" w:cs="仿宋"/>
                <w:b/>
                <w:color w:val="000000"/>
                <w:kern w:val="0"/>
                <w:sz w:val="28"/>
                <w:szCs w:val="28"/>
              </w:rPr>
              <w:t>统一社会信用代码</w:t>
            </w:r>
          </w:p>
        </w:tc>
        <w:tc>
          <w:tcPr>
            <w:tcW w:w="5744" w:type="dxa"/>
            <w:vAlign w:val="center"/>
          </w:tcPr>
          <w:p w14:paraId="1BB502C6">
            <w:pPr>
              <w:spacing w:before="100" w:beforeAutospacing="1" w:after="100" w:afterAutospacing="1"/>
              <w:ind w:left="105" w:leftChars="50" w:right="105" w:rightChars="50"/>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914403003591385241</w:t>
            </w:r>
          </w:p>
        </w:tc>
      </w:tr>
      <w:tr w14:paraId="5F6624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rPr>
          <w:trHeight w:val="315" w:hRule="atLeast"/>
        </w:trPr>
        <w:tc>
          <w:tcPr>
            <w:tcW w:w="2620" w:type="dxa"/>
            <w:shd w:val="clear" w:color="auto" w:fill="D9D9D9"/>
            <w:vAlign w:val="center"/>
          </w:tcPr>
          <w:p w14:paraId="25A622F3">
            <w:pPr>
              <w:widowControl/>
              <w:spacing w:before="100" w:beforeAutospacing="1" w:after="100" w:afterAutospacing="1"/>
              <w:ind w:left="105" w:leftChars="50" w:right="105" w:rightChars="50"/>
              <w:jc w:val="left"/>
              <w:rPr>
                <w:rFonts w:hint="eastAsia" w:ascii="仿宋" w:hAnsi="仿宋" w:eastAsia="仿宋" w:cs="仿宋"/>
                <w:b/>
                <w:color w:val="000000"/>
                <w:kern w:val="0"/>
                <w:sz w:val="28"/>
                <w:szCs w:val="28"/>
              </w:rPr>
            </w:pPr>
            <w:r>
              <w:rPr>
                <w:rFonts w:hint="eastAsia" w:ascii="仿宋" w:hAnsi="仿宋" w:eastAsia="仿宋" w:cs="仿宋"/>
                <w:b/>
                <w:color w:val="000000"/>
                <w:kern w:val="0"/>
                <w:sz w:val="28"/>
                <w:szCs w:val="28"/>
              </w:rPr>
              <w:t>法定代表人</w:t>
            </w:r>
          </w:p>
        </w:tc>
        <w:tc>
          <w:tcPr>
            <w:tcW w:w="5744" w:type="dxa"/>
            <w:vAlign w:val="center"/>
          </w:tcPr>
          <w:p w14:paraId="71979619">
            <w:pPr>
              <w:widowControl/>
              <w:spacing w:before="100" w:beforeAutospacing="1" w:after="100" w:afterAutospacing="1"/>
              <w:ind w:left="105" w:leftChars="50" w:right="105" w:rightChars="50"/>
              <w:jc w:val="left"/>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陈耿豪</w:t>
            </w:r>
          </w:p>
        </w:tc>
      </w:tr>
      <w:tr w14:paraId="2986DC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c>
          <w:tcPr>
            <w:tcW w:w="2620" w:type="dxa"/>
            <w:shd w:val="clear" w:color="auto" w:fill="D9D9D9"/>
            <w:vAlign w:val="center"/>
          </w:tcPr>
          <w:p w14:paraId="6C8F9633">
            <w:pPr>
              <w:widowControl/>
              <w:spacing w:before="100" w:beforeAutospacing="1" w:after="100" w:afterAutospacing="1"/>
              <w:ind w:left="105" w:leftChars="50" w:right="105" w:rightChars="50"/>
              <w:jc w:val="left"/>
              <w:rPr>
                <w:rFonts w:hint="eastAsia" w:ascii="仿宋" w:hAnsi="仿宋" w:eastAsia="仿宋" w:cs="仿宋"/>
                <w:b/>
                <w:color w:val="000000"/>
                <w:spacing w:val="180"/>
                <w:kern w:val="0"/>
                <w:sz w:val="28"/>
                <w:szCs w:val="28"/>
              </w:rPr>
            </w:pPr>
            <w:r>
              <w:rPr>
                <w:rFonts w:hint="eastAsia" w:ascii="仿宋" w:hAnsi="仿宋" w:eastAsia="仿宋" w:cs="仿宋"/>
                <w:b/>
                <w:color w:val="000000"/>
                <w:kern w:val="0"/>
                <w:sz w:val="28"/>
                <w:szCs w:val="28"/>
              </w:rPr>
              <w:t>注册资本</w:t>
            </w:r>
          </w:p>
        </w:tc>
        <w:tc>
          <w:tcPr>
            <w:tcW w:w="5744" w:type="dxa"/>
            <w:vAlign w:val="center"/>
          </w:tcPr>
          <w:p w14:paraId="5B821C5C">
            <w:pPr>
              <w:widowControl/>
              <w:spacing w:before="100" w:beforeAutospacing="1" w:after="100" w:afterAutospacing="1"/>
              <w:ind w:left="105" w:leftChars="50" w:right="105" w:rightChars="50"/>
              <w:jc w:val="left"/>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1,110.9129万元</w:t>
            </w:r>
          </w:p>
        </w:tc>
      </w:tr>
      <w:tr w14:paraId="5EC9D1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c>
          <w:tcPr>
            <w:tcW w:w="2620" w:type="dxa"/>
            <w:shd w:val="clear" w:color="auto" w:fill="D9D9D9"/>
            <w:vAlign w:val="center"/>
          </w:tcPr>
          <w:p w14:paraId="3FBEE7D1">
            <w:pPr>
              <w:spacing w:before="100" w:beforeAutospacing="1" w:after="100" w:afterAutospacing="1"/>
              <w:ind w:left="105" w:leftChars="50" w:right="105" w:rightChars="50"/>
              <w:rPr>
                <w:rFonts w:hint="eastAsia" w:ascii="仿宋" w:hAnsi="仿宋" w:eastAsia="仿宋" w:cs="仿宋"/>
                <w:b/>
                <w:color w:val="000000"/>
                <w:kern w:val="0"/>
                <w:sz w:val="28"/>
                <w:szCs w:val="28"/>
              </w:rPr>
            </w:pPr>
            <w:r>
              <w:rPr>
                <w:rFonts w:hint="eastAsia" w:ascii="仿宋" w:hAnsi="仿宋" w:eastAsia="仿宋" w:cs="仿宋"/>
                <w:b/>
                <w:color w:val="000000"/>
                <w:kern w:val="0"/>
                <w:sz w:val="28"/>
                <w:szCs w:val="28"/>
              </w:rPr>
              <w:t>成立日期</w:t>
            </w:r>
          </w:p>
        </w:tc>
        <w:tc>
          <w:tcPr>
            <w:tcW w:w="5744" w:type="dxa"/>
            <w:vAlign w:val="center"/>
          </w:tcPr>
          <w:p w14:paraId="19D01532">
            <w:pPr>
              <w:spacing w:before="100" w:beforeAutospacing="1" w:after="100" w:afterAutospacing="1"/>
              <w:ind w:left="105" w:leftChars="50" w:right="105" w:rightChars="50"/>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2015-10-26</w:t>
            </w:r>
          </w:p>
        </w:tc>
      </w:tr>
      <w:tr w14:paraId="7BAE16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c>
          <w:tcPr>
            <w:tcW w:w="2620" w:type="dxa"/>
            <w:shd w:val="clear" w:color="auto" w:fill="D9D9D9"/>
            <w:vAlign w:val="center"/>
          </w:tcPr>
          <w:p w14:paraId="7F7A710F">
            <w:pPr>
              <w:spacing w:before="100" w:beforeAutospacing="1" w:after="100" w:afterAutospacing="1"/>
              <w:ind w:left="105" w:leftChars="50" w:right="105" w:rightChars="50"/>
              <w:rPr>
                <w:rFonts w:hint="eastAsia" w:ascii="仿宋" w:hAnsi="仿宋" w:eastAsia="仿宋" w:cs="仿宋"/>
                <w:b/>
                <w:color w:val="000000"/>
                <w:kern w:val="0"/>
                <w:sz w:val="28"/>
                <w:szCs w:val="28"/>
              </w:rPr>
            </w:pPr>
            <w:r>
              <w:rPr>
                <w:rFonts w:hint="eastAsia" w:ascii="仿宋" w:hAnsi="仿宋" w:eastAsia="仿宋" w:cs="仿宋"/>
                <w:b/>
                <w:color w:val="000000"/>
                <w:kern w:val="0"/>
                <w:sz w:val="28"/>
                <w:szCs w:val="28"/>
              </w:rPr>
              <w:t>营业期限</w:t>
            </w:r>
          </w:p>
        </w:tc>
        <w:tc>
          <w:tcPr>
            <w:tcW w:w="5744" w:type="dxa"/>
            <w:vAlign w:val="center"/>
          </w:tcPr>
          <w:p w14:paraId="1750392C">
            <w:pPr>
              <w:spacing w:before="100" w:beforeAutospacing="1" w:after="100" w:afterAutospacing="1"/>
              <w:ind w:left="105" w:leftChars="50" w:right="105" w:rightChars="50"/>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2015-10-26至无固定期限</w:t>
            </w:r>
          </w:p>
        </w:tc>
      </w:tr>
      <w:tr w14:paraId="501168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28" w:type="dxa"/>
            <w:bottom w:w="0" w:type="dxa"/>
            <w:right w:w="28" w:type="dxa"/>
          </w:tblCellMar>
        </w:tblPrEx>
        <w:tc>
          <w:tcPr>
            <w:tcW w:w="2620" w:type="dxa"/>
            <w:shd w:val="clear" w:color="auto" w:fill="D9D9D9"/>
            <w:vAlign w:val="center"/>
          </w:tcPr>
          <w:p w14:paraId="60905B4B">
            <w:pPr>
              <w:widowControl/>
              <w:spacing w:before="100" w:beforeAutospacing="1" w:after="100" w:afterAutospacing="1"/>
              <w:ind w:left="105" w:leftChars="50" w:right="105" w:rightChars="50"/>
              <w:jc w:val="left"/>
              <w:rPr>
                <w:rFonts w:hint="eastAsia" w:ascii="仿宋" w:hAnsi="仿宋" w:eastAsia="仿宋" w:cs="仿宋"/>
                <w:b/>
                <w:color w:val="000000"/>
                <w:kern w:val="0"/>
                <w:sz w:val="28"/>
                <w:szCs w:val="28"/>
              </w:rPr>
            </w:pPr>
            <w:r>
              <w:rPr>
                <w:rFonts w:hint="eastAsia" w:ascii="仿宋" w:hAnsi="仿宋" w:eastAsia="仿宋" w:cs="仿宋"/>
                <w:b/>
                <w:color w:val="000000"/>
                <w:kern w:val="0"/>
                <w:sz w:val="28"/>
                <w:szCs w:val="28"/>
              </w:rPr>
              <w:t>经营范围</w:t>
            </w:r>
          </w:p>
        </w:tc>
        <w:tc>
          <w:tcPr>
            <w:tcW w:w="5744" w:type="dxa"/>
            <w:vAlign w:val="center"/>
          </w:tcPr>
          <w:p w14:paraId="1D0B2830">
            <w:pPr>
              <w:widowControl/>
              <w:spacing w:before="100" w:beforeAutospacing="1" w:after="100" w:afterAutospacing="1"/>
              <w:ind w:left="105" w:leftChars="50" w:right="105" w:rightChars="50"/>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机动车充电销售；充电桩销售；电动汽车充电基础设施运营；集中式快速充电站；商业、饮食、服务专用设备制造；市场营销策划；移动终端设备销售；通信设备销售；集成电路设计；物联网技术服务；计算机系统服务；数据处理服务；信息系统集成服务；工业互联网数据服务；网络与信息安全软件开发；广告设计、代理；技术服务、技术开发、技术咨询、技术交流、技术转让、技术推广；网络技术服务；国内贸易代理；计算机软硬件及辅助设备批发；信息安全设备销售；信息技术咨询服务；软件开发；软件销售；电子产品销售；互联网销售（除销售需要许可的商品）；第二类增值电信业务；技术进出口；货物进出口；</w:t>
            </w:r>
          </w:p>
        </w:tc>
      </w:tr>
    </w:tbl>
    <w:p w14:paraId="3DB53E23">
      <w:pPr>
        <w:numPr>
          <w:ilvl w:val="0"/>
          <w:numId w:val="0"/>
        </w:numPr>
        <w:spacing w:line="360" w:lineRule="auto"/>
        <w:ind w:firstLine="560" w:firstLineChars="200"/>
        <w:rPr>
          <w:rFonts w:hint="default" w:ascii="仿宋" w:hAnsi="仿宋" w:eastAsia="仿宋" w:cs="仿宋"/>
          <w:sz w:val="28"/>
          <w:szCs w:val="28"/>
          <w:lang w:val="en-US" w:eastAsia="zh-CN"/>
        </w:rPr>
      </w:pPr>
      <w:r>
        <w:rPr>
          <w:rFonts w:hint="default" w:ascii="仿宋" w:hAnsi="仿宋" w:eastAsia="仿宋" w:cs="仿宋"/>
          <w:sz w:val="28"/>
          <w:szCs w:val="28"/>
          <w:lang w:val="en-US" w:eastAsia="zh-CN"/>
        </w:rPr>
        <w:t>标的公司是一家智能自助设备数字化服务平台公司，专注于提供</w:t>
      </w:r>
      <w:r>
        <w:rPr>
          <w:rFonts w:hint="eastAsia" w:ascii="仿宋" w:hAnsi="仿宋" w:eastAsia="仿宋" w:cs="仿宋"/>
          <w:sz w:val="28"/>
          <w:szCs w:val="28"/>
          <w:lang w:val="en-US" w:eastAsia="zh-CN"/>
        </w:rPr>
        <w:t>“</w:t>
      </w:r>
      <w:r>
        <w:rPr>
          <w:rFonts w:hint="default" w:ascii="仿宋" w:hAnsi="仿宋" w:eastAsia="仿宋" w:cs="仿宋"/>
          <w:sz w:val="28"/>
          <w:szCs w:val="28"/>
          <w:lang w:val="en-US" w:eastAsia="zh-CN"/>
        </w:rPr>
        <w:t>智能物联网硬件+SaaS</w:t>
      </w:r>
      <w:r>
        <w:rPr>
          <w:rFonts w:hint="eastAsia" w:ascii="仿宋" w:hAnsi="仿宋" w:eastAsia="仿宋" w:cs="仿宋"/>
          <w:sz w:val="28"/>
          <w:szCs w:val="28"/>
          <w:lang w:val="en-US" w:eastAsia="zh-CN"/>
        </w:rPr>
        <w:t>”</w:t>
      </w:r>
      <w:r>
        <w:rPr>
          <w:rFonts w:hint="default" w:ascii="仿宋" w:hAnsi="仿宋" w:eastAsia="仿宋" w:cs="仿宋"/>
          <w:sz w:val="28"/>
          <w:szCs w:val="28"/>
          <w:lang w:val="en-US" w:eastAsia="zh-CN"/>
        </w:rPr>
        <w:t>系统一体化解决方案，为线下超过300万台自助设备实现“IoT物联网+SaaS云平台”管理，赋能工厂、运营商提升经营效益和管理效率。标的公司</w:t>
      </w:r>
      <w:r>
        <w:rPr>
          <w:rFonts w:hint="eastAsia" w:ascii="仿宋" w:hAnsi="仿宋" w:eastAsia="仿宋" w:cs="仿宋"/>
          <w:sz w:val="28"/>
          <w:szCs w:val="28"/>
          <w:lang w:val="en-US" w:eastAsia="zh-CN"/>
        </w:rPr>
        <w:t>为</w:t>
      </w:r>
      <w:r>
        <w:rPr>
          <w:rFonts w:hint="default" w:ascii="仿宋" w:hAnsi="仿宋" w:eastAsia="仿宋" w:cs="仿宋"/>
          <w:sz w:val="28"/>
          <w:szCs w:val="28"/>
          <w:lang w:val="en-US" w:eastAsia="zh-CN"/>
        </w:rPr>
        <w:t>国家级高新技术企业，技术研发实力雄厚，</w:t>
      </w:r>
      <w:r>
        <w:rPr>
          <w:rFonts w:hint="eastAsia" w:ascii="仿宋" w:hAnsi="仿宋" w:eastAsia="仿宋" w:cs="仿宋"/>
          <w:sz w:val="28"/>
          <w:szCs w:val="28"/>
          <w:lang w:val="en-US" w:eastAsia="zh-CN"/>
        </w:rPr>
        <w:t>拥有</w:t>
      </w:r>
      <w:r>
        <w:rPr>
          <w:rFonts w:hint="default" w:ascii="仿宋" w:hAnsi="仿宋" w:eastAsia="仿宋" w:cs="仿宋"/>
          <w:sz w:val="28"/>
          <w:szCs w:val="28"/>
          <w:lang w:val="en-US" w:eastAsia="zh-CN"/>
        </w:rPr>
        <w:t>发明专利55项</w:t>
      </w:r>
      <w:r>
        <w:rPr>
          <w:rFonts w:hint="eastAsia" w:ascii="仿宋" w:hAnsi="仿宋" w:eastAsia="仿宋" w:cs="仿宋"/>
          <w:sz w:val="28"/>
          <w:szCs w:val="28"/>
          <w:lang w:val="en-US" w:eastAsia="zh-CN"/>
        </w:rPr>
        <w:t>、</w:t>
      </w:r>
      <w:r>
        <w:rPr>
          <w:rFonts w:hint="default" w:ascii="仿宋" w:hAnsi="仿宋" w:eastAsia="仿宋" w:cs="仿宋"/>
          <w:sz w:val="28"/>
          <w:szCs w:val="28"/>
          <w:lang w:val="en-US" w:eastAsia="zh-CN"/>
        </w:rPr>
        <w:t>实用新型专利95项</w:t>
      </w:r>
      <w:r>
        <w:rPr>
          <w:rFonts w:hint="eastAsia" w:ascii="仿宋" w:hAnsi="仿宋" w:eastAsia="仿宋" w:cs="仿宋"/>
          <w:sz w:val="28"/>
          <w:szCs w:val="28"/>
          <w:lang w:val="en-US" w:eastAsia="zh-CN"/>
        </w:rPr>
        <w:t>、</w:t>
      </w:r>
      <w:r>
        <w:rPr>
          <w:rFonts w:hint="default" w:ascii="仿宋" w:hAnsi="仿宋" w:eastAsia="仿宋" w:cs="仿宋"/>
          <w:sz w:val="28"/>
          <w:szCs w:val="28"/>
          <w:lang w:val="en-US" w:eastAsia="zh-CN"/>
        </w:rPr>
        <w:t>软件著作权115项</w:t>
      </w:r>
      <w:r>
        <w:rPr>
          <w:rFonts w:hint="eastAsia" w:ascii="仿宋" w:hAnsi="仿宋" w:eastAsia="仿宋" w:cs="仿宋"/>
          <w:sz w:val="28"/>
          <w:szCs w:val="28"/>
          <w:lang w:val="en-US" w:eastAsia="zh-CN"/>
        </w:rPr>
        <w:t>，</w:t>
      </w:r>
      <w:r>
        <w:rPr>
          <w:rFonts w:hint="default" w:ascii="仿宋" w:hAnsi="仿宋" w:eastAsia="仿宋" w:cs="仿宋"/>
          <w:sz w:val="28"/>
          <w:szCs w:val="28"/>
          <w:lang w:val="en-US" w:eastAsia="zh-CN"/>
        </w:rPr>
        <w:t>2023年</w:t>
      </w:r>
      <w:r>
        <w:rPr>
          <w:rFonts w:hint="eastAsia" w:ascii="仿宋" w:hAnsi="仿宋" w:eastAsia="仿宋" w:cs="仿宋"/>
          <w:sz w:val="28"/>
          <w:szCs w:val="28"/>
          <w:lang w:val="en-US" w:eastAsia="zh-CN"/>
        </w:rPr>
        <w:t>、</w:t>
      </w:r>
      <w:r>
        <w:rPr>
          <w:rFonts w:hint="default" w:ascii="仿宋" w:hAnsi="仿宋" w:eastAsia="仿宋" w:cs="仿宋"/>
          <w:sz w:val="28"/>
          <w:szCs w:val="28"/>
          <w:lang w:val="en-US" w:eastAsia="zh-CN"/>
        </w:rPr>
        <w:t>2024年度</w:t>
      </w:r>
      <w:r>
        <w:rPr>
          <w:rFonts w:hint="eastAsia" w:ascii="仿宋" w:hAnsi="仿宋" w:eastAsia="仿宋" w:cs="仿宋"/>
          <w:sz w:val="28"/>
          <w:szCs w:val="28"/>
          <w:lang w:val="en-US" w:eastAsia="zh-CN"/>
        </w:rPr>
        <w:t>先后</w:t>
      </w:r>
      <w:r>
        <w:rPr>
          <w:rFonts w:hint="default" w:ascii="仿宋" w:hAnsi="仿宋" w:eastAsia="仿宋" w:cs="仿宋"/>
          <w:sz w:val="28"/>
          <w:szCs w:val="28"/>
          <w:lang w:val="en-US" w:eastAsia="zh-CN"/>
        </w:rPr>
        <w:t>被工业和信息化部评为“专精特新‘小巨人’企业”“国家级专精特新重点‘小巨人’企业”。</w:t>
      </w:r>
    </w:p>
    <w:p w14:paraId="691B23BA">
      <w:pPr>
        <w:numPr>
          <w:ilvl w:val="0"/>
          <w:numId w:val="2"/>
        </w:numPr>
        <w:spacing w:line="360" w:lineRule="auto"/>
        <w:ind w:left="0" w:leftChars="0" w:firstLine="560" w:firstLineChars="200"/>
        <w:rPr>
          <w:rFonts w:hint="eastAsia" w:ascii="仿宋" w:hAnsi="仿宋" w:eastAsia="仿宋" w:cs="仿宋"/>
          <w:sz w:val="28"/>
          <w:szCs w:val="28"/>
        </w:rPr>
      </w:pPr>
      <w:r>
        <w:rPr>
          <w:rFonts w:hint="eastAsia" w:ascii="仿宋" w:hAnsi="仿宋" w:eastAsia="仿宋" w:cs="仿宋"/>
          <w:sz w:val="28"/>
          <w:szCs w:val="28"/>
        </w:rPr>
        <w:t xml:space="preserve">交易对方基本情况 </w:t>
      </w:r>
    </w:p>
    <w:p w14:paraId="4F72278E">
      <w:pPr>
        <w:numPr>
          <w:ilvl w:val="0"/>
          <w:numId w:val="0"/>
        </w:num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本次交易事项尚处于筹划阶段，初步确定的交易对方为标的公司的主要股东，包括：陈耿豪</w:t>
      </w:r>
      <w:r>
        <w:rPr>
          <w:rFonts w:hint="eastAsia" w:ascii="仿宋" w:hAnsi="仿宋" w:eastAsia="仿宋" w:cs="仿宋"/>
          <w:sz w:val="28"/>
          <w:szCs w:val="28"/>
          <w:lang w:eastAsia="zh-CN"/>
        </w:rPr>
        <w:t>、</w:t>
      </w:r>
      <w:r>
        <w:rPr>
          <w:rFonts w:hint="eastAsia" w:ascii="仿宋" w:hAnsi="仿宋" w:eastAsia="仿宋" w:cs="仿宋"/>
          <w:sz w:val="28"/>
          <w:szCs w:val="28"/>
        </w:rPr>
        <w:t>珠海乐摇投资合伙企业（有限合伙）</w:t>
      </w:r>
      <w:r>
        <w:rPr>
          <w:rFonts w:hint="eastAsia" w:ascii="仿宋" w:hAnsi="仿宋" w:eastAsia="仿宋" w:cs="仿宋"/>
          <w:sz w:val="28"/>
          <w:szCs w:val="28"/>
          <w:lang w:eastAsia="zh-CN"/>
        </w:rPr>
        <w:t>、</w:t>
      </w:r>
      <w:r>
        <w:rPr>
          <w:rFonts w:hint="eastAsia" w:ascii="仿宋" w:hAnsi="仿宋" w:eastAsia="仿宋" w:cs="仿宋"/>
          <w:sz w:val="28"/>
          <w:szCs w:val="28"/>
        </w:rPr>
        <w:t>珠海乐熙熙投资合伙企业（有限合伙）</w:t>
      </w:r>
      <w:r>
        <w:rPr>
          <w:rFonts w:hint="eastAsia" w:ascii="仿宋" w:hAnsi="仿宋" w:eastAsia="仿宋" w:cs="仿宋"/>
          <w:sz w:val="28"/>
          <w:szCs w:val="28"/>
          <w:lang w:eastAsia="zh-CN"/>
        </w:rPr>
        <w:t>、</w:t>
      </w:r>
      <w:r>
        <w:rPr>
          <w:rFonts w:hint="eastAsia" w:ascii="仿宋" w:hAnsi="仿宋" w:eastAsia="仿宋" w:cs="仿宋"/>
          <w:sz w:val="28"/>
          <w:szCs w:val="28"/>
        </w:rPr>
        <w:t>珠海乐哈哈投资合伙企业（有限合伙）</w:t>
      </w:r>
      <w:r>
        <w:rPr>
          <w:rFonts w:hint="eastAsia" w:ascii="仿宋" w:hAnsi="仿宋" w:eastAsia="仿宋" w:cs="仿宋"/>
          <w:sz w:val="28"/>
          <w:szCs w:val="28"/>
          <w:lang w:eastAsia="zh-CN"/>
        </w:rPr>
        <w:t>、</w:t>
      </w:r>
      <w:r>
        <w:rPr>
          <w:rFonts w:hint="eastAsia" w:ascii="仿宋" w:hAnsi="仿宋" w:eastAsia="仿宋" w:cs="仿宋"/>
          <w:sz w:val="28"/>
          <w:szCs w:val="28"/>
        </w:rPr>
        <w:t>珠海乐洋洋投资合伙企业（有限合伙）</w:t>
      </w:r>
      <w:r>
        <w:rPr>
          <w:rFonts w:hint="eastAsia" w:ascii="仿宋" w:hAnsi="仿宋" w:eastAsia="仿宋" w:cs="仿宋"/>
          <w:sz w:val="28"/>
          <w:szCs w:val="28"/>
          <w:lang w:eastAsia="zh-CN"/>
        </w:rPr>
        <w:t>、</w:t>
      </w:r>
      <w:r>
        <w:rPr>
          <w:rFonts w:hint="eastAsia" w:ascii="仿宋" w:hAnsi="仿宋" w:eastAsia="仿宋" w:cs="仿宋"/>
          <w:sz w:val="28"/>
          <w:szCs w:val="28"/>
        </w:rPr>
        <w:t>珠海乐陶陶投资合伙企业（有限合伙）</w:t>
      </w:r>
      <w:r>
        <w:rPr>
          <w:rFonts w:hint="eastAsia" w:ascii="仿宋" w:hAnsi="仿宋" w:eastAsia="仿宋" w:cs="仿宋"/>
          <w:sz w:val="28"/>
          <w:szCs w:val="28"/>
          <w:lang w:eastAsia="zh-CN"/>
        </w:rPr>
        <w:t>、</w:t>
      </w:r>
      <w:r>
        <w:rPr>
          <w:rFonts w:hint="eastAsia" w:ascii="仿宋" w:hAnsi="仿宋" w:eastAsia="仿宋" w:cs="仿宋"/>
          <w:sz w:val="28"/>
          <w:szCs w:val="28"/>
        </w:rPr>
        <w:t xml:space="preserve">珠海乐腾腾投资合伙企业（有限合伙）。本次交易对方的范围尚未最终确定，最终确定的交易对方以公司后续公告的重组预案或重组报告书披露的信息为准。 </w:t>
      </w:r>
    </w:p>
    <w:p w14:paraId="119BFB31">
      <w:pPr>
        <w:numPr>
          <w:ilvl w:val="0"/>
          <w:numId w:val="2"/>
        </w:numPr>
        <w:spacing w:line="360" w:lineRule="auto"/>
        <w:ind w:left="0" w:leftChars="0" w:firstLine="560" w:firstLineChars="200"/>
        <w:rPr>
          <w:rFonts w:hint="eastAsia" w:ascii="仿宋" w:hAnsi="仿宋" w:eastAsia="仿宋" w:cs="仿宋"/>
          <w:sz w:val="28"/>
          <w:szCs w:val="28"/>
        </w:rPr>
      </w:pPr>
      <w:r>
        <w:rPr>
          <w:rFonts w:hint="eastAsia" w:ascii="仿宋" w:hAnsi="仿宋" w:eastAsia="仿宋" w:cs="仿宋"/>
          <w:sz w:val="28"/>
          <w:szCs w:val="28"/>
        </w:rPr>
        <w:t>交易方式</w:t>
      </w:r>
    </w:p>
    <w:p w14:paraId="42297EDF">
      <w:pPr>
        <w:numPr>
          <w:ilvl w:val="0"/>
          <w:numId w:val="0"/>
        </w:num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公司拟通过发行股份及支付现金方式购买</w:t>
      </w:r>
      <w:r>
        <w:rPr>
          <w:rFonts w:hint="eastAsia" w:ascii="仿宋" w:hAnsi="仿宋" w:eastAsia="仿宋" w:cs="仿宋"/>
          <w:sz w:val="28"/>
          <w:szCs w:val="28"/>
          <w:lang w:val="en-US" w:eastAsia="zh-CN"/>
        </w:rPr>
        <w:t>星云开物全部或部分</w:t>
      </w:r>
      <w:r>
        <w:rPr>
          <w:rFonts w:hint="eastAsia" w:ascii="仿宋" w:hAnsi="仿宋" w:eastAsia="仿宋" w:cs="仿宋"/>
          <w:sz w:val="28"/>
          <w:szCs w:val="28"/>
        </w:rPr>
        <w:t>股权</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取得控股权</w:t>
      </w:r>
      <w:r>
        <w:rPr>
          <w:rFonts w:hint="eastAsia" w:ascii="仿宋" w:hAnsi="仿宋" w:eastAsia="仿宋" w:cs="仿宋"/>
          <w:sz w:val="28"/>
          <w:szCs w:val="28"/>
          <w:lang w:eastAsia="zh-CN"/>
        </w:rPr>
        <w:t>）</w:t>
      </w:r>
      <w:r>
        <w:rPr>
          <w:rFonts w:hint="eastAsia" w:ascii="仿宋" w:hAnsi="仿宋" w:eastAsia="仿宋" w:cs="仿宋"/>
          <w:sz w:val="28"/>
          <w:szCs w:val="28"/>
        </w:rPr>
        <w:t xml:space="preserve">并募集配套资金。本次交易不会导致公司实际控制人变更，最终交易对方、标的资产范围等具体方案，应以重组预案或重组报告书披露的信息为准。 </w:t>
      </w:r>
      <w:bookmarkStart w:id="0" w:name="_GoBack"/>
      <w:bookmarkEnd w:id="0"/>
    </w:p>
    <w:p w14:paraId="79CCDA88">
      <w:pPr>
        <w:numPr>
          <w:ilvl w:val="0"/>
          <w:numId w:val="2"/>
        </w:numPr>
        <w:spacing w:line="360" w:lineRule="auto"/>
        <w:ind w:left="0" w:leftChars="0" w:firstLine="560" w:firstLineChars="200"/>
        <w:rPr>
          <w:rFonts w:hint="eastAsia" w:ascii="仿宋" w:hAnsi="仿宋" w:eastAsia="仿宋" w:cs="仿宋"/>
          <w:sz w:val="28"/>
          <w:szCs w:val="28"/>
        </w:rPr>
      </w:pPr>
      <w:r>
        <w:rPr>
          <w:rFonts w:hint="eastAsia" w:ascii="仿宋" w:hAnsi="仿宋" w:eastAsia="仿宋" w:cs="仿宋"/>
          <w:sz w:val="28"/>
          <w:szCs w:val="28"/>
        </w:rPr>
        <w:t>本次重组的意向性文件</w:t>
      </w:r>
    </w:p>
    <w:p w14:paraId="6C94758E">
      <w:pPr>
        <w:numPr>
          <w:ilvl w:val="0"/>
          <w:numId w:val="0"/>
        </w:num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公司与交易对方陈耿豪</w:t>
      </w:r>
      <w:r>
        <w:rPr>
          <w:rFonts w:hint="eastAsia" w:ascii="仿宋" w:hAnsi="仿宋" w:eastAsia="仿宋" w:cs="仿宋"/>
          <w:sz w:val="28"/>
          <w:szCs w:val="28"/>
          <w:lang w:eastAsia="zh-CN"/>
        </w:rPr>
        <w:t>、</w:t>
      </w:r>
      <w:r>
        <w:rPr>
          <w:rFonts w:hint="eastAsia" w:ascii="仿宋" w:hAnsi="仿宋" w:eastAsia="仿宋" w:cs="仿宋"/>
          <w:sz w:val="28"/>
          <w:szCs w:val="28"/>
        </w:rPr>
        <w:t>珠海乐摇投资合伙企业（有限合伙）</w:t>
      </w:r>
      <w:r>
        <w:rPr>
          <w:rFonts w:hint="eastAsia" w:ascii="仿宋" w:hAnsi="仿宋" w:eastAsia="仿宋" w:cs="仿宋"/>
          <w:sz w:val="28"/>
          <w:szCs w:val="28"/>
          <w:lang w:eastAsia="zh-CN"/>
        </w:rPr>
        <w:t>、</w:t>
      </w:r>
      <w:r>
        <w:rPr>
          <w:rFonts w:hint="eastAsia" w:ascii="仿宋" w:hAnsi="仿宋" w:eastAsia="仿宋" w:cs="仿宋"/>
          <w:sz w:val="28"/>
          <w:szCs w:val="28"/>
        </w:rPr>
        <w:t>珠海乐熙熙投资合伙企业（有限合伙）</w:t>
      </w:r>
      <w:r>
        <w:rPr>
          <w:rFonts w:hint="eastAsia" w:ascii="仿宋" w:hAnsi="仿宋" w:eastAsia="仿宋" w:cs="仿宋"/>
          <w:sz w:val="28"/>
          <w:szCs w:val="28"/>
          <w:lang w:eastAsia="zh-CN"/>
        </w:rPr>
        <w:t>、</w:t>
      </w:r>
      <w:r>
        <w:rPr>
          <w:rFonts w:hint="eastAsia" w:ascii="仿宋" w:hAnsi="仿宋" w:eastAsia="仿宋" w:cs="仿宋"/>
          <w:sz w:val="28"/>
          <w:szCs w:val="28"/>
        </w:rPr>
        <w:t>珠海乐哈哈投资合伙企业（有限合伙）</w:t>
      </w:r>
      <w:r>
        <w:rPr>
          <w:rFonts w:hint="eastAsia" w:ascii="仿宋" w:hAnsi="仿宋" w:eastAsia="仿宋" w:cs="仿宋"/>
          <w:sz w:val="28"/>
          <w:szCs w:val="28"/>
          <w:lang w:eastAsia="zh-CN"/>
        </w:rPr>
        <w:t>、</w:t>
      </w:r>
      <w:r>
        <w:rPr>
          <w:rFonts w:hint="eastAsia" w:ascii="仿宋" w:hAnsi="仿宋" w:eastAsia="仿宋" w:cs="仿宋"/>
          <w:sz w:val="28"/>
          <w:szCs w:val="28"/>
        </w:rPr>
        <w:t>珠海乐洋洋投资合伙企业（有限合伙）</w:t>
      </w:r>
      <w:r>
        <w:rPr>
          <w:rFonts w:hint="eastAsia" w:ascii="仿宋" w:hAnsi="仿宋" w:eastAsia="仿宋" w:cs="仿宋"/>
          <w:sz w:val="28"/>
          <w:szCs w:val="28"/>
          <w:lang w:eastAsia="zh-CN"/>
        </w:rPr>
        <w:t>、</w:t>
      </w:r>
      <w:r>
        <w:rPr>
          <w:rFonts w:hint="eastAsia" w:ascii="仿宋" w:hAnsi="仿宋" w:eastAsia="仿宋" w:cs="仿宋"/>
          <w:sz w:val="28"/>
          <w:szCs w:val="28"/>
        </w:rPr>
        <w:t>珠海乐陶陶投资合伙企业（有限合伙）</w:t>
      </w:r>
      <w:r>
        <w:rPr>
          <w:rFonts w:hint="eastAsia" w:ascii="仿宋" w:hAnsi="仿宋" w:eastAsia="仿宋" w:cs="仿宋"/>
          <w:sz w:val="28"/>
          <w:szCs w:val="28"/>
          <w:lang w:eastAsia="zh-CN"/>
        </w:rPr>
        <w:t>、</w:t>
      </w:r>
      <w:r>
        <w:rPr>
          <w:rFonts w:hint="eastAsia" w:ascii="仿宋" w:hAnsi="仿宋" w:eastAsia="仿宋" w:cs="仿宋"/>
          <w:sz w:val="28"/>
          <w:szCs w:val="28"/>
        </w:rPr>
        <w:t xml:space="preserve">珠海乐腾腾投资合伙企业（有限合伙）签署了《关于广东星云开物科技股份有限公司的股份收购意向协议》，初步达成购买资产意向，最终股份转让数量、比例、交易价格、支付方式由交易各方另行签署正式协议确定。 </w:t>
      </w:r>
    </w:p>
    <w:p w14:paraId="512381EB">
      <w:pPr>
        <w:numPr>
          <w:ilvl w:val="0"/>
          <w:numId w:val="0"/>
        </w:num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上述协议为关于本次重组的意向协议，仅为达成并确认初步交易之目的，本次重组方案仍在论证过程中，具体细节有待进一步磋商，</w:t>
      </w:r>
      <w:r>
        <w:rPr>
          <w:rFonts w:hint="eastAsia" w:ascii="仿宋" w:hAnsi="仿宋" w:eastAsia="仿宋" w:cs="仿宋"/>
          <w:sz w:val="28"/>
          <w:szCs w:val="28"/>
          <w:lang w:val="en-US" w:eastAsia="zh-CN"/>
        </w:rPr>
        <w:t>各方</w:t>
      </w:r>
      <w:r>
        <w:rPr>
          <w:rFonts w:hint="eastAsia" w:ascii="仿宋" w:hAnsi="仿宋" w:eastAsia="仿宋" w:cs="仿宋"/>
          <w:sz w:val="28"/>
          <w:szCs w:val="28"/>
        </w:rPr>
        <w:t>的权利义务以正式签署的最终协议为准。</w:t>
      </w:r>
    </w:p>
    <w:p w14:paraId="536AA313">
      <w:pPr>
        <w:keepNext w:val="0"/>
        <w:keepLines w:val="0"/>
        <w:pageBreakBefore w:val="0"/>
        <w:widowControl w:val="0"/>
        <w:numPr>
          <w:ilvl w:val="0"/>
          <w:numId w:val="1"/>
        </w:numPr>
        <w:kinsoku/>
        <w:wordWrap/>
        <w:overflowPunct/>
        <w:topLinePunct w:val="0"/>
        <w:autoSpaceDE/>
        <w:autoSpaceDN/>
        <w:bidi w:val="0"/>
        <w:adjustRightInd/>
        <w:snapToGrid/>
        <w:spacing w:line="360" w:lineRule="auto"/>
        <w:ind w:firstLine="562" w:firstLineChars="200"/>
        <w:textAlignment w:val="auto"/>
        <w:outlineLvl w:val="0"/>
        <w:rPr>
          <w:rFonts w:hint="eastAsia" w:ascii="仿宋" w:hAnsi="仿宋" w:eastAsia="仿宋" w:cs="仿宋"/>
          <w:b/>
          <w:bCs/>
          <w:sz w:val="28"/>
          <w:szCs w:val="28"/>
        </w:rPr>
      </w:pPr>
      <w:r>
        <w:rPr>
          <w:rFonts w:hint="eastAsia" w:ascii="仿宋" w:hAnsi="仿宋" w:eastAsia="仿宋" w:cs="仿宋"/>
          <w:b/>
          <w:bCs/>
          <w:sz w:val="28"/>
          <w:szCs w:val="28"/>
        </w:rPr>
        <w:t>停牌期间安排</w:t>
      </w:r>
    </w:p>
    <w:p w14:paraId="4D19BE3F">
      <w:pPr>
        <w:numPr>
          <w:ilvl w:val="0"/>
          <w:numId w:val="0"/>
        </w:num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公司自停牌之日起将按照相关规定，积极开展各项工作，履行必要的报批和审议程序，按照承诺期限向深圳证券交易所提交并披露符合相关规定要求的文件。 </w:t>
      </w:r>
    </w:p>
    <w:p w14:paraId="703A320B">
      <w:pPr>
        <w:keepNext w:val="0"/>
        <w:keepLines w:val="0"/>
        <w:pageBreakBefore w:val="0"/>
        <w:widowControl w:val="0"/>
        <w:numPr>
          <w:ilvl w:val="0"/>
          <w:numId w:val="1"/>
        </w:numPr>
        <w:kinsoku/>
        <w:wordWrap/>
        <w:overflowPunct/>
        <w:topLinePunct w:val="0"/>
        <w:autoSpaceDE/>
        <w:autoSpaceDN/>
        <w:bidi w:val="0"/>
        <w:adjustRightInd/>
        <w:snapToGrid/>
        <w:spacing w:line="360" w:lineRule="auto"/>
        <w:ind w:firstLine="562" w:firstLineChars="200"/>
        <w:textAlignment w:val="auto"/>
        <w:outlineLvl w:val="0"/>
        <w:rPr>
          <w:rFonts w:hint="eastAsia" w:ascii="仿宋" w:hAnsi="仿宋" w:eastAsia="仿宋" w:cs="仿宋"/>
          <w:b/>
          <w:bCs/>
          <w:sz w:val="28"/>
          <w:szCs w:val="28"/>
        </w:rPr>
      </w:pPr>
      <w:r>
        <w:rPr>
          <w:rFonts w:hint="eastAsia" w:ascii="仿宋" w:hAnsi="仿宋" w:eastAsia="仿宋" w:cs="仿宋"/>
          <w:b/>
          <w:bCs/>
          <w:sz w:val="28"/>
          <w:szCs w:val="28"/>
        </w:rPr>
        <w:t>必要风险提示</w:t>
      </w:r>
    </w:p>
    <w:p w14:paraId="42C9565C">
      <w:pPr>
        <w:numPr>
          <w:ilvl w:val="0"/>
          <w:numId w:val="0"/>
        </w:num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公司筹划发行股份及支付现金购买资产并募集配套资金事项目前正处于筹划阶段，交易各方尚未签署正式的交易协议</w:t>
      </w:r>
      <w:r>
        <w:rPr>
          <w:rFonts w:hint="eastAsia" w:ascii="仿宋" w:hAnsi="仿宋" w:eastAsia="仿宋" w:cs="仿宋"/>
          <w:sz w:val="28"/>
          <w:szCs w:val="28"/>
          <w:lang w:eastAsia="zh-CN"/>
        </w:rPr>
        <w:t>。</w:t>
      </w:r>
      <w:r>
        <w:rPr>
          <w:rFonts w:hint="eastAsia" w:ascii="仿宋" w:hAnsi="仿宋" w:eastAsia="仿宋" w:cs="仿宋"/>
          <w:sz w:val="28"/>
          <w:szCs w:val="28"/>
        </w:rPr>
        <w:t>具体交易方案仍在商讨论证中，尚存在不确定性。本次交易尚需履行必要的内部决策程序，并经有权监管机构批准后方可正式实施，能否通过审批尚存在一定不确定性，敬请广大投资者理性投资，注意投资风险。</w:t>
      </w:r>
    </w:p>
    <w:p w14:paraId="28B29981">
      <w:pPr>
        <w:keepNext w:val="0"/>
        <w:keepLines w:val="0"/>
        <w:pageBreakBefore w:val="0"/>
        <w:widowControl w:val="0"/>
        <w:numPr>
          <w:ilvl w:val="0"/>
          <w:numId w:val="1"/>
        </w:numPr>
        <w:kinsoku/>
        <w:wordWrap/>
        <w:overflowPunct/>
        <w:topLinePunct w:val="0"/>
        <w:autoSpaceDE/>
        <w:autoSpaceDN/>
        <w:bidi w:val="0"/>
        <w:adjustRightInd/>
        <w:snapToGrid/>
        <w:spacing w:line="360" w:lineRule="auto"/>
        <w:ind w:firstLine="562" w:firstLineChars="200"/>
        <w:textAlignment w:val="auto"/>
        <w:outlineLvl w:val="0"/>
        <w:rPr>
          <w:rFonts w:hint="eastAsia" w:ascii="仿宋" w:hAnsi="仿宋" w:eastAsia="仿宋" w:cs="仿宋"/>
          <w:b/>
          <w:bCs/>
          <w:sz w:val="28"/>
          <w:szCs w:val="28"/>
        </w:rPr>
      </w:pPr>
      <w:r>
        <w:rPr>
          <w:rFonts w:hint="eastAsia" w:ascii="仿宋" w:hAnsi="仿宋" w:eastAsia="仿宋" w:cs="仿宋"/>
          <w:b/>
          <w:bCs/>
          <w:sz w:val="28"/>
          <w:szCs w:val="28"/>
        </w:rPr>
        <w:t xml:space="preserve">备查文件 </w:t>
      </w:r>
    </w:p>
    <w:p w14:paraId="4AEB8249">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1.</w:t>
      </w:r>
      <w:r>
        <w:rPr>
          <w:rFonts w:hint="eastAsia" w:ascii="仿宋" w:hAnsi="仿宋" w:eastAsia="仿宋" w:cs="仿宋"/>
          <w:sz w:val="28"/>
          <w:szCs w:val="28"/>
        </w:rPr>
        <w:t xml:space="preserve">经公司董事长签字、董事会盖章的《上市公司重大资产重组停牌申请表》； </w:t>
      </w:r>
    </w:p>
    <w:p w14:paraId="6765B984">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2.</w:t>
      </w:r>
      <w:r>
        <w:rPr>
          <w:rFonts w:hint="eastAsia" w:ascii="仿宋" w:hAnsi="仿宋" w:eastAsia="仿宋" w:cs="仿宋"/>
          <w:sz w:val="28"/>
          <w:szCs w:val="28"/>
        </w:rPr>
        <w:t xml:space="preserve">《关于广东星云开物科技股份有限公司的股份收购意向协议》； </w:t>
      </w:r>
    </w:p>
    <w:p w14:paraId="0C8F88F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3.</w:t>
      </w:r>
      <w:r>
        <w:rPr>
          <w:rFonts w:hint="eastAsia" w:ascii="仿宋" w:hAnsi="仿宋" w:eastAsia="仿宋" w:cs="仿宋"/>
          <w:sz w:val="28"/>
          <w:szCs w:val="28"/>
        </w:rPr>
        <w:t>关于不存在《上市公司监管指引第7号——上市公司重大资产重组相关股票异常交易监管》第十</w:t>
      </w:r>
      <w:r>
        <w:rPr>
          <w:rFonts w:hint="eastAsia" w:ascii="仿宋" w:hAnsi="仿宋" w:eastAsia="仿宋" w:cs="仿宋"/>
          <w:sz w:val="28"/>
          <w:szCs w:val="28"/>
          <w:lang w:val="en-US" w:eastAsia="zh-CN"/>
        </w:rPr>
        <w:t>三</w:t>
      </w:r>
      <w:r>
        <w:rPr>
          <w:rFonts w:hint="eastAsia" w:ascii="仿宋" w:hAnsi="仿宋" w:eastAsia="仿宋" w:cs="仿宋"/>
          <w:sz w:val="28"/>
          <w:szCs w:val="28"/>
        </w:rPr>
        <w:t>条情形的说明文件；</w:t>
      </w:r>
    </w:p>
    <w:p w14:paraId="56CB4C7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4.</w:t>
      </w:r>
      <w:r>
        <w:rPr>
          <w:rFonts w:hint="eastAsia" w:ascii="仿宋" w:hAnsi="仿宋" w:eastAsia="仿宋" w:cs="仿宋"/>
          <w:sz w:val="28"/>
          <w:szCs w:val="28"/>
        </w:rPr>
        <w:t xml:space="preserve">深圳证券交易所要求的其他文件。 </w:t>
      </w:r>
    </w:p>
    <w:p w14:paraId="3686E1B1">
      <w:pPr>
        <w:numPr>
          <w:ilvl w:val="0"/>
          <w:numId w:val="0"/>
        </w:num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特此公告！ </w:t>
      </w:r>
    </w:p>
    <w:p w14:paraId="66AB5A7A">
      <w:pPr>
        <w:numPr>
          <w:ilvl w:val="0"/>
          <w:numId w:val="0"/>
        </w:numPr>
        <w:spacing w:line="360" w:lineRule="auto"/>
        <w:ind w:firstLine="560" w:firstLineChars="200"/>
        <w:jc w:val="right"/>
        <w:rPr>
          <w:rFonts w:hint="eastAsia" w:ascii="仿宋" w:hAnsi="仿宋" w:eastAsia="仿宋" w:cs="仿宋"/>
          <w:sz w:val="28"/>
          <w:szCs w:val="28"/>
        </w:rPr>
      </w:pPr>
      <w:r>
        <w:rPr>
          <w:rFonts w:hint="eastAsia" w:ascii="仿宋" w:hAnsi="仿宋" w:eastAsia="仿宋" w:cs="仿宋"/>
          <w:sz w:val="28"/>
          <w:szCs w:val="28"/>
        </w:rPr>
        <w:t xml:space="preserve">广东天亿马信息产业股份有限公司 </w:t>
      </w:r>
    </w:p>
    <w:p w14:paraId="62BA83DD">
      <w:pPr>
        <w:numPr>
          <w:ilvl w:val="0"/>
          <w:numId w:val="0"/>
        </w:numPr>
        <w:spacing w:line="360" w:lineRule="auto"/>
        <w:ind w:firstLine="560" w:firstLineChars="200"/>
        <w:jc w:val="right"/>
        <w:rPr>
          <w:rFonts w:hint="eastAsia" w:ascii="仿宋" w:hAnsi="仿宋" w:eastAsia="仿宋" w:cs="仿宋"/>
          <w:sz w:val="28"/>
          <w:szCs w:val="28"/>
          <w:highlight w:val="none"/>
        </w:rPr>
      </w:pPr>
      <w:r>
        <w:rPr>
          <w:rFonts w:hint="eastAsia" w:ascii="仿宋" w:hAnsi="仿宋" w:eastAsia="仿宋" w:cs="仿宋"/>
          <w:sz w:val="28"/>
          <w:szCs w:val="28"/>
          <w:highlight w:val="none"/>
        </w:rPr>
        <w:t>董事会</w:t>
      </w:r>
    </w:p>
    <w:p w14:paraId="390BE939">
      <w:pPr>
        <w:numPr>
          <w:ilvl w:val="0"/>
          <w:numId w:val="0"/>
        </w:numPr>
        <w:spacing w:line="360" w:lineRule="auto"/>
        <w:ind w:firstLine="560" w:firstLineChars="200"/>
        <w:jc w:val="right"/>
        <w:rPr>
          <w:rFonts w:hint="eastAsia" w:ascii="仿宋" w:hAnsi="仿宋" w:eastAsia="仿宋" w:cs="仿宋"/>
          <w:sz w:val="28"/>
          <w:szCs w:val="28"/>
          <w:highlight w:val="none"/>
        </w:rPr>
      </w:pPr>
      <w:r>
        <w:rPr>
          <w:rFonts w:hint="eastAsia" w:ascii="仿宋" w:hAnsi="仿宋" w:eastAsia="仿宋" w:cs="仿宋"/>
          <w:sz w:val="28"/>
          <w:szCs w:val="28"/>
          <w:highlight w:val="none"/>
        </w:rPr>
        <w:t>2025年</w:t>
      </w:r>
      <w:r>
        <w:rPr>
          <w:rFonts w:hint="eastAsia" w:ascii="仿宋" w:hAnsi="仿宋" w:eastAsia="仿宋" w:cs="仿宋"/>
          <w:sz w:val="28"/>
          <w:szCs w:val="28"/>
          <w:highlight w:val="none"/>
          <w:lang w:val="en-US" w:eastAsia="zh-CN"/>
        </w:rPr>
        <w:t>6</w:t>
      </w:r>
      <w:r>
        <w:rPr>
          <w:rFonts w:hint="eastAsia" w:ascii="仿宋" w:hAnsi="仿宋" w:eastAsia="仿宋" w:cs="仿宋"/>
          <w:sz w:val="28"/>
          <w:szCs w:val="28"/>
          <w:highlight w:val="none"/>
        </w:rPr>
        <w:t>月</w:t>
      </w:r>
      <w:r>
        <w:rPr>
          <w:rFonts w:hint="eastAsia" w:ascii="仿宋" w:hAnsi="仿宋" w:eastAsia="仿宋" w:cs="仿宋"/>
          <w:sz w:val="28"/>
          <w:szCs w:val="28"/>
          <w:highlight w:val="none"/>
          <w:lang w:val="en-US" w:eastAsia="zh-CN"/>
        </w:rPr>
        <w:t>10</w:t>
      </w:r>
      <w:r>
        <w:rPr>
          <w:rFonts w:hint="eastAsia" w:ascii="仿宋" w:hAnsi="仿宋" w:eastAsia="仿宋" w:cs="仿宋"/>
          <w:sz w:val="28"/>
          <w:szCs w:val="28"/>
          <w:highlight w:val="none"/>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E4B457A"/>
    <w:multiLevelType w:val="singleLevel"/>
    <w:tmpl w:val="EE4B457A"/>
    <w:lvl w:ilvl="0" w:tentative="0">
      <w:start w:val="1"/>
      <w:numFmt w:val="chineseCounting"/>
      <w:suff w:val="nothing"/>
      <w:lvlText w:val="（%1）"/>
      <w:lvlJc w:val="left"/>
      <w:rPr>
        <w:rFonts w:hint="eastAsia"/>
      </w:rPr>
    </w:lvl>
  </w:abstractNum>
  <w:abstractNum w:abstractNumId="1">
    <w:nsid w:val="0043F6AA"/>
    <w:multiLevelType w:val="singleLevel"/>
    <w:tmpl w:val="0043F6AA"/>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2C1F65"/>
    <w:rsid w:val="02517965"/>
    <w:rsid w:val="036B6BBE"/>
    <w:rsid w:val="03A42D9E"/>
    <w:rsid w:val="108A4FA0"/>
    <w:rsid w:val="10F90377"/>
    <w:rsid w:val="15977DC9"/>
    <w:rsid w:val="17742506"/>
    <w:rsid w:val="1A143B2C"/>
    <w:rsid w:val="208A5A0B"/>
    <w:rsid w:val="211F34E2"/>
    <w:rsid w:val="250408F4"/>
    <w:rsid w:val="295B79CB"/>
    <w:rsid w:val="2AA35184"/>
    <w:rsid w:val="2AF625ED"/>
    <w:rsid w:val="361E7731"/>
    <w:rsid w:val="37F60946"/>
    <w:rsid w:val="39A46120"/>
    <w:rsid w:val="3CA612B4"/>
    <w:rsid w:val="3CCF1E09"/>
    <w:rsid w:val="3E4031C1"/>
    <w:rsid w:val="3E9927E7"/>
    <w:rsid w:val="3F552F5F"/>
    <w:rsid w:val="42165DE4"/>
    <w:rsid w:val="46FD0A92"/>
    <w:rsid w:val="482B1B9C"/>
    <w:rsid w:val="4DB60E86"/>
    <w:rsid w:val="536B319B"/>
    <w:rsid w:val="5805184D"/>
    <w:rsid w:val="601D2D07"/>
    <w:rsid w:val="648F152C"/>
    <w:rsid w:val="6502427A"/>
    <w:rsid w:val="69BF1EB4"/>
    <w:rsid w:val="6F5C14EB"/>
    <w:rsid w:val="6FBA2F21"/>
    <w:rsid w:val="70DE3255"/>
    <w:rsid w:val="71C45D42"/>
    <w:rsid w:val="7EE21163"/>
    <w:rsid w:val="7EEA3A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2171</Words>
  <Characters>2276</Characters>
  <Lines>0</Lines>
  <Paragraphs>0</Paragraphs>
  <TotalTime>6</TotalTime>
  <ScaleCrop>false</ScaleCrop>
  <LinksUpToDate>false</LinksUpToDate>
  <CharactersWithSpaces>2301</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2025-06-01T15:16:00Z</dcterms:created>
  <dc:creator>cw465</dc:creator>
  <cp:lastModifiedBy>Noaman</cp:lastModifiedBy>
  <dcterms:modified xsi:type="dcterms:W3CDTF">2025-06-09T10:43:50Z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KSOTemplateDocerSaveRecord">
    <vt:lpwstr>eyJoZGlkIjoiNDM1MzFhZjYzMzMyYTQzMjI2MDlhNDYyOGEwNjI0MmUiLCJ1c2VySWQiOiIzMDU3MzAwMzEifQ==</vt:lpwstr>
  </property>
  <property fmtid="{D5CDD505-2E9C-101B-9397-08002B2CF9AE}" pid="4" name="ICV">
    <vt:lpwstr>E0EE767B11AB4CA183575D93A25862A7_12</vt:lpwstr>
  </property>
</Properties>
</file>