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0FB9DB">
      <w:pPr>
        <w:autoSpaceDE w:val="0"/>
        <w:autoSpaceDN w:val="0"/>
        <w:adjustRightInd w:val="0"/>
        <w:spacing w:line="360" w:lineRule="auto"/>
        <w:jc w:val="center"/>
        <w:rPr>
          <w:rFonts w:hint="eastAsia" w:ascii="仿宋" w:hAnsi="仿宋" w:eastAsia="仿宋" w:cs="Times New Roman"/>
          <w:color w:val="000000"/>
          <w:sz w:val="28"/>
          <w:szCs w:val="20"/>
        </w:rPr>
      </w:pPr>
      <w:r>
        <w:rPr>
          <w:rFonts w:hint="eastAsia" w:ascii="仿宋" w:hAnsi="仿宋" w:eastAsia="仿宋" w:cs="Times New Roman"/>
          <w:color w:val="000000"/>
          <w:sz w:val="28"/>
          <w:szCs w:val="20"/>
        </w:rPr>
        <w:t>证券代码：</w:t>
      </w:r>
      <w:r>
        <w:rPr>
          <w:rFonts w:hint="eastAsia" w:ascii="仿宋" w:hAnsi="仿宋" w:eastAsia="仿宋" w:cs="Times New Roman"/>
          <w:color w:val="000000"/>
          <w:sz w:val="28"/>
          <w:szCs w:val="20"/>
          <w:lang w:val="en-US" w:eastAsia="zh-CN"/>
        </w:rPr>
        <w:t>301178</w:t>
      </w:r>
      <w:r>
        <w:rPr>
          <w:rFonts w:hint="eastAsia" w:ascii="仿宋" w:hAnsi="仿宋" w:eastAsia="仿宋" w:cs="Times New Roman"/>
          <w:color w:val="000000"/>
          <w:sz w:val="28"/>
          <w:szCs w:val="20"/>
        </w:rPr>
        <w:t xml:space="preserve"> </w:t>
      </w:r>
      <w:r>
        <w:rPr>
          <w:rFonts w:hint="eastAsia" w:ascii="仿宋" w:hAnsi="仿宋" w:eastAsia="仿宋" w:cs="Times New Roman"/>
          <w:color w:val="000000"/>
          <w:sz w:val="28"/>
          <w:szCs w:val="20"/>
          <w:lang w:val="en-US" w:eastAsia="zh-CN"/>
        </w:rPr>
        <w:t xml:space="preserve">   </w:t>
      </w:r>
      <w:r>
        <w:rPr>
          <w:rFonts w:hint="eastAsia" w:ascii="仿宋" w:hAnsi="仿宋" w:eastAsia="仿宋" w:cs="Times New Roman"/>
          <w:color w:val="000000"/>
          <w:sz w:val="28"/>
          <w:szCs w:val="20"/>
        </w:rPr>
        <w:t>证券简称：</w:t>
      </w:r>
      <w:r>
        <w:rPr>
          <w:rFonts w:hint="eastAsia" w:ascii="仿宋" w:hAnsi="仿宋" w:eastAsia="仿宋" w:cs="Times New Roman"/>
          <w:color w:val="000000"/>
          <w:sz w:val="28"/>
          <w:szCs w:val="20"/>
          <w:lang w:val="en-US" w:eastAsia="zh-CN"/>
        </w:rPr>
        <w:t xml:space="preserve">天亿马    </w:t>
      </w:r>
      <w:r>
        <w:rPr>
          <w:rFonts w:hint="eastAsia" w:ascii="仿宋" w:hAnsi="仿宋" w:eastAsia="仿宋" w:cs="Times New Roman"/>
          <w:color w:val="000000"/>
          <w:sz w:val="28"/>
          <w:szCs w:val="20"/>
        </w:rPr>
        <w:t>公告编号：2025</w:t>
      </w:r>
      <w:r>
        <w:rPr>
          <w:rFonts w:hint="eastAsia" w:ascii="仿宋" w:hAnsi="仿宋" w:eastAsia="仿宋" w:cs="Times New Roman"/>
          <w:color w:val="000000"/>
          <w:sz w:val="28"/>
          <w:szCs w:val="20"/>
          <w:lang w:val="en-US" w:eastAsia="zh-CN"/>
        </w:rPr>
        <w:t>-047</w:t>
      </w:r>
      <w:r>
        <w:rPr>
          <w:rFonts w:hint="eastAsia" w:ascii="仿宋" w:hAnsi="仿宋" w:eastAsia="仿宋" w:cs="Times New Roman"/>
          <w:color w:val="000000"/>
          <w:sz w:val="28"/>
          <w:szCs w:val="20"/>
        </w:rPr>
        <w:t xml:space="preserve"> </w:t>
      </w:r>
    </w:p>
    <w:p w14:paraId="7E25519E">
      <w:pPr>
        <w:autoSpaceDE w:val="0"/>
        <w:autoSpaceDN w:val="0"/>
        <w:adjustRightInd w:val="0"/>
        <w:spacing w:line="360" w:lineRule="auto"/>
        <w:jc w:val="center"/>
        <w:rPr>
          <w:rFonts w:hint="eastAsia" w:ascii="黑体" w:hAnsi="黑体" w:eastAsia="黑体" w:cs="Times New Roman"/>
          <w:sz w:val="36"/>
          <w:szCs w:val="36"/>
        </w:rPr>
      </w:pPr>
      <w:r>
        <w:rPr>
          <w:rFonts w:hint="eastAsia" w:ascii="黑体" w:hAnsi="黑体" w:eastAsia="黑体" w:cs="Times New Roman"/>
          <w:sz w:val="36"/>
          <w:szCs w:val="36"/>
        </w:rPr>
        <w:t>广东天亿马信息产业股份有限公司</w:t>
      </w:r>
    </w:p>
    <w:p w14:paraId="47CF270B">
      <w:pPr>
        <w:autoSpaceDE w:val="0"/>
        <w:autoSpaceDN w:val="0"/>
        <w:adjustRightInd w:val="0"/>
        <w:spacing w:line="360" w:lineRule="auto"/>
        <w:jc w:val="center"/>
        <w:rPr>
          <w:rFonts w:hint="eastAsia" w:ascii="黑体" w:hAnsi="黑体" w:eastAsia="黑体" w:cs="Times New Roman"/>
          <w:sz w:val="36"/>
          <w:szCs w:val="36"/>
        </w:rPr>
      </w:pPr>
      <w:r>
        <w:rPr>
          <w:rFonts w:hint="eastAsia" w:ascii="黑体" w:hAnsi="黑体" w:eastAsia="黑体" w:cs="Times New Roman"/>
          <w:sz w:val="36"/>
          <w:szCs w:val="36"/>
        </w:rPr>
        <w:t>关于筹划发行股份及支付现金方式购买资产</w:t>
      </w:r>
    </w:p>
    <w:p w14:paraId="69AEDA44">
      <w:pPr>
        <w:autoSpaceDE w:val="0"/>
        <w:autoSpaceDN w:val="0"/>
        <w:adjustRightInd w:val="0"/>
        <w:spacing w:line="360" w:lineRule="auto"/>
        <w:jc w:val="center"/>
        <w:rPr>
          <w:rFonts w:hint="eastAsia" w:ascii="黑体" w:hAnsi="黑体" w:eastAsia="黑体" w:cs="Times New Roman"/>
          <w:sz w:val="36"/>
          <w:szCs w:val="36"/>
        </w:rPr>
      </w:pPr>
      <w:r>
        <w:rPr>
          <w:rFonts w:hint="eastAsia" w:ascii="黑体" w:hAnsi="黑体" w:eastAsia="黑体" w:cs="Times New Roman"/>
          <w:sz w:val="36"/>
          <w:szCs w:val="36"/>
        </w:rPr>
        <w:t>并募集配套资金事项的停牌</w:t>
      </w:r>
      <w:r>
        <w:rPr>
          <w:rFonts w:hint="eastAsia" w:ascii="黑体" w:hAnsi="黑体" w:eastAsia="黑体" w:cs="Times New Roman"/>
          <w:sz w:val="36"/>
          <w:szCs w:val="36"/>
          <w:lang w:eastAsia="zh-CN"/>
        </w:rPr>
        <w:t>进展</w:t>
      </w:r>
      <w:r>
        <w:rPr>
          <w:rFonts w:hint="eastAsia" w:ascii="黑体" w:hAnsi="黑体" w:eastAsia="黑体" w:cs="Times New Roman"/>
          <w:sz w:val="36"/>
          <w:szCs w:val="36"/>
        </w:rPr>
        <w:t>公告</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C797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522" w:type="dxa"/>
            <w:tcBorders>
              <w:top w:val="single" w:color="auto" w:sz="4" w:space="0"/>
              <w:left w:val="single" w:color="auto" w:sz="4" w:space="0"/>
              <w:bottom w:val="single" w:color="auto" w:sz="4" w:space="0"/>
              <w:right w:val="single" w:color="auto" w:sz="4" w:space="0"/>
            </w:tcBorders>
          </w:tcPr>
          <w:p w14:paraId="274F18F4">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本公司及董事会全体成员保证信息披露内容的真实、准确和完整，没有虚假记载、误导性陈述或重大遗漏。</w:t>
            </w:r>
          </w:p>
        </w:tc>
      </w:tr>
    </w:tbl>
    <w:p w14:paraId="0E73FCAB">
      <w:pPr>
        <w:numPr>
          <w:ilvl w:val="0"/>
          <w:numId w:val="0"/>
        </w:numPr>
        <w:spacing w:line="360" w:lineRule="auto"/>
        <w:ind w:firstLine="560" w:firstLineChars="200"/>
        <w:rPr>
          <w:rFonts w:hint="eastAsia" w:ascii="仿宋" w:hAnsi="仿宋" w:eastAsia="仿宋" w:cs="仿宋"/>
          <w:sz w:val="28"/>
          <w:szCs w:val="28"/>
          <w:highlight w:val="none"/>
        </w:rPr>
      </w:pPr>
    </w:p>
    <w:p w14:paraId="09D76DBA">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广东天亿马信息产业股份有限公司（以下简称“公司”）正在筹划发行股份及支付现金方式购买资产并募集配套资金事项（以下简称“本次交易”）。根据《上市公司重大资产重组管理办法》等相关规定，本次交易预计构成重大资产重组，不构成重组上市。鉴于本次交易尚处于筹划阶段，存在不确定性，为保证公平信息披露，维护投资者利益，避免对公司证券交易造成重大影响，根据深圳证券交易所的</w:t>
      </w:r>
      <w:bookmarkStart w:id="0" w:name="_GoBack"/>
      <w:bookmarkEnd w:id="0"/>
      <w:r>
        <w:rPr>
          <w:rFonts w:hint="eastAsia" w:ascii="仿宋" w:hAnsi="仿宋" w:eastAsia="仿宋" w:cs="仿宋"/>
          <w:sz w:val="28"/>
          <w:szCs w:val="28"/>
          <w:highlight w:val="none"/>
        </w:rPr>
        <w:t>相关规定，经公司申请，公司股票（证券简称：</w:t>
      </w:r>
      <w:r>
        <w:rPr>
          <w:rFonts w:hint="eastAsia" w:ascii="仿宋" w:hAnsi="仿宋" w:eastAsia="仿宋" w:cs="仿宋"/>
          <w:sz w:val="28"/>
          <w:szCs w:val="28"/>
          <w:highlight w:val="none"/>
          <w:lang w:val="en-US" w:eastAsia="zh-CN"/>
        </w:rPr>
        <w:t>天亿马</w:t>
      </w:r>
      <w:r>
        <w:rPr>
          <w:rFonts w:hint="eastAsia" w:ascii="仿宋" w:hAnsi="仿宋" w:eastAsia="仿宋" w:cs="仿宋"/>
          <w:sz w:val="28"/>
          <w:szCs w:val="28"/>
          <w:highlight w:val="none"/>
        </w:rPr>
        <w:t>，证券代码：</w:t>
      </w:r>
      <w:r>
        <w:rPr>
          <w:rFonts w:hint="eastAsia" w:ascii="仿宋" w:hAnsi="仿宋" w:eastAsia="仿宋" w:cs="仿宋"/>
          <w:sz w:val="28"/>
          <w:szCs w:val="28"/>
          <w:highlight w:val="none"/>
          <w:lang w:val="en-US" w:eastAsia="zh-CN"/>
        </w:rPr>
        <w:t>301178</w:t>
      </w:r>
      <w:r>
        <w:rPr>
          <w:rFonts w:hint="eastAsia" w:ascii="仿宋" w:hAnsi="仿宋" w:eastAsia="仿宋" w:cs="仿宋"/>
          <w:sz w:val="28"/>
          <w:szCs w:val="28"/>
          <w:highlight w:val="none"/>
        </w:rPr>
        <w:t>）自2025年</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日开市起停牌。</w:t>
      </w:r>
    </w:p>
    <w:p w14:paraId="46C8469E">
      <w:pPr>
        <w:numPr>
          <w:ilvl w:val="0"/>
          <w:numId w:val="0"/>
        </w:numPr>
        <w:spacing w:line="360" w:lineRule="auto"/>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公司预</w:t>
      </w:r>
      <w:r>
        <w:rPr>
          <w:rFonts w:hint="eastAsia" w:ascii="仿宋" w:hAnsi="仿宋" w:eastAsia="仿宋" w:cs="仿宋"/>
          <w:sz w:val="28"/>
          <w:szCs w:val="28"/>
          <w:highlight w:val="none"/>
          <w:lang w:eastAsia="zh-CN"/>
        </w:rPr>
        <w:t>计将</w:t>
      </w:r>
      <w:r>
        <w:rPr>
          <w:rFonts w:hint="eastAsia" w:ascii="仿宋" w:hAnsi="仿宋" w:eastAsia="仿宋" w:cs="仿宋"/>
          <w:sz w:val="28"/>
          <w:szCs w:val="28"/>
          <w:highlight w:val="none"/>
        </w:rPr>
        <w:t>在</w:t>
      </w:r>
      <w:r>
        <w:rPr>
          <w:rFonts w:hint="eastAsia" w:ascii="仿宋" w:hAnsi="仿宋" w:eastAsia="仿宋" w:cs="仿宋"/>
          <w:sz w:val="28"/>
          <w:szCs w:val="28"/>
          <w:highlight w:val="none"/>
          <w:lang w:eastAsia="zh-CN"/>
        </w:rPr>
        <w:t>停牌后</w:t>
      </w:r>
      <w:r>
        <w:rPr>
          <w:rFonts w:hint="eastAsia" w:ascii="仿宋" w:hAnsi="仿宋" w:eastAsia="仿宋" w:cs="仿宋"/>
          <w:sz w:val="28"/>
          <w:szCs w:val="28"/>
          <w:highlight w:val="none"/>
        </w:rPr>
        <w:t>不超过10个交易日的时间内披露本次交易方案，即在2025年6月</w:t>
      </w:r>
      <w:r>
        <w:rPr>
          <w:rFonts w:hint="eastAsia" w:ascii="仿宋" w:hAnsi="仿宋" w:eastAsia="仿宋" w:cs="仿宋"/>
          <w:sz w:val="28"/>
          <w:szCs w:val="28"/>
          <w:highlight w:val="none"/>
          <w:lang w:val="en-US" w:eastAsia="zh-CN"/>
        </w:rPr>
        <w:t>24</w:t>
      </w:r>
      <w:r>
        <w:rPr>
          <w:rFonts w:hint="eastAsia" w:ascii="仿宋" w:hAnsi="仿宋" w:eastAsia="仿宋" w:cs="仿宋"/>
          <w:sz w:val="28"/>
          <w:szCs w:val="28"/>
          <w:highlight w:val="none"/>
        </w:rPr>
        <w:t>日前按照《公开发行证券的公司信息披露内容与格式准则第26号——上市公司重大资产重组》的要求披露相关信息。</w:t>
      </w:r>
      <w:r>
        <w:rPr>
          <w:rFonts w:hint="eastAsia" w:ascii="仿宋" w:hAnsi="仿宋" w:eastAsia="仿宋" w:cs="仿宋"/>
          <w:sz w:val="28"/>
          <w:szCs w:val="28"/>
          <w:highlight w:val="none"/>
          <w:lang w:eastAsia="zh-CN"/>
        </w:rPr>
        <w:t>具体内容详见公司</w:t>
      </w:r>
      <w:r>
        <w:rPr>
          <w:rFonts w:hint="eastAsia" w:ascii="仿宋" w:hAnsi="仿宋" w:eastAsia="仿宋" w:cs="仿宋"/>
          <w:sz w:val="28"/>
          <w:szCs w:val="28"/>
          <w:highlight w:val="none"/>
          <w:lang w:val="en-US" w:eastAsia="zh-CN"/>
        </w:rPr>
        <w:t>2025年6月10日披露于巨潮资讯网（www.cninfo.com.cn）等法定信息披露媒体上的《</w:t>
      </w:r>
      <w:r>
        <w:rPr>
          <w:rFonts w:hint="eastAsia" w:ascii="仿宋" w:hAnsi="仿宋" w:eastAsia="仿宋" w:cs="仿宋"/>
          <w:sz w:val="28"/>
          <w:szCs w:val="28"/>
          <w:highlight w:val="none"/>
        </w:rPr>
        <w:t>广东天亿马信息产业股份有限公司</w:t>
      </w:r>
      <w:r>
        <w:rPr>
          <w:rFonts w:hint="eastAsia" w:ascii="仿宋" w:hAnsi="仿宋" w:eastAsia="仿宋" w:cs="仿宋"/>
          <w:sz w:val="28"/>
          <w:szCs w:val="28"/>
          <w:highlight w:val="none"/>
          <w:lang w:val="en-US" w:eastAsia="zh-CN"/>
        </w:rPr>
        <w:t>关于筹划发行股份及支付现金方式购买资产并募集配套资金事项的停牌公告》（公告编号：2025-046）。</w:t>
      </w:r>
    </w:p>
    <w:p w14:paraId="37128E63">
      <w:pPr>
        <w:numPr>
          <w:ilvl w:val="0"/>
          <w:numId w:val="0"/>
        </w:numPr>
        <w:spacing w:line="360" w:lineRule="auto"/>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截至本公告日，公司与相关各方正在就本次交易进行磋商、论证和确认。鉴于本次交易相关事项尚存在不确定性，为维护投资者利益，避免公司股价异常波动，根据深圳证券交易所的相关规定，公司股票继续停牌。</w:t>
      </w:r>
    </w:p>
    <w:p w14:paraId="020EA863">
      <w:pPr>
        <w:numPr>
          <w:ilvl w:val="0"/>
          <w:numId w:val="0"/>
        </w:numPr>
        <w:spacing w:line="360" w:lineRule="auto"/>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停牌期间，公司将积极推进各项工作，并根据本次交易相关事项的进展情况及时履行信息披露义务。待相关事项确定后，公司将及时向深圳证券交易所提交并披露符合相关规定的文件并申请股票复牌。公司所有信息均以在指定信息披露媒体披露的内容为准，本次交易尚存在不确定性，敬请广大投资者关注公司后续公告并注意投资风险。</w:t>
      </w:r>
    </w:p>
    <w:p w14:paraId="3686E1B1">
      <w:pPr>
        <w:numPr>
          <w:ilvl w:val="0"/>
          <w:numId w:val="0"/>
        </w:numPr>
        <w:spacing w:line="360" w:lineRule="auto"/>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特此公告</w:t>
      </w:r>
      <w:r>
        <w:rPr>
          <w:rFonts w:hint="eastAsia" w:ascii="仿宋" w:hAnsi="仿宋" w:eastAsia="仿宋" w:cs="仿宋"/>
          <w:sz w:val="28"/>
          <w:szCs w:val="28"/>
          <w:lang w:eastAsia="zh-CN"/>
        </w:rPr>
        <w:t>。</w:t>
      </w:r>
    </w:p>
    <w:p w14:paraId="66AB5A7A">
      <w:pPr>
        <w:numPr>
          <w:ilvl w:val="0"/>
          <w:numId w:val="0"/>
        </w:numPr>
        <w:spacing w:line="360" w:lineRule="auto"/>
        <w:ind w:firstLine="560" w:firstLineChars="200"/>
        <w:jc w:val="right"/>
        <w:rPr>
          <w:rFonts w:hint="eastAsia" w:ascii="仿宋" w:hAnsi="仿宋" w:eastAsia="仿宋" w:cs="仿宋"/>
          <w:sz w:val="28"/>
          <w:szCs w:val="28"/>
        </w:rPr>
      </w:pPr>
      <w:r>
        <w:rPr>
          <w:rFonts w:hint="eastAsia" w:ascii="仿宋" w:hAnsi="仿宋" w:eastAsia="仿宋" w:cs="仿宋"/>
          <w:sz w:val="28"/>
          <w:szCs w:val="28"/>
        </w:rPr>
        <w:t xml:space="preserve">广东天亿马信息产业股份有限公司 </w:t>
      </w:r>
    </w:p>
    <w:p w14:paraId="62BA83DD">
      <w:pPr>
        <w:numPr>
          <w:ilvl w:val="0"/>
          <w:numId w:val="0"/>
        </w:numPr>
        <w:spacing w:line="360" w:lineRule="auto"/>
        <w:ind w:firstLine="560" w:firstLineChars="200"/>
        <w:jc w:val="right"/>
        <w:rPr>
          <w:rFonts w:hint="eastAsia" w:ascii="仿宋" w:hAnsi="仿宋" w:eastAsia="仿宋" w:cs="仿宋"/>
          <w:sz w:val="28"/>
          <w:szCs w:val="28"/>
          <w:highlight w:val="none"/>
        </w:rPr>
      </w:pPr>
      <w:r>
        <w:rPr>
          <w:rFonts w:hint="eastAsia" w:ascii="仿宋" w:hAnsi="仿宋" w:eastAsia="仿宋" w:cs="仿宋"/>
          <w:sz w:val="28"/>
          <w:szCs w:val="28"/>
          <w:highlight w:val="none"/>
        </w:rPr>
        <w:t>董事会</w:t>
      </w:r>
    </w:p>
    <w:p w14:paraId="390BE939">
      <w:pPr>
        <w:numPr>
          <w:ilvl w:val="0"/>
          <w:numId w:val="0"/>
        </w:numPr>
        <w:spacing w:line="360" w:lineRule="auto"/>
        <w:ind w:firstLine="560" w:firstLineChars="200"/>
        <w:jc w:val="right"/>
        <w:rPr>
          <w:rFonts w:hint="eastAsia" w:ascii="仿宋" w:hAnsi="仿宋" w:eastAsia="仿宋" w:cs="仿宋"/>
          <w:sz w:val="28"/>
          <w:szCs w:val="28"/>
          <w:highlight w:val="none"/>
        </w:rPr>
      </w:pPr>
      <w:r>
        <w:rPr>
          <w:rFonts w:hint="eastAsia" w:ascii="仿宋" w:hAnsi="仿宋" w:eastAsia="仿宋" w:cs="仿宋"/>
          <w:sz w:val="28"/>
          <w:szCs w:val="28"/>
          <w:highlight w:val="none"/>
        </w:rPr>
        <w:t>2025年</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17</w:t>
      </w:r>
      <w:r>
        <w:rPr>
          <w:rFonts w:hint="eastAsia" w:ascii="仿宋" w:hAnsi="仿宋" w:eastAsia="仿宋" w:cs="仿宋"/>
          <w:sz w:val="28"/>
          <w:szCs w:val="28"/>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C1F65"/>
    <w:rsid w:val="02517965"/>
    <w:rsid w:val="03036B3B"/>
    <w:rsid w:val="036B6BBE"/>
    <w:rsid w:val="03A42D9E"/>
    <w:rsid w:val="108A4FA0"/>
    <w:rsid w:val="10F90377"/>
    <w:rsid w:val="14E05AD6"/>
    <w:rsid w:val="15977DC9"/>
    <w:rsid w:val="17742506"/>
    <w:rsid w:val="199D5A9C"/>
    <w:rsid w:val="1A143B2C"/>
    <w:rsid w:val="208A5A0B"/>
    <w:rsid w:val="211F34E2"/>
    <w:rsid w:val="250408F4"/>
    <w:rsid w:val="295B79CB"/>
    <w:rsid w:val="29A72328"/>
    <w:rsid w:val="2AA35184"/>
    <w:rsid w:val="2AF625ED"/>
    <w:rsid w:val="361E7731"/>
    <w:rsid w:val="37F60946"/>
    <w:rsid w:val="39A46120"/>
    <w:rsid w:val="3CA612B4"/>
    <w:rsid w:val="3CCF1E09"/>
    <w:rsid w:val="3E4031C1"/>
    <w:rsid w:val="3E9927E7"/>
    <w:rsid w:val="3F552F5F"/>
    <w:rsid w:val="42165DE4"/>
    <w:rsid w:val="46FD0A92"/>
    <w:rsid w:val="482B1B9C"/>
    <w:rsid w:val="4DB60E86"/>
    <w:rsid w:val="521D2468"/>
    <w:rsid w:val="536B319B"/>
    <w:rsid w:val="5805184D"/>
    <w:rsid w:val="601D2D07"/>
    <w:rsid w:val="648F152C"/>
    <w:rsid w:val="6502427A"/>
    <w:rsid w:val="69BD10B7"/>
    <w:rsid w:val="69BF1EB4"/>
    <w:rsid w:val="6F5C14EB"/>
    <w:rsid w:val="6FBA2F21"/>
    <w:rsid w:val="70DE3255"/>
    <w:rsid w:val="71C45D42"/>
    <w:rsid w:val="76C73713"/>
    <w:rsid w:val="78705D77"/>
    <w:rsid w:val="7EE21163"/>
    <w:rsid w:val="7EEA3A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793</Words>
  <Characters>851</Characters>
  <Lines>0</Lines>
  <Paragraphs>0</Paragraphs>
  <TotalTime>1</TotalTime>
  <ScaleCrop>false</ScaleCrop>
  <LinksUpToDate>false</LinksUpToDate>
  <CharactersWithSpaces>861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2025-06-01T15:16:00Z</dcterms:created>
  <dc:creator>cw465</dc:creator>
  <cp:lastModifiedBy>黄舒倩</cp:lastModifiedBy>
  <dcterms:modified xsi:type="dcterms:W3CDTF">2025-06-16T06:34:08Z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eyJoZGlkIjoiYjc3NTVmODk5OWI4YTU0YmU5MTlhYzJjMjBkNzFlNmEiLCJ1c2VySWQiOiIyNDMwNTgyMjAifQ==</vt:lpwstr>
  </property>
  <property fmtid="{D5CDD505-2E9C-101B-9397-08002B2CF9AE}" pid="4" name="ICV">
    <vt:lpwstr>E0EE767B11AB4CA183575D93A25862A7_12</vt:lpwstr>
  </property>
</Properties>
</file>