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6A9E3" w14:textId="77777777" w:rsidR="00480A29"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公告编号：2025-049</w:t>
      </w:r>
    </w:p>
    <w:p w14:paraId="65D01F09" w14:textId="77777777" w:rsidR="00480A29" w:rsidRDefault="00000000">
      <w:pPr>
        <w:pStyle w:val="a4"/>
        <w:spacing w:before="305" w:line="360" w:lineRule="auto"/>
        <w:jc w:val="center"/>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C439799" w14:textId="77777777" w:rsidR="00480A29" w:rsidRDefault="00000000">
      <w:pPr>
        <w:pStyle w:val="a4"/>
        <w:spacing w:before="190" w:line="360" w:lineRule="auto"/>
        <w:jc w:val="center"/>
        <w:rPr>
          <w:rFonts w:ascii="宋体" w:eastAsia="宋体" w:hAnsi="宋体" w:cs="宋体" w:hint="eastAsia"/>
          <w:b/>
          <w:bCs/>
          <w:sz w:val="30"/>
          <w:szCs w:val="30"/>
          <w:lang w:eastAsia="zh-CN"/>
        </w:rPr>
      </w:pPr>
      <w:r>
        <w:rPr>
          <w:rFonts w:ascii="黑体" w:eastAsia="黑体" w:hAnsi="黑体" w:cs="Times New Roman" w:hint="eastAsia"/>
          <w:snapToGrid/>
          <w:kern w:val="2"/>
          <w:sz w:val="36"/>
          <w:szCs w:val="36"/>
          <w:lang w:eastAsia="zh-CN"/>
        </w:rPr>
        <w:t>第三届监事会第二十八次会议决议公告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480A29" w14:paraId="6CD5DA0F" w14:textId="77777777">
        <w:trPr>
          <w:trHeight w:val="776"/>
        </w:trPr>
        <w:tc>
          <w:tcPr>
            <w:tcW w:w="7962" w:type="dxa"/>
          </w:tcPr>
          <w:p w14:paraId="481BC809" w14:textId="77777777" w:rsidR="00480A29"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本公司及监事会全体成员保证信息披露的内容真实、准确、完整，没有虚假记载、误导性陈述或者重大遗漏。</w:t>
            </w:r>
          </w:p>
        </w:tc>
      </w:tr>
    </w:tbl>
    <w:p w14:paraId="631B54A7" w14:textId="77777777" w:rsidR="00480A29" w:rsidRDefault="00480A29">
      <w:pPr>
        <w:spacing w:line="360" w:lineRule="auto"/>
        <w:rPr>
          <w:rFonts w:ascii="宋体" w:eastAsia="宋体" w:hAnsi="宋体" w:cs="宋体" w:hint="eastAsia"/>
          <w:b/>
          <w:bCs/>
          <w:sz w:val="24"/>
          <w:szCs w:val="24"/>
          <w:lang w:eastAsia="zh-CN"/>
        </w:rPr>
      </w:pPr>
    </w:p>
    <w:p w14:paraId="2A8B7764" w14:textId="77777777" w:rsidR="00480A29" w:rsidRDefault="00000000">
      <w:pPr>
        <w:pStyle w:val="a4"/>
        <w:numPr>
          <w:ilvl w:val="0"/>
          <w:numId w:val="1"/>
        </w:numPr>
        <w:spacing w:before="109" w:line="360" w:lineRule="auto"/>
        <w:ind w:left="28" w:right="62" w:firstLine="488"/>
        <w:jc w:val="both"/>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监事会会议召开情况</w:t>
      </w:r>
    </w:p>
    <w:p w14:paraId="4370004F" w14:textId="77777777" w:rsidR="00480A29" w:rsidRDefault="00000000">
      <w:pPr>
        <w:pStyle w:val="a4"/>
        <w:numPr>
          <w:ilvl w:val="255"/>
          <w:numId w:val="0"/>
        </w:numPr>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广东天亿马信息产业股份有限公司（以下简称“公司”）第三届监事会第二十八次会议于2025年6月23日上午11时在广东省汕头市海滨路55号海</w:t>
      </w:r>
      <w:proofErr w:type="gramStart"/>
      <w:r>
        <w:rPr>
          <w:rFonts w:ascii="仿宋" w:eastAsia="仿宋" w:hAnsi="仿宋" w:cs="仿宋" w:hint="eastAsia"/>
          <w:snapToGrid/>
          <w:kern w:val="2"/>
          <w:sz w:val="28"/>
          <w:szCs w:val="28"/>
          <w:lang w:eastAsia="zh-CN"/>
        </w:rPr>
        <w:t>逸投资</w:t>
      </w:r>
      <w:proofErr w:type="gramEnd"/>
      <w:r>
        <w:rPr>
          <w:rFonts w:ascii="仿宋" w:eastAsia="仿宋" w:hAnsi="仿宋" w:cs="仿宋" w:hint="eastAsia"/>
          <w:snapToGrid/>
          <w:kern w:val="2"/>
          <w:sz w:val="28"/>
          <w:szCs w:val="28"/>
          <w:lang w:eastAsia="zh-CN"/>
        </w:rPr>
        <w:t>大厦4楼会议室召开。本次会议应到监事为3人，实到人数3人，董事会秘书列席会议。会议由毛晓玲女士主持，会议的召开和召集程序符合《中华人民共和国公司法》和《广东天亿马信息产业股份有限公司章程》的要求。</w:t>
      </w:r>
    </w:p>
    <w:p w14:paraId="3AC8AD64" w14:textId="77777777" w:rsidR="00480A29" w:rsidRDefault="00000000">
      <w:pPr>
        <w:pStyle w:val="a4"/>
        <w:numPr>
          <w:ilvl w:val="0"/>
          <w:numId w:val="1"/>
        </w:numPr>
        <w:spacing w:before="109" w:line="360" w:lineRule="auto"/>
        <w:ind w:left="28" w:right="62" w:firstLine="488"/>
        <w:jc w:val="both"/>
        <w:outlineLvl w:val="0"/>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监事会会议审议情况</w:t>
      </w:r>
    </w:p>
    <w:p w14:paraId="3FB0B53D"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7925ABD0" w14:textId="77777777" w:rsidR="00480A29"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w:t>
      </w:r>
      <w:r>
        <w:rPr>
          <w:rFonts w:ascii="仿宋" w:eastAsia="仿宋" w:hAnsi="仿宋" w:cs="仿宋"/>
          <w:b/>
          <w:bCs/>
          <w:snapToGrid/>
          <w:kern w:val="2"/>
          <w:sz w:val="28"/>
          <w:szCs w:val="28"/>
          <w:lang w:eastAsia="zh-CN"/>
        </w:rPr>
        <w:t>审议通过《关于公司符合发行股份及支付现金购买资产并募集配套资金暨关联交易相关法律法规规定条件的议案》，具体情况如下：</w:t>
      </w:r>
    </w:p>
    <w:p w14:paraId="353D55C8" w14:textId="77777777" w:rsidR="00480A29" w:rsidRDefault="00000000">
      <w:pPr>
        <w:spacing w:beforeLines="50" w:before="120" w:line="360" w:lineRule="auto"/>
        <w:ind w:firstLineChars="200" w:firstLine="560"/>
        <w:rPr>
          <w:rFonts w:ascii="仿宋" w:eastAsia="仿宋" w:hAnsi="仿宋" w:hint="eastAsia"/>
          <w:sz w:val="28"/>
          <w:lang w:eastAsia="zh-CN"/>
        </w:rPr>
      </w:pPr>
      <w:r>
        <w:rPr>
          <w:rFonts w:ascii="仿宋" w:eastAsia="仿宋" w:hAnsi="仿宋" w:hint="eastAsia"/>
          <w:sz w:val="28"/>
          <w:lang w:eastAsia="zh-CN"/>
        </w:rPr>
        <w:t>根据《中华人民共和国公司法》《中华人民共和国证券法》《上市公司重大资产重组管理办法》《上市公司证券发行注册管理办法》《上市公司监管指引第9号—上市公司筹划和实施重大资产重组的监管要求》《深圳证券交易所上市公司自律监管指引第8号—重大资产重组》等法律法规、规章及其他规范性文件的有关规定，并经对公司实际情况及相关事项进行充分自查论证，监事会认为公司符</w:t>
      </w:r>
      <w:r>
        <w:rPr>
          <w:rFonts w:ascii="仿宋" w:eastAsia="仿宋" w:hAnsi="仿宋" w:hint="eastAsia"/>
          <w:sz w:val="28"/>
          <w:lang w:eastAsia="zh-CN"/>
        </w:rPr>
        <w:lastRenderedPageBreak/>
        <w:t>合上述法律法规规定的本次发行股份及支付现金购买资产并募集配套资金的要求和各项条件。</w:t>
      </w:r>
    </w:p>
    <w:p w14:paraId="0D10A004"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51D7826F"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53B3B304"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2FE7805D" w14:textId="77777777" w:rsidR="00480A29" w:rsidRDefault="00000000">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hint="eastAsia"/>
          <w:b/>
          <w:bCs/>
          <w:snapToGrid/>
          <w:kern w:val="2"/>
          <w:sz w:val="28"/>
          <w:szCs w:val="28"/>
          <w:lang w:eastAsia="zh-CN"/>
        </w:rPr>
      </w:pPr>
      <w:bookmarkStart w:id="0" w:name="OLE_LINK6"/>
      <w:r>
        <w:rPr>
          <w:rFonts w:ascii="仿宋" w:eastAsia="仿宋" w:hAnsi="仿宋" w:cs="仿宋" w:hint="eastAsia"/>
          <w:b/>
          <w:bCs/>
          <w:snapToGrid/>
          <w:kern w:val="2"/>
          <w:sz w:val="28"/>
          <w:szCs w:val="28"/>
          <w:lang w:eastAsia="zh-CN"/>
        </w:rPr>
        <w:t>（二）</w:t>
      </w:r>
      <w:bookmarkEnd w:id="0"/>
      <w:proofErr w:type="gramStart"/>
      <w:r>
        <w:rPr>
          <w:rFonts w:ascii="仿宋" w:eastAsia="仿宋" w:hAnsi="仿宋" w:cs="仿宋" w:hint="eastAsia"/>
          <w:b/>
          <w:bCs/>
          <w:snapToGrid/>
          <w:kern w:val="2"/>
          <w:sz w:val="28"/>
          <w:szCs w:val="28"/>
          <w:lang w:eastAsia="zh-CN"/>
        </w:rPr>
        <w:t>逐项</w:t>
      </w:r>
      <w:r>
        <w:rPr>
          <w:rFonts w:ascii="仿宋" w:eastAsia="仿宋" w:hAnsi="仿宋" w:cs="仿宋"/>
          <w:b/>
          <w:bCs/>
          <w:snapToGrid/>
          <w:kern w:val="2"/>
          <w:sz w:val="28"/>
          <w:szCs w:val="28"/>
          <w:lang w:eastAsia="zh-CN"/>
        </w:rPr>
        <w:t>审议</w:t>
      </w:r>
      <w:proofErr w:type="gramEnd"/>
      <w:r>
        <w:rPr>
          <w:rFonts w:ascii="仿宋" w:eastAsia="仿宋" w:hAnsi="仿宋" w:cs="仿宋"/>
          <w:b/>
          <w:bCs/>
          <w:snapToGrid/>
          <w:kern w:val="2"/>
          <w:sz w:val="28"/>
          <w:szCs w:val="28"/>
          <w:lang w:eastAsia="zh-CN"/>
        </w:rPr>
        <w:t>通过《关于公司发行股份及支付现金购买资产并募集配套</w:t>
      </w:r>
      <w:r>
        <w:rPr>
          <w:rFonts w:ascii="仿宋" w:eastAsia="仿宋" w:hAnsi="仿宋" w:cs="仿宋" w:hint="eastAsia"/>
          <w:b/>
          <w:bCs/>
          <w:snapToGrid/>
          <w:kern w:val="2"/>
          <w:sz w:val="28"/>
          <w:szCs w:val="28"/>
          <w:lang w:eastAsia="zh-CN"/>
        </w:rPr>
        <w:t>资金</w:t>
      </w:r>
      <w:r>
        <w:rPr>
          <w:rFonts w:ascii="仿宋" w:eastAsia="仿宋" w:hAnsi="仿宋" w:cs="仿宋"/>
          <w:b/>
          <w:bCs/>
          <w:snapToGrid/>
          <w:kern w:val="2"/>
          <w:sz w:val="28"/>
          <w:szCs w:val="28"/>
          <w:lang w:eastAsia="zh-CN"/>
        </w:rPr>
        <w:t>暨关联交易的议案》，具体情况如下：</w:t>
      </w:r>
    </w:p>
    <w:p w14:paraId="5F343671" w14:textId="77777777" w:rsidR="00480A29"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bookmarkStart w:id="1" w:name="_Toc1595216638"/>
      <w:r>
        <w:rPr>
          <w:rFonts w:ascii="仿宋" w:eastAsia="仿宋" w:hAnsi="仿宋" w:hint="eastAsia"/>
          <w:b/>
          <w:bCs/>
          <w:sz w:val="28"/>
          <w:szCs w:val="28"/>
          <w:lang w:eastAsia="zh-CN"/>
        </w:rPr>
        <w:t>1.本次交易方案概述</w:t>
      </w:r>
      <w:bookmarkEnd w:id="1"/>
    </w:p>
    <w:p w14:paraId="711971E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本次交易方案包括：（一）公司拟以发行股份及支付现金方式购买星云开物的100%股权（以下简称“本次发行股份及支付现金购买资产”）；（二）公司拟向公司</w:t>
      </w:r>
      <w:r>
        <w:rPr>
          <w:rFonts w:ascii="仿宋" w:eastAsia="仿宋" w:hAnsi="仿宋" w:hint="eastAsia"/>
          <w:sz w:val="28"/>
          <w:lang w:eastAsia="zh-CN"/>
        </w:rPr>
        <w:t>实际控制人马</w:t>
      </w:r>
      <w:proofErr w:type="gramStart"/>
      <w:r>
        <w:rPr>
          <w:rFonts w:ascii="仿宋" w:eastAsia="仿宋" w:hAnsi="仿宋" w:hint="eastAsia"/>
          <w:sz w:val="28"/>
          <w:lang w:eastAsia="zh-CN"/>
        </w:rPr>
        <w:t>学沛先生</w:t>
      </w:r>
      <w:proofErr w:type="gramEnd"/>
      <w:r>
        <w:rPr>
          <w:rFonts w:ascii="仿宋" w:eastAsia="仿宋" w:hAnsi="仿宋" w:hint="eastAsia"/>
          <w:sz w:val="28"/>
          <w:szCs w:val="28"/>
          <w:lang w:eastAsia="zh-CN"/>
        </w:rPr>
        <w:t>发行股票募集配套资金，发行股份数量不超过本次发行股份购买资产完成后上市公司总股本的30%，募集配套资金总额不超过本次交易中以发行股份方式购买资产的交易价格的100%（以下简称“本次募集配套资金”）。</w:t>
      </w:r>
    </w:p>
    <w:p w14:paraId="7833977C"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本次发行股份及支付现金购买资产不以募集配套资金的成功实施为前提，最终配套融资发行成功与否或是否足额募集不影响本次发行股份及支付现金购买资产行为的实施。</w:t>
      </w:r>
    </w:p>
    <w:p w14:paraId="6E4777E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表决结果：同意票3票，反对票0票，弃权票数0票。</w:t>
      </w:r>
    </w:p>
    <w:p w14:paraId="46CF4BCE"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回避表决情况：本议案不存在回避表决情况。</w:t>
      </w:r>
    </w:p>
    <w:p w14:paraId="10B5AB4C" w14:textId="77777777" w:rsidR="00480A29" w:rsidRDefault="00000000">
      <w:pPr>
        <w:widowControl w:val="0"/>
        <w:numPr>
          <w:ilvl w:val="255"/>
          <w:numId w:val="0"/>
        </w:numPr>
        <w:kinsoku/>
        <w:autoSpaceDE/>
        <w:autoSpaceDN/>
        <w:adjustRightInd/>
        <w:snapToGrid/>
        <w:spacing w:beforeLines="50" w:before="120" w:line="360" w:lineRule="auto"/>
        <w:jc w:val="both"/>
        <w:textAlignment w:val="auto"/>
        <w:outlineLvl w:val="2"/>
        <w:rPr>
          <w:rFonts w:ascii="仿宋" w:eastAsia="仿宋" w:hAnsi="仿宋" w:hint="eastAsia"/>
          <w:b/>
          <w:bCs/>
          <w:sz w:val="28"/>
          <w:szCs w:val="28"/>
          <w:lang w:eastAsia="zh-CN"/>
        </w:rPr>
      </w:pPr>
      <w:r>
        <w:rPr>
          <w:rFonts w:ascii="仿宋" w:eastAsia="仿宋" w:hAnsi="仿宋" w:hint="eastAsia"/>
          <w:b/>
          <w:bCs/>
          <w:sz w:val="28"/>
          <w:szCs w:val="28"/>
          <w:lang w:eastAsia="zh-CN"/>
        </w:rPr>
        <w:t>2.本次交易的具体方案</w:t>
      </w:r>
    </w:p>
    <w:p w14:paraId="24793CAE" w14:textId="77777777" w:rsidR="00480A29" w:rsidRDefault="00000000">
      <w:pPr>
        <w:numPr>
          <w:ilvl w:val="255"/>
          <w:numId w:val="0"/>
        </w:numPr>
        <w:spacing w:beforeLines="50" w:before="120" w:line="360" w:lineRule="auto"/>
        <w:jc w:val="both"/>
        <w:outlineLvl w:val="2"/>
        <w:rPr>
          <w:rFonts w:ascii="仿宋" w:eastAsia="仿宋" w:hAnsi="仿宋" w:hint="eastAsia"/>
          <w:sz w:val="28"/>
          <w:szCs w:val="28"/>
          <w:lang w:eastAsia="zh-CN"/>
        </w:rPr>
      </w:pPr>
      <w:r>
        <w:rPr>
          <w:rFonts w:ascii="仿宋" w:eastAsia="仿宋" w:hAnsi="仿宋" w:hint="eastAsia"/>
          <w:sz w:val="28"/>
          <w:szCs w:val="28"/>
          <w:lang w:eastAsia="zh-CN"/>
        </w:rPr>
        <w:t>（1）本次发行股份及支付现金购买资产的具体方案</w:t>
      </w:r>
    </w:p>
    <w:p w14:paraId="5A19B048"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bookmarkStart w:id="2" w:name="OLE_LINK1"/>
      <w:r>
        <w:rPr>
          <w:rFonts w:ascii="仿宋" w:eastAsia="仿宋" w:hAnsi="仿宋" w:hint="eastAsia"/>
          <w:sz w:val="28"/>
          <w:szCs w:val="28"/>
          <w:lang w:eastAsia="zh-CN"/>
        </w:rPr>
        <w:t>1)</w:t>
      </w:r>
      <w:bookmarkEnd w:id="2"/>
      <w:r>
        <w:rPr>
          <w:rFonts w:ascii="仿宋" w:eastAsia="仿宋" w:hAnsi="仿宋" w:hint="eastAsia"/>
          <w:sz w:val="28"/>
          <w:szCs w:val="28"/>
          <w:lang w:eastAsia="zh-CN"/>
        </w:rPr>
        <w:t>交易标的及交易对手</w:t>
      </w:r>
    </w:p>
    <w:p w14:paraId="268CA88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本次发行股份及支付现金购买资产的交易标的为星云开物的100%股权。本次发行股份及支付现金购买资产的交易对手为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w:t>
      </w:r>
      <w:proofErr w:type="gramStart"/>
      <w:r>
        <w:rPr>
          <w:rFonts w:ascii="仿宋" w:eastAsia="仿宋" w:hAnsi="仿宋" w:hint="eastAsia"/>
          <w:sz w:val="28"/>
          <w:szCs w:val="28"/>
          <w:lang w:eastAsia="zh-CN"/>
        </w:rPr>
        <w:t>熙</w:t>
      </w:r>
      <w:proofErr w:type="gramEnd"/>
      <w:r>
        <w:rPr>
          <w:rFonts w:ascii="仿宋" w:eastAsia="仿宋" w:hAnsi="仿宋" w:hint="eastAsia"/>
          <w:sz w:val="28"/>
          <w:szCs w:val="28"/>
          <w:lang w:eastAsia="zh-CN"/>
        </w:rPr>
        <w:t>投资合伙企业（有限合伙）、珠海乐腾腾投资合伙企业（有限合伙）、深圳市前海千</w:t>
      </w:r>
      <w:proofErr w:type="gramStart"/>
      <w:r>
        <w:rPr>
          <w:rFonts w:ascii="仿宋" w:eastAsia="仿宋" w:hAnsi="仿宋" w:hint="eastAsia"/>
          <w:sz w:val="28"/>
          <w:szCs w:val="28"/>
          <w:lang w:eastAsia="zh-CN"/>
        </w:rPr>
        <w:t>意智合三期</w:t>
      </w:r>
      <w:proofErr w:type="gramEnd"/>
      <w:r>
        <w:rPr>
          <w:rFonts w:ascii="仿宋" w:eastAsia="仿宋" w:hAnsi="仿宋" w:hint="eastAsia"/>
          <w:sz w:val="28"/>
          <w:szCs w:val="28"/>
          <w:lang w:eastAsia="zh-CN"/>
        </w:rPr>
        <w:t>投资合伙企业（有限合伙）、胡俊、王佳、杨裕雄、珠海乐哈哈投资合伙企业（有限合伙）、广州广发信德二期创业投资合伙企业（有限合伙）、</w:t>
      </w:r>
      <w:proofErr w:type="gramStart"/>
      <w:r>
        <w:rPr>
          <w:rFonts w:ascii="仿宋" w:eastAsia="仿宋" w:hAnsi="仿宋" w:hint="eastAsia"/>
          <w:sz w:val="28"/>
          <w:szCs w:val="28"/>
          <w:lang w:eastAsia="zh-CN"/>
        </w:rPr>
        <w:t>璀璨德</w:t>
      </w:r>
      <w:proofErr w:type="gramEnd"/>
      <w:r>
        <w:rPr>
          <w:rFonts w:ascii="仿宋" w:eastAsia="仿宋" w:hAnsi="仿宋" w:hint="eastAsia"/>
          <w:sz w:val="28"/>
          <w:szCs w:val="28"/>
          <w:lang w:eastAsia="zh-CN"/>
        </w:rPr>
        <w:t>商（深圳）创业投资中心（有限合伙）、广州信</w:t>
      </w:r>
      <w:proofErr w:type="gramStart"/>
      <w:r>
        <w:rPr>
          <w:rFonts w:ascii="仿宋" w:eastAsia="仿宋" w:hAnsi="仿宋" w:hint="eastAsia"/>
          <w:sz w:val="28"/>
          <w:szCs w:val="28"/>
          <w:lang w:eastAsia="zh-CN"/>
        </w:rPr>
        <w:t>德创业营</w:t>
      </w:r>
      <w:proofErr w:type="gramEnd"/>
      <w:r>
        <w:rPr>
          <w:rFonts w:ascii="仿宋" w:eastAsia="仿宋" w:hAnsi="仿宋" w:hint="eastAsia"/>
          <w:sz w:val="28"/>
          <w:szCs w:val="28"/>
          <w:lang w:eastAsia="zh-CN"/>
        </w:rPr>
        <w:t>股权投资合伙企业（有限合伙）、珠海</w:t>
      </w:r>
      <w:proofErr w:type="gramStart"/>
      <w:r>
        <w:rPr>
          <w:rFonts w:ascii="仿宋" w:eastAsia="仿宋" w:hAnsi="仿宋" w:hint="eastAsia"/>
          <w:sz w:val="28"/>
          <w:szCs w:val="28"/>
          <w:lang w:eastAsia="zh-CN"/>
        </w:rPr>
        <w:t>乐摇投资</w:t>
      </w:r>
      <w:proofErr w:type="gramEnd"/>
      <w:r>
        <w:rPr>
          <w:rFonts w:ascii="仿宋" w:eastAsia="仿宋" w:hAnsi="仿宋" w:hint="eastAsia"/>
          <w:sz w:val="28"/>
          <w:szCs w:val="28"/>
          <w:lang w:eastAsia="zh-CN"/>
        </w:rPr>
        <w:t>合伙企业（有限合伙）、珠海康</w:t>
      </w:r>
      <w:proofErr w:type="gramStart"/>
      <w:r>
        <w:rPr>
          <w:rFonts w:ascii="仿宋" w:eastAsia="仿宋" w:hAnsi="仿宋" w:hint="eastAsia"/>
          <w:sz w:val="28"/>
          <w:szCs w:val="28"/>
          <w:lang w:eastAsia="zh-CN"/>
        </w:rPr>
        <w:t>远投资</w:t>
      </w:r>
      <w:proofErr w:type="gramEnd"/>
      <w:r>
        <w:rPr>
          <w:rFonts w:ascii="仿宋" w:eastAsia="仿宋" w:hAnsi="仿宋" w:hint="eastAsia"/>
          <w:sz w:val="28"/>
          <w:szCs w:val="28"/>
          <w:lang w:eastAsia="zh-CN"/>
        </w:rPr>
        <w:t>企业（有限合伙）、上海德盾企业管理合伙企业（有限合伙）。</w:t>
      </w:r>
    </w:p>
    <w:p w14:paraId="7D2A0BD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bookmarkStart w:id="3" w:name="OLE_LINK3"/>
      <w:r>
        <w:rPr>
          <w:rFonts w:ascii="仿宋" w:eastAsia="仿宋" w:hAnsi="仿宋"/>
          <w:sz w:val="28"/>
          <w:szCs w:val="28"/>
          <w:lang w:eastAsia="zh-CN"/>
        </w:rPr>
        <w:t>表决结果：同意票3票，反对票0票，弃权票数0票。</w:t>
      </w:r>
    </w:p>
    <w:p w14:paraId="51165921"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282E1DDC"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bookmarkStart w:id="4" w:name="OLE_LINK2"/>
      <w:bookmarkEnd w:id="3"/>
      <w:r>
        <w:rPr>
          <w:rFonts w:ascii="仿宋" w:eastAsia="仿宋" w:hAnsi="仿宋" w:hint="eastAsia"/>
          <w:sz w:val="28"/>
          <w:szCs w:val="28"/>
          <w:lang w:eastAsia="zh-CN"/>
        </w:rPr>
        <w:t>2)</w:t>
      </w:r>
      <w:bookmarkEnd w:id="4"/>
      <w:r>
        <w:rPr>
          <w:rFonts w:ascii="仿宋" w:eastAsia="仿宋" w:hAnsi="仿宋" w:hint="eastAsia"/>
          <w:sz w:val="28"/>
          <w:szCs w:val="28"/>
          <w:lang w:eastAsia="zh-CN"/>
        </w:rPr>
        <w:t>交易价格及定价依据</w:t>
      </w:r>
    </w:p>
    <w:p w14:paraId="0C3C4256"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截至《广东天亿马信息产业股份有限公司发行股份及支付现金购买资产并募集配套资金暨关联交易预案》签署之日，标的资产的审计和评估工作尚未完成，具体评估值和交易价格尚未确定。标的资产的最终交易价格将在参考评估机构出具的评估报告载明的评估值的基础上，经交易各方协商确定。</w:t>
      </w:r>
    </w:p>
    <w:p w14:paraId="7EC9A6A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190BEEA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772F7A79"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lastRenderedPageBreak/>
        <w:t>3)支付方式及支付期限</w:t>
      </w:r>
    </w:p>
    <w:p w14:paraId="737A6612"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本次发行股份及支付现金购买资产的交易对</w:t>
      </w:r>
      <w:proofErr w:type="gramStart"/>
      <w:r>
        <w:rPr>
          <w:rFonts w:ascii="仿宋" w:eastAsia="仿宋" w:hAnsi="仿宋"/>
          <w:sz w:val="28"/>
          <w:szCs w:val="28"/>
          <w:lang w:eastAsia="zh-CN"/>
        </w:rPr>
        <w:t>价采取</w:t>
      </w:r>
      <w:proofErr w:type="gramEnd"/>
      <w:r>
        <w:rPr>
          <w:rFonts w:ascii="仿宋" w:eastAsia="仿宋" w:hAnsi="仿宋"/>
          <w:sz w:val="28"/>
          <w:szCs w:val="28"/>
          <w:lang w:eastAsia="zh-CN"/>
        </w:rPr>
        <w:t>发行股份及支付现金的方式进行支付，发行股份支付和现金支付的具体金额在交易价格和支付时间确定的同时进行明确，并将在重组报告书（草案）中予以披露</w:t>
      </w:r>
      <w:r>
        <w:rPr>
          <w:rFonts w:ascii="仿宋" w:eastAsia="仿宋" w:hAnsi="仿宋" w:hint="eastAsia"/>
          <w:sz w:val="28"/>
          <w:szCs w:val="28"/>
          <w:lang w:eastAsia="zh-CN"/>
        </w:rPr>
        <w:t>。</w:t>
      </w:r>
    </w:p>
    <w:p w14:paraId="39AAB2F5"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64A0229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311E33E5"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4)发行股份的种类、面值和上市地点</w:t>
      </w:r>
    </w:p>
    <w:p w14:paraId="6EB9A032"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本次发行股份及支付现金购买资产所发行股份为境内上市的人民币A股普通股，每股面值1.00元，上市地点为深圳证券交易所（以下简称“深交所”）。</w:t>
      </w:r>
    </w:p>
    <w:p w14:paraId="62438D5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5492CB2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1807A569"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5)发行方式及发行对象</w:t>
      </w:r>
    </w:p>
    <w:p w14:paraId="786172A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本次发行股份及支付现金购买资产采用向特定对象发行股份的方式，发行对象为全部或部分交易对方，具体由交易双方协商确定。</w:t>
      </w:r>
    </w:p>
    <w:p w14:paraId="4D79464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40897C7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0CC55354"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6)定价基准日</w:t>
      </w:r>
    </w:p>
    <w:p w14:paraId="091A78F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本次发行股份及支付现金购买资产的定价基准日为公司首次审议本次交易事项的董事会会议决议公告日，即公司第</w:t>
      </w:r>
      <w:r>
        <w:rPr>
          <w:rFonts w:ascii="仿宋" w:eastAsia="仿宋" w:hAnsi="仿宋" w:hint="eastAsia"/>
          <w:sz w:val="28"/>
          <w:szCs w:val="28"/>
          <w:lang w:eastAsia="zh-CN"/>
        </w:rPr>
        <w:t>三</w:t>
      </w:r>
      <w:r>
        <w:rPr>
          <w:rFonts w:ascii="仿宋" w:eastAsia="仿宋" w:hAnsi="仿宋"/>
          <w:sz w:val="28"/>
          <w:szCs w:val="28"/>
          <w:lang w:eastAsia="zh-CN"/>
        </w:rPr>
        <w:t>届董事会</w:t>
      </w:r>
      <w:r>
        <w:rPr>
          <w:rFonts w:ascii="仿宋" w:eastAsia="仿宋" w:hAnsi="仿宋" w:hint="eastAsia"/>
          <w:sz w:val="28"/>
          <w:szCs w:val="28"/>
          <w:lang w:eastAsia="zh-CN"/>
        </w:rPr>
        <w:t>第三十二次</w:t>
      </w:r>
      <w:r>
        <w:rPr>
          <w:rFonts w:ascii="仿宋" w:eastAsia="仿宋" w:hAnsi="仿宋"/>
          <w:sz w:val="28"/>
          <w:szCs w:val="28"/>
          <w:lang w:eastAsia="zh-CN"/>
        </w:rPr>
        <w:t>会议决议公告日。</w:t>
      </w:r>
    </w:p>
    <w:p w14:paraId="579E443C"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6DACA2B6"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回避表决情况：本议案不存在回避表决情况。</w:t>
      </w:r>
    </w:p>
    <w:p w14:paraId="5FB9ED54"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7)发行价格及定价依据</w:t>
      </w:r>
    </w:p>
    <w:p w14:paraId="7AD28BF9"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根据《上市公司重大资产重组管理办法》，广东天亿马信息产业股份有限公司发行股份购买资产的发行股份价格不得低于市场参考价的80%。市场参考价为本次发行股份购买资产的董事会决议公告日前20个交易日、60个交易日或者120个交易日的公司股票交易均价之一，交易均价的计算公式为：董事会决议公告日前若干个交易日公司股票交易均价＝决议公告日前若干个交易日公司股票交易总额/决议公告日前若干个交易日公司股票交易总量。</w:t>
      </w:r>
    </w:p>
    <w:p w14:paraId="7A50D533"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公司本次发行股份及支付现金购买资产定价基准日前20个交易日、60个交易日及120个交易日的股票交易（考虑期间除权除息影响）均价情况如下：</w:t>
      </w:r>
    </w:p>
    <w:tbl>
      <w:tblPr>
        <w:tblStyle w:val="a8"/>
        <w:tblW w:w="4998" w:type="pct"/>
        <w:tblLook w:val="04A0" w:firstRow="1" w:lastRow="0" w:firstColumn="1" w:lastColumn="0" w:noHBand="0" w:noVBand="1"/>
      </w:tblPr>
      <w:tblGrid>
        <w:gridCol w:w="2911"/>
        <w:gridCol w:w="2515"/>
        <w:gridCol w:w="3179"/>
      </w:tblGrid>
      <w:tr w:rsidR="00480A29" w14:paraId="7D8BD211" w14:textId="77777777">
        <w:trPr>
          <w:trHeight w:val="454"/>
        </w:trPr>
        <w:tc>
          <w:tcPr>
            <w:tcW w:w="1691" w:type="pct"/>
            <w:vAlign w:val="center"/>
          </w:tcPr>
          <w:p w14:paraId="0A100E93" w14:textId="77777777" w:rsidR="00480A29" w:rsidRDefault="00000000">
            <w:pPr>
              <w:spacing w:beforeLines="50" w:before="120" w:line="360" w:lineRule="auto"/>
              <w:jc w:val="center"/>
              <w:rPr>
                <w:rFonts w:ascii="仿宋" w:eastAsia="仿宋" w:hAnsi="仿宋" w:cs="Times New Roman" w:hint="eastAsia"/>
                <w:b/>
                <w:bCs/>
                <w:lang w:eastAsia="zh-CN"/>
              </w:rPr>
            </w:pPr>
            <w:r>
              <w:rPr>
                <w:rFonts w:ascii="仿宋" w:eastAsia="仿宋" w:hAnsi="仿宋" w:cs="Times New Roman" w:hint="eastAsia"/>
                <w:b/>
                <w:bCs/>
                <w:lang w:eastAsia="zh-CN"/>
              </w:rPr>
              <w:t>股票交易均价计算区间</w:t>
            </w:r>
          </w:p>
        </w:tc>
        <w:tc>
          <w:tcPr>
            <w:tcW w:w="1461" w:type="pct"/>
            <w:vAlign w:val="center"/>
          </w:tcPr>
          <w:p w14:paraId="250BD96C" w14:textId="77777777" w:rsidR="00480A29" w:rsidRDefault="00000000">
            <w:pPr>
              <w:spacing w:beforeLines="50" w:before="120" w:line="360" w:lineRule="auto"/>
              <w:jc w:val="center"/>
              <w:rPr>
                <w:rFonts w:ascii="仿宋" w:eastAsia="仿宋" w:hAnsi="仿宋" w:cs="Times New Roman" w:hint="eastAsia"/>
                <w:b/>
                <w:bCs/>
                <w:lang w:eastAsia="zh-CN"/>
              </w:rPr>
            </w:pPr>
            <w:r>
              <w:rPr>
                <w:rFonts w:ascii="仿宋" w:eastAsia="仿宋" w:hAnsi="仿宋" w:cs="Times New Roman" w:hint="eastAsia"/>
                <w:b/>
                <w:bCs/>
                <w:lang w:eastAsia="zh-CN"/>
              </w:rPr>
              <w:t>交易均价（元/股）</w:t>
            </w:r>
          </w:p>
        </w:tc>
        <w:tc>
          <w:tcPr>
            <w:tcW w:w="1846" w:type="pct"/>
            <w:vAlign w:val="center"/>
          </w:tcPr>
          <w:p w14:paraId="52A0CAAB" w14:textId="77777777" w:rsidR="00480A29" w:rsidRDefault="00000000">
            <w:pPr>
              <w:spacing w:beforeLines="50" w:before="120" w:line="360" w:lineRule="auto"/>
              <w:jc w:val="center"/>
              <w:rPr>
                <w:rFonts w:ascii="仿宋" w:eastAsia="仿宋" w:hAnsi="仿宋" w:cs="Times New Roman" w:hint="eastAsia"/>
                <w:b/>
                <w:bCs/>
                <w:lang w:eastAsia="zh-CN"/>
              </w:rPr>
            </w:pPr>
            <w:r>
              <w:rPr>
                <w:rFonts w:ascii="仿宋" w:eastAsia="仿宋" w:hAnsi="仿宋" w:cs="Times New Roman" w:hint="eastAsia"/>
                <w:b/>
                <w:bCs/>
                <w:lang w:eastAsia="zh-CN"/>
              </w:rPr>
              <w:t>交易均价的80%（元</w:t>
            </w:r>
            <w:r>
              <w:rPr>
                <w:rFonts w:ascii="仿宋" w:eastAsia="仿宋" w:hAnsi="仿宋" w:cs="Times New Roman"/>
                <w:b/>
                <w:bCs/>
                <w:lang w:eastAsia="zh-CN"/>
              </w:rPr>
              <w:t>/</w:t>
            </w:r>
            <w:r>
              <w:rPr>
                <w:rFonts w:ascii="仿宋" w:eastAsia="仿宋" w:hAnsi="仿宋" w:cs="Times New Roman" w:hint="eastAsia"/>
                <w:b/>
                <w:bCs/>
                <w:lang w:eastAsia="zh-CN"/>
              </w:rPr>
              <w:t>股）</w:t>
            </w:r>
          </w:p>
        </w:tc>
      </w:tr>
      <w:tr w:rsidR="00480A29" w14:paraId="6063837A" w14:textId="77777777">
        <w:trPr>
          <w:trHeight w:val="454"/>
        </w:trPr>
        <w:tc>
          <w:tcPr>
            <w:tcW w:w="1691" w:type="pct"/>
            <w:vAlign w:val="center"/>
          </w:tcPr>
          <w:p w14:paraId="7806CF1B"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hint="eastAsia"/>
                <w:lang w:eastAsia="zh-CN"/>
              </w:rPr>
              <w:t>前20个交易日</w:t>
            </w:r>
          </w:p>
        </w:tc>
        <w:tc>
          <w:tcPr>
            <w:tcW w:w="1461" w:type="pct"/>
            <w:vAlign w:val="center"/>
          </w:tcPr>
          <w:p w14:paraId="3844459B"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40.91</w:t>
            </w:r>
          </w:p>
        </w:tc>
        <w:tc>
          <w:tcPr>
            <w:tcW w:w="1846" w:type="pct"/>
            <w:vAlign w:val="center"/>
          </w:tcPr>
          <w:p w14:paraId="2E2F1C75"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32.74</w:t>
            </w:r>
          </w:p>
        </w:tc>
      </w:tr>
      <w:tr w:rsidR="00480A29" w14:paraId="55C6F01C" w14:textId="77777777">
        <w:trPr>
          <w:trHeight w:val="454"/>
        </w:trPr>
        <w:tc>
          <w:tcPr>
            <w:tcW w:w="1691" w:type="pct"/>
            <w:vAlign w:val="center"/>
          </w:tcPr>
          <w:p w14:paraId="64B7CA64"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hint="eastAsia"/>
                <w:lang w:eastAsia="zh-CN"/>
              </w:rPr>
              <w:t>前60个交易日</w:t>
            </w:r>
          </w:p>
        </w:tc>
        <w:tc>
          <w:tcPr>
            <w:tcW w:w="1461" w:type="pct"/>
            <w:vAlign w:val="center"/>
          </w:tcPr>
          <w:p w14:paraId="79DC4DD1"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36.39</w:t>
            </w:r>
          </w:p>
        </w:tc>
        <w:tc>
          <w:tcPr>
            <w:tcW w:w="1846" w:type="pct"/>
            <w:vAlign w:val="center"/>
          </w:tcPr>
          <w:p w14:paraId="13A255EC"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29.12</w:t>
            </w:r>
          </w:p>
        </w:tc>
      </w:tr>
      <w:tr w:rsidR="00480A29" w14:paraId="6B5C3873" w14:textId="77777777">
        <w:trPr>
          <w:trHeight w:val="454"/>
        </w:trPr>
        <w:tc>
          <w:tcPr>
            <w:tcW w:w="1691" w:type="pct"/>
            <w:vAlign w:val="center"/>
          </w:tcPr>
          <w:p w14:paraId="4BF656E9"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hint="eastAsia"/>
                <w:lang w:eastAsia="zh-CN"/>
              </w:rPr>
              <w:t>前120个交易日</w:t>
            </w:r>
          </w:p>
        </w:tc>
        <w:tc>
          <w:tcPr>
            <w:tcW w:w="1461" w:type="pct"/>
            <w:vAlign w:val="center"/>
          </w:tcPr>
          <w:p w14:paraId="44710255"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33.45</w:t>
            </w:r>
          </w:p>
        </w:tc>
        <w:tc>
          <w:tcPr>
            <w:tcW w:w="1846" w:type="pct"/>
            <w:vAlign w:val="center"/>
          </w:tcPr>
          <w:p w14:paraId="3E7360FA" w14:textId="77777777" w:rsidR="00480A29" w:rsidRDefault="00000000">
            <w:pPr>
              <w:spacing w:beforeLines="50" w:before="120" w:line="360" w:lineRule="auto"/>
              <w:jc w:val="center"/>
              <w:rPr>
                <w:rFonts w:ascii="仿宋" w:eastAsia="仿宋" w:hAnsi="仿宋" w:cs="Times New Roman" w:hint="eastAsia"/>
                <w:lang w:eastAsia="zh-CN"/>
              </w:rPr>
            </w:pPr>
            <w:r>
              <w:rPr>
                <w:rFonts w:ascii="仿宋" w:eastAsia="仿宋" w:hAnsi="仿宋" w:cs="Times New Roman"/>
                <w:lang w:eastAsia="zh-CN"/>
              </w:rPr>
              <w:t>26.76</w:t>
            </w:r>
          </w:p>
        </w:tc>
      </w:tr>
    </w:tbl>
    <w:p w14:paraId="4BEE879E"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经各方协商，</w:t>
      </w:r>
      <w:r>
        <w:rPr>
          <w:rFonts w:ascii="仿宋" w:eastAsia="仿宋" w:hAnsi="仿宋" w:hint="eastAsia"/>
          <w:sz w:val="28"/>
          <w:szCs w:val="28"/>
          <w:lang w:eastAsia="zh-CN"/>
        </w:rPr>
        <w:t>确定</w:t>
      </w:r>
      <w:r>
        <w:rPr>
          <w:rFonts w:ascii="仿宋" w:eastAsia="仿宋" w:hAnsi="仿宋"/>
          <w:sz w:val="28"/>
          <w:szCs w:val="28"/>
          <w:lang w:eastAsia="zh-CN"/>
        </w:rPr>
        <w:t>本次发行股份及支付现金购买资产</w:t>
      </w:r>
      <w:r>
        <w:rPr>
          <w:rFonts w:ascii="仿宋" w:eastAsia="仿宋" w:hAnsi="仿宋" w:hint="eastAsia"/>
          <w:sz w:val="28"/>
          <w:szCs w:val="28"/>
          <w:lang w:eastAsia="zh-CN"/>
        </w:rPr>
        <w:t>项下</w:t>
      </w:r>
      <w:r>
        <w:rPr>
          <w:rFonts w:ascii="仿宋" w:eastAsia="仿宋" w:hAnsi="仿宋"/>
          <w:sz w:val="28"/>
          <w:szCs w:val="28"/>
          <w:lang w:eastAsia="zh-CN"/>
        </w:rPr>
        <w:t>的</w:t>
      </w:r>
      <w:r>
        <w:rPr>
          <w:rFonts w:ascii="仿宋" w:eastAsia="仿宋" w:hAnsi="仿宋" w:hint="eastAsia"/>
          <w:sz w:val="28"/>
          <w:szCs w:val="28"/>
          <w:lang w:eastAsia="zh-CN"/>
        </w:rPr>
        <w:t>股份</w:t>
      </w:r>
      <w:r>
        <w:rPr>
          <w:rFonts w:ascii="仿宋" w:eastAsia="仿宋" w:hAnsi="仿宋"/>
          <w:sz w:val="28"/>
          <w:szCs w:val="28"/>
          <w:lang w:eastAsia="zh-CN"/>
        </w:rPr>
        <w:t>发行价格为26.76元/股，不低于定价基准日前120个交易日</w:t>
      </w:r>
      <w:r>
        <w:rPr>
          <w:rFonts w:ascii="仿宋" w:eastAsia="仿宋" w:hAnsi="仿宋" w:hint="eastAsia"/>
          <w:sz w:val="28"/>
          <w:szCs w:val="28"/>
          <w:lang w:eastAsia="zh-CN"/>
        </w:rPr>
        <w:t>公司</w:t>
      </w:r>
      <w:r>
        <w:rPr>
          <w:rFonts w:ascii="仿宋" w:eastAsia="仿宋" w:hAnsi="仿宋"/>
          <w:sz w:val="28"/>
          <w:szCs w:val="28"/>
          <w:lang w:eastAsia="zh-CN"/>
        </w:rPr>
        <w:t>股票交易均价的80%</w:t>
      </w:r>
      <w:r>
        <w:rPr>
          <w:rFonts w:ascii="仿宋" w:eastAsia="仿宋" w:hAnsi="仿宋" w:hint="eastAsia"/>
          <w:sz w:val="28"/>
          <w:szCs w:val="28"/>
          <w:lang w:eastAsia="zh-CN"/>
        </w:rPr>
        <w:t>，且不低于发行前公司最近</w:t>
      </w:r>
      <w:proofErr w:type="gramStart"/>
      <w:r>
        <w:rPr>
          <w:rFonts w:ascii="仿宋" w:eastAsia="仿宋" w:hAnsi="仿宋" w:hint="eastAsia"/>
          <w:sz w:val="28"/>
          <w:szCs w:val="28"/>
          <w:lang w:eastAsia="zh-CN"/>
        </w:rPr>
        <w:t>一</w:t>
      </w:r>
      <w:proofErr w:type="gramEnd"/>
      <w:r>
        <w:rPr>
          <w:rFonts w:ascii="仿宋" w:eastAsia="仿宋" w:hAnsi="仿宋" w:hint="eastAsia"/>
          <w:sz w:val="28"/>
          <w:szCs w:val="28"/>
          <w:lang w:eastAsia="zh-CN"/>
        </w:rPr>
        <w:t>期末审计的归属于母公司普通股股东的每股净资产值。本次发行股份及支付现金购买资产的最终发行价格或定价原则尚须经公司股东会审议批准并经深交所及中国证监会认可。</w:t>
      </w:r>
    </w:p>
    <w:p w14:paraId="18D58B59"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在定价基准日至发行完成期间，如有派息、送红股、转增股本或配股等除权、除息事项的，发行价格将按照相关法律及监管部门的规定进行调整。</w:t>
      </w:r>
    </w:p>
    <w:p w14:paraId="534F8BB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表决结果：同意票3票，反对票0票，弃权票数0票。</w:t>
      </w:r>
    </w:p>
    <w:p w14:paraId="2DB059D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10D9D78E"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8)发行数量</w:t>
      </w:r>
    </w:p>
    <w:p w14:paraId="102F181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本次发行股份及支付现金购买资产的具体发行数量将由下列公式计算：</w:t>
      </w:r>
    </w:p>
    <w:p w14:paraId="79BBD1F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向各交易对方发行股份数量=广东天亿马信息产业股份有限公司以发行股份方式向各交易对方支付的标的资产对</w:t>
      </w:r>
      <w:proofErr w:type="gramStart"/>
      <w:r>
        <w:rPr>
          <w:rFonts w:ascii="仿宋" w:eastAsia="仿宋" w:hAnsi="仿宋"/>
          <w:sz w:val="28"/>
          <w:szCs w:val="28"/>
          <w:lang w:eastAsia="zh-CN"/>
        </w:rPr>
        <w:t>价金额</w:t>
      </w:r>
      <w:proofErr w:type="gramEnd"/>
      <w:r>
        <w:rPr>
          <w:rFonts w:ascii="仿宋" w:eastAsia="仿宋" w:hAnsi="仿宋"/>
          <w:sz w:val="28"/>
          <w:szCs w:val="28"/>
          <w:lang w:eastAsia="zh-CN"/>
        </w:rPr>
        <w:t>÷本次发行价格（如有调价，则按调整后确定的发行价格）（不足一股的舍去尾数取整；单位：股）</w:t>
      </w:r>
    </w:p>
    <w:p w14:paraId="3573DA7C"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发行股份总数量=向各交易对方发行股份数量之</w:t>
      </w:r>
      <w:proofErr w:type="gramStart"/>
      <w:r>
        <w:rPr>
          <w:rFonts w:ascii="仿宋" w:eastAsia="仿宋" w:hAnsi="仿宋"/>
          <w:sz w:val="28"/>
          <w:szCs w:val="28"/>
          <w:lang w:eastAsia="zh-CN"/>
        </w:rPr>
        <w:t>和</w:t>
      </w:r>
      <w:proofErr w:type="gramEnd"/>
      <w:r>
        <w:rPr>
          <w:rFonts w:ascii="仿宋" w:eastAsia="仿宋" w:hAnsi="仿宋" w:hint="eastAsia"/>
          <w:sz w:val="28"/>
          <w:szCs w:val="28"/>
          <w:lang w:eastAsia="zh-CN"/>
        </w:rPr>
        <w:t>。</w:t>
      </w:r>
    </w:p>
    <w:p w14:paraId="38919F63"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最终发行股份数量将根据最终交易对价进行调整，并以上市公司</w:t>
      </w:r>
      <w:r>
        <w:rPr>
          <w:rFonts w:ascii="仿宋" w:eastAsia="仿宋" w:hAnsi="仿宋" w:hint="eastAsia"/>
          <w:sz w:val="28"/>
          <w:szCs w:val="28"/>
          <w:lang w:eastAsia="zh-CN"/>
        </w:rPr>
        <w:t>股东会</w:t>
      </w:r>
      <w:r>
        <w:rPr>
          <w:rFonts w:ascii="仿宋" w:eastAsia="仿宋" w:hAnsi="仿宋"/>
          <w:sz w:val="28"/>
          <w:szCs w:val="28"/>
          <w:lang w:eastAsia="zh-CN"/>
        </w:rPr>
        <w:t>批准，并经深交所审核通过以及中国证监会同意注册的发行股份数量为准。在本次公司发行股份及支付现金购买资产定价基准日至发行完成期间，上市公司如有派息、送红股、转增股本或配股等除权、除息事项的，发行数量将根据发行价格的调整情况进行相应调整。</w:t>
      </w:r>
    </w:p>
    <w:p w14:paraId="459C78B9"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1ED0304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384329A5"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9)锁定期安排</w:t>
      </w:r>
    </w:p>
    <w:p w14:paraId="03A16108"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陈耿豪</w:t>
      </w:r>
      <w:r>
        <w:rPr>
          <w:rFonts w:ascii="仿宋" w:eastAsia="仿宋" w:hAnsi="仿宋"/>
          <w:sz w:val="28"/>
          <w:szCs w:val="28"/>
          <w:lang w:eastAsia="zh-CN"/>
        </w:rPr>
        <w:t>等</w:t>
      </w:r>
      <w:r>
        <w:rPr>
          <w:rFonts w:ascii="仿宋" w:eastAsia="仿宋" w:hAnsi="仿宋" w:hint="eastAsia"/>
          <w:sz w:val="28"/>
          <w:szCs w:val="28"/>
          <w:lang w:eastAsia="zh-CN"/>
        </w:rPr>
        <w:t>22名交易</w:t>
      </w:r>
      <w:r>
        <w:rPr>
          <w:rFonts w:ascii="仿宋" w:eastAsia="仿宋" w:hAnsi="仿宋"/>
          <w:sz w:val="28"/>
          <w:szCs w:val="28"/>
          <w:lang w:eastAsia="zh-CN"/>
        </w:rPr>
        <w:t>对方通过本次购买资产取得股份的锁定期将在满足《上市公司重大资产重组管理办法》等法律法规、规范性文件要求的前提下，由公司与交易对方协商一致确定，具体股份锁定情况将在重组报告书中详细披露。</w:t>
      </w:r>
    </w:p>
    <w:p w14:paraId="61142B53"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若本次交易签订明确的业绩补偿协议，</w:t>
      </w:r>
      <w:proofErr w:type="gramStart"/>
      <w:r>
        <w:rPr>
          <w:rFonts w:ascii="仿宋" w:eastAsia="仿宋" w:hAnsi="仿宋"/>
          <w:sz w:val="28"/>
          <w:szCs w:val="28"/>
          <w:lang w:eastAsia="zh-CN"/>
        </w:rPr>
        <w:t>则业绩</w:t>
      </w:r>
      <w:proofErr w:type="gramEnd"/>
      <w:r>
        <w:rPr>
          <w:rFonts w:ascii="仿宋" w:eastAsia="仿宋" w:hAnsi="仿宋"/>
          <w:sz w:val="28"/>
          <w:szCs w:val="28"/>
          <w:lang w:eastAsia="zh-CN"/>
        </w:rPr>
        <w:t>补偿协议的签署方将通过签订书面补充协议的方式进一步</w:t>
      </w:r>
      <w:proofErr w:type="gramStart"/>
      <w:r>
        <w:rPr>
          <w:rFonts w:ascii="仿宋" w:eastAsia="仿宋" w:hAnsi="仿宋"/>
          <w:sz w:val="28"/>
          <w:szCs w:val="28"/>
          <w:lang w:eastAsia="zh-CN"/>
        </w:rPr>
        <w:t>明确因</w:t>
      </w:r>
      <w:proofErr w:type="gramEnd"/>
      <w:r>
        <w:rPr>
          <w:rFonts w:ascii="仿宋" w:eastAsia="仿宋" w:hAnsi="仿宋"/>
          <w:sz w:val="28"/>
          <w:szCs w:val="28"/>
          <w:lang w:eastAsia="zh-CN"/>
        </w:rPr>
        <w:t>本次交易取得的上市公司股份的锁定期安排。</w:t>
      </w:r>
    </w:p>
    <w:p w14:paraId="5DCEEA9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bookmarkStart w:id="5" w:name="OLE_LINK4"/>
      <w:r>
        <w:rPr>
          <w:rFonts w:ascii="仿宋" w:eastAsia="仿宋" w:hAnsi="仿宋"/>
          <w:sz w:val="28"/>
          <w:szCs w:val="28"/>
          <w:lang w:eastAsia="zh-CN"/>
        </w:rPr>
        <w:t>表决结果：同意票3票，反对票0票，弃权票数0票。</w:t>
      </w:r>
    </w:p>
    <w:p w14:paraId="6609873A"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bookmarkEnd w:id="5"/>
    <w:p w14:paraId="07DACCD3"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10)过渡期间损益</w:t>
      </w:r>
    </w:p>
    <w:p w14:paraId="6FF062D0" w14:textId="77777777" w:rsidR="00480A29"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鉴于标的资产的审计、评估工作尚未完成，本次交易暂未对过渡期间损益安排进行约定。标的资产过渡期间损益安排将于本次交易相关的审计、评估工作完成后，由各方另行签署补充协议正式约定。</w:t>
      </w:r>
    </w:p>
    <w:p w14:paraId="740BAD2F" w14:textId="77777777" w:rsidR="00480A29"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表决结果：同意票3票，反对票0票，弃权票数0票。</w:t>
      </w:r>
    </w:p>
    <w:p w14:paraId="7EFFEC5E" w14:textId="77777777" w:rsidR="00480A29" w:rsidRDefault="00000000">
      <w:pPr>
        <w:numPr>
          <w:ilvl w:val="255"/>
          <w:numId w:val="0"/>
        </w:num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回避表决情况：本议案不存在回避表决情况。</w:t>
      </w:r>
    </w:p>
    <w:p w14:paraId="31F7BFC2"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11)滚存未分配利润的安排</w:t>
      </w:r>
    </w:p>
    <w:p w14:paraId="088448A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公司在本次交易完成前的滚存未分配利润由本次交易完成后公司的新老股东共同享有。</w:t>
      </w:r>
    </w:p>
    <w:p w14:paraId="55E3D39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bookmarkStart w:id="6" w:name="OLE_LINK5"/>
      <w:r>
        <w:rPr>
          <w:rFonts w:ascii="仿宋" w:eastAsia="仿宋" w:hAnsi="仿宋" w:hint="eastAsia"/>
          <w:sz w:val="28"/>
          <w:szCs w:val="28"/>
          <w:lang w:eastAsia="zh-CN"/>
        </w:rPr>
        <w:t>表决结果：同意票3票，反对票0票，弃权票数0票。</w:t>
      </w:r>
    </w:p>
    <w:p w14:paraId="2039D03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回避表决情况：本议案不存在回避表决情况。</w:t>
      </w:r>
    </w:p>
    <w:bookmarkEnd w:id="6"/>
    <w:p w14:paraId="2CF7C6FD"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12)决议有效期</w:t>
      </w:r>
    </w:p>
    <w:p w14:paraId="38999C52"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本次发行股份及支付现金购买资产方案的决议经公司股东会审议通过之日起12个月内有效。如本次交易在上述有效期内取得</w:t>
      </w:r>
      <w:r>
        <w:rPr>
          <w:rFonts w:ascii="仿宋" w:eastAsia="仿宋" w:hAnsi="仿宋" w:hint="eastAsia"/>
          <w:sz w:val="28"/>
          <w:szCs w:val="28"/>
          <w:lang w:eastAsia="zh-CN"/>
        </w:rPr>
        <w:t>深圳</w:t>
      </w:r>
      <w:r>
        <w:rPr>
          <w:rFonts w:ascii="仿宋" w:eastAsia="仿宋" w:hAnsi="仿宋"/>
          <w:sz w:val="28"/>
          <w:szCs w:val="28"/>
          <w:lang w:eastAsia="zh-CN"/>
        </w:rPr>
        <w:t>证券交易所审核通过并获得中国证监会同意注册的文件，则该有效期自动延长至本次交易实施完毕之日。</w:t>
      </w:r>
    </w:p>
    <w:p w14:paraId="780EC968"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6A518FE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lastRenderedPageBreak/>
        <w:t>回避表决情况：本议案不存在回避表决情况。</w:t>
      </w:r>
    </w:p>
    <w:p w14:paraId="5CA4F0C9" w14:textId="77777777" w:rsidR="00480A29" w:rsidRDefault="00000000">
      <w:pPr>
        <w:numPr>
          <w:ilvl w:val="255"/>
          <w:numId w:val="0"/>
        </w:numPr>
        <w:spacing w:beforeLines="50" w:before="120" w:line="360" w:lineRule="auto"/>
        <w:jc w:val="both"/>
        <w:outlineLvl w:val="2"/>
        <w:rPr>
          <w:rFonts w:ascii="仿宋" w:eastAsia="仿宋" w:hAnsi="仿宋" w:hint="eastAsia"/>
          <w:sz w:val="28"/>
          <w:szCs w:val="28"/>
          <w:lang w:eastAsia="zh-CN"/>
        </w:rPr>
      </w:pPr>
      <w:r>
        <w:rPr>
          <w:rFonts w:ascii="仿宋" w:eastAsia="仿宋" w:hAnsi="仿宋" w:hint="eastAsia"/>
          <w:sz w:val="28"/>
          <w:szCs w:val="28"/>
          <w:lang w:eastAsia="zh-CN"/>
        </w:rPr>
        <w:t>（2）本次募集配套资金的具体方案</w:t>
      </w:r>
    </w:p>
    <w:p w14:paraId="3EB62E67"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1)发行股份的种类、面值和上市地点</w:t>
      </w:r>
    </w:p>
    <w:p w14:paraId="6E1F0805"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本次交易中，公司拟向发行股份募集配套资金，股票发行种类为人民币普通股A股，每股面值为1.00元，上市地点为深交所。</w:t>
      </w:r>
    </w:p>
    <w:p w14:paraId="3783A985"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表决结果：同意票3票，反对票0票，弃权票数0票。</w:t>
      </w:r>
    </w:p>
    <w:p w14:paraId="510B16FA"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回避表决情况：本议案不存在回避表决情况。</w:t>
      </w:r>
    </w:p>
    <w:p w14:paraId="2F5F19A5"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2)发行对象</w:t>
      </w:r>
    </w:p>
    <w:p w14:paraId="6E67A15C"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上市公司拟向</w:t>
      </w:r>
      <w:r>
        <w:rPr>
          <w:rFonts w:ascii="仿宋" w:eastAsia="仿宋" w:hAnsi="仿宋" w:hint="eastAsia"/>
          <w:sz w:val="28"/>
          <w:szCs w:val="28"/>
          <w:lang w:eastAsia="zh-CN"/>
        </w:rPr>
        <w:t>公司实际控制人马</w:t>
      </w:r>
      <w:proofErr w:type="gramStart"/>
      <w:r>
        <w:rPr>
          <w:rFonts w:ascii="仿宋" w:eastAsia="仿宋" w:hAnsi="仿宋" w:hint="eastAsia"/>
          <w:sz w:val="28"/>
          <w:szCs w:val="28"/>
          <w:lang w:eastAsia="zh-CN"/>
        </w:rPr>
        <w:t>学沛先生</w:t>
      </w:r>
      <w:proofErr w:type="gramEnd"/>
      <w:r>
        <w:rPr>
          <w:rFonts w:ascii="仿宋" w:eastAsia="仿宋" w:hAnsi="仿宋"/>
          <w:sz w:val="28"/>
          <w:szCs w:val="28"/>
          <w:lang w:eastAsia="zh-CN"/>
        </w:rPr>
        <w:t>发行股份募集配套资金，发行对象为符合中国证监会规定的自然人合法投资者。</w:t>
      </w:r>
    </w:p>
    <w:p w14:paraId="18A63F22"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3CD0C6CE"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12F0B258"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3)定价基准日</w:t>
      </w:r>
    </w:p>
    <w:p w14:paraId="36F686A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本次募集配套资金的定价基准日为公司第三届董事会第三十二次会议决议公告之日。</w:t>
      </w:r>
    </w:p>
    <w:p w14:paraId="2A978BDB"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12DD2156"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6E9A1830"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4)发行价格及定价依据</w:t>
      </w:r>
    </w:p>
    <w:p w14:paraId="289ED70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本次募集配套资金的发行价格为32.74元/股，不低于定价基准日前20个交易日公司股票交易均价的80%。</w:t>
      </w:r>
    </w:p>
    <w:p w14:paraId="70AD2A65"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在定价基准日至股份发行日期间，公司如有派息、送股、资本公积金转增股本等除权、除息事项，则上述发行价格将根据中国证监会及深交所的相关规则进行相应调整。</w:t>
      </w:r>
    </w:p>
    <w:p w14:paraId="3E405DA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4654A38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5DA38C2F"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5)发行规模及发行数量</w:t>
      </w:r>
    </w:p>
    <w:p w14:paraId="6645D644"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募集配套资金总额不超过人民币2亿元且不超过本次发行股份购买资产交易价格的100%，且发行股份数量不超过本次募集配套资金股份发行前公司总股本的30%。确定的发行规模及发行数量将在重组报告书中披露，最终发行规模及发行数量将在本次重组经深交所审核通过并经中国证监会予以注册后，按照《</w:t>
      </w:r>
      <w:r>
        <w:rPr>
          <w:rFonts w:ascii="仿宋" w:eastAsia="仿宋" w:hAnsi="仿宋" w:hint="eastAsia"/>
          <w:sz w:val="28"/>
          <w:lang w:eastAsia="zh-CN"/>
        </w:rPr>
        <w:t>上市公司证券发行注册管理办法</w:t>
      </w:r>
      <w:r>
        <w:rPr>
          <w:rFonts w:ascii="仿宋" w:eastAsia="仿宋" w:hAnsi="仿宋"/>
          <w:sz w:val="28"/>
          <w:szCs w:val="28"/>
          <w:lang w:eastAsia="zh-CN"/>
        </w:rPr>
        <w:t>》等的相关规定最终确定。</w:t>
      </w:r>
    </w:p>
    <w:p w14:paraId="2039DDD3"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在定价基准日至发行日期间，上市公司如有派息、送股、资本公积转增股本、配股等除权、除息事项，本次股份发行价格需进行调整的，本次发行股份数量也随之进行调整。</w:t>
      </w:r>
    </w:p>
    <w:p w14:paraId="66FFA97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791419F5"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687FE1F9"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6)锁定期安排</w:t>
      </w:r>
    </w:p>
    <w:p w14:paraId="0D0CEB1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本次配套募集资金的认购方所认购的广东天亿马信息产业股份有限公司股份，自该等股份发行结束之日起18个月内不得转让。</w:t>
      </w:r>
    </w:p>
    <w:p w14:paraId="43A4B9B0"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上述锁定期内，配套募集资金认购方由于广东天亿马信息产业股份有限公司送股、转增股本等原因增持的广东天亿马信息产业股份有限公司股份，同时遵照上述锁定期进行锁定。如上述锁定期的</w:t>
      </w:r>
      <w:r>
        <w:rPr>
          <w:rFonts w:ascii="仿宋" w:eastAsia="仿宋" w:hAnsi="仿宋" w:hint="eastAsia"/>
          <w:sz w:val="28"/>
          <w:szCs w:val="28"/>
          <w:lang w:eastAsia="zh-CN"/>
        </w:rPr>
        <w:lastRenderedPageBreak/>
        <w:t>安排与中国证监会等监管部门的最新监管意见不符的，双方将根据监管部门的最新监管意见对锁定期安排予以调整。</w:t>
      </w:r>
    </w:p>
    <w:p w14:paraId="21745BF9"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07F91A6E"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5A313A97"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7)滚存未分配利润的安排</w:t>
      </w:r>
    </w:p>
    <w:p w14:paraId="2DA1A69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公司在本次发行完成前的滚存未分配利润由本次发行完成后公司的新老股东共同享有。</w:t>
      </w:r>
    </w:p>
    <w:p w14:paraId="2D81ED9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表决结果：同意票3票，反对票0票，弃权票数0票。</w:t>
      </w:r>
    </w:p>
    <w:p w14:paraId="6C848CCC"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回避表决情况：本议案不存在回避表决情况。</w:t>
      </w:r>
    </w:p>
    <w:p w14:paraId="7576DFD6"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8)本次募集配套资金用途</w:t>
      </w:r>
    </w:p>
    <w:p w14:paraId="6C761B29"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募集配套资金拟用于支付本次交易现金对价、支付本次交易的中介机构费用、相关税费。</w:t>
      </w:r>
    </w:p>
    <w:p w14:paraId="09FCEF01"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本次发行股份及支付现金购买资产不以募集配套资金的成功实施为前提，最终募集配套资金发行成功与否以及内容变更不影响发行股票及支付现金购买资产的实施。</w:t>
      </w:r>
    </w:p>
    <w:p w14:paraId="4769BD9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表决结果：同意票3票，反对票0票，弃权票数0票。</w:t>
      </w:r>
    </w:p>
    <w:p w14:paraId="3E9C68CF"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回避表决情况：本议案不存在回避表决情况。</w:t>
      </w:r>
    </w:p>
    <w:p w14:paraId="3640C138" w14:textId="77777777" w:rsidR="00480A29" w:rsidRDefault="00000000">
      <w:pPr>
        <w:numPr>
          <w:ilvl w:val="255"/>
          <w:numId w:val="0"/>
        </w:numPr>
        <w:spacing w:beforeLines="50" w:before="120" w:line="360" w:lineRule="auto"/>
        <w:jc w:val="both"/>
        <w:outlineLvl w:val="3"/>
        <w:rPr>
          <w:rFonts w:ascii="仿宋" w:eastAsia="仿宋" w:hAnsi="仿宋" w:hint="eastAsia"/>
          <w:sz w:val="28"/>
          <w:szCs w:val="28"/>
          <w:lang w:eastAsia="zh-CN"/>
        </w:rPr>
      </w:pPr>
      <w:r>
        <w:rPr>
          <w:rFonts w:ascii="仿宋" w:eastAsia="仿宋" w:hAnsi="仿宋" w:hint="eastAsia"/>
          <w:sz w:val="28"/>
          <w:szCs w:val="28"/>
          <w:lang w:eastAsia="zh-CN"/>
        </w:rPr>
        <w:t>9)决议有效期</w:t>
      </w:r>
    </w:p>
    <w:p w14:paraId="6D415DE1"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sz w:val="28"/>
          <w:szCs w:val="28"/>
          <w:lang w:eastAsia="zh-CN"/>
        </w:rPr>
        <w:t>本次</w:t>
      </w:r>
      <w:r>
        <w:rPr>
          <w:rFonts w:ascii="仿宋" w:eastAsia="仿宋" w:hAnsi="仿宋" w:hint="eastAsia"/>
          <w:sz w:val="28"/>
          <w:szCs w:val="28"/>
          <w:lang w:eastAsia="zh-CN"/>
        </w:rPr>
        <w:t>募集配套资金的</w:t>
      </w:r>
      <w:r>
        <w:rPr>
          <w:rFonts w:ascii="仿宋" w:eastAsia="仿宋" w:hAnsi="仿宋"/>
          <w:sz w:val="28"/>
          <w:szCs w:val="28"/>
          <w:lang w:eastAsia="zh-CN"/>
        </w:rPr>
        <w:t>方案的决议经公司股东会审议通过之日起12个月内有效。如本次交易在上述有效期内取得</w:t>
      </w:r>
      <w:r>
        <w:rPr>
          <w:rFonts w:ascii="仿宋" w:eastAsia="仿宋" w:hAnsi="仿宋" w:hint="eastAsia"/>
          <w:sz w:val="28"/>
          <w:szCs w:val="28"/>
          <w:lang w:eastAsia="zh-CN"/>
        </w:rPr>
        <w:t>深圳</w:t>
      </w:r>
      <w:r>
        <w:rPr>
          <w:rFonts w:ascii="仿宋" w:eastAsia="仿宋" w:hAnsi="仿宋"/>
          <w:sz w:val="28"/>
          <w:szCs w:val="28"/>
          <w:lang w:eastAsia="zh-CN"/>
        </w:rPr>
        <w:t>证券交易所审核通过并获得中国证监会同意注册的文件，则该有效期自动延长至本次交易实施完毕之日</w:t>
      </w:r>
      <w:r>
        <w:rPr>
          <w:rFonts w:ascii="仿宋" w:eastAsia="仿宋" w:hAnsi="仿宋" w:hint="eastAsia"/>
          <w:sz w:val="28"/>
          <w:szCs w:val="28"/>
          <w:lang w:eastAsia="zh-CN"/>
        </w:rPr>
        <w:t>。</w:t>
      </w:r>
    </w:p>
    <w:p w14:paraId="7FBB6716"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表决结果：同意票3票，反对票0票，弃权票数0票。</w:t>
      </w:r>
    </w:p>
    <w:p w14:paraId="536EBBF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lastRenderedPageBreak/>
        <w:t>回避表决情况：本议案不存在回避表决情况。</w:t>
      </w:r>
    </w:p>
    <w:p w14:paraId="242F2457"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3F91D7AD"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bookmarkStart w:id="7" w:name="OLE_LINK7"/>
      <w:r>
        <w:rPr>
          <w:rFonts w:ascii="仿宋" w:eastAsia="仿宋" w:hAnsi="仿宋" w:cs="仿宋" w:hint="eastAsia"/>
          <w:b/>
          <w:bCs/>
          <w:snapToGrid/>
          <w:kern w:val="2"/>
          <w:sz w:val="28"/>
          <w:szCs w:val="28"/>
          <w:lang w:eastAsia="zh-CN"/>
        </w:rPr>
        <w:t>（三）</w:t>
      </w:r>
      <w:bookmarkEnd w:id="7"/>
      <w:r>
        <w:rPr>
          <w:rFonts w:ascii="仿宋" w:eastAsia="仿宋" w:hAnsi="仿宋" w:cs="仿宋"/>
          <w:b/>
          <w:bCs/>
          <w:snapToGrid/>
          <w:kern w:val="2"/>
          <w:sz w:val="28"/>
          <w:szCs w:val="28"/>
          <w:lang w:eastAsia="zh-CN"/>
        </w:rPr>
        <w:t>审议通过《关于&lt;广东天亿马信息产业股份有限公司发行股份及支付现金购买资产并募集配套资金暨关联交易预案&gt;及其摘要的议案》，具体情况如下：</w:t>
      </w:r>
    </w:p>
    <w:p w14:paraId="590BD8EB"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中华人民共和国公司法》《中华人民共和国证券法》《上市公司重大资产重组管理办法》《上市公司证券发行注册管理办法》《上市公司监管指引第9号——上市公司筹划和实施重大资产重组的监管要求》《公开发行证券的公司信息披露内容与格式准则第26号——上市公司重大资产重组》等法律法规和规范性文件的有关规定，公司编制了《广东天亿马信息产业股份有限公司发行股份及支付现金购买资产并募集配套资金暨关联交易预案》及其摘要，并将根据监管机关审核意见进行相应补充、修订（如需）。</w:t>
      </w:r>
    </w:p>
    <w:p w14:paraId="368D9DBE"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交易涉及的标的资产审计、评估等工作尚未完成，待相关审计、评估等工作完成后，公司将编制《广东天亿马信息产业股份有限公司发行股份及支付现金购买资产并募集配套资金暨关联交易报告书（草案）》等相关文件，并另行提交公司董事会审议。</w:t>
      </w:r>
    </w:p>
    <w:p w14:paraId="71E94AD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1DE97C51"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2152F14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05FF70C3"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bookmarkStart w:id="8" w:name="OLE_LINK8"/>
      <w:r>
        <w:rPr>
          <w:rFonts w:ascii="仿宋" w:eastAsia="仿宋" w:hAnsi="仿宋" w:cs="仿宋" w:hint="eastAsia"/>
          <w:b/>
          <w:bCs/>
          <w:snapToGrid/>
          <w:kern w:val="2"/>
          <w:sz w:val="28"/>
          <w:szCs w:val="28"/>
          <w:lang w:eastAsia="zh-CN"/>
        </w:rPr>
        <w:t>（四）</w:t>
      </w:r>
      <w:bookmarkEnd w:id="8"/>
      <w:r>
        <w:rPr>
          <w:rFonts w:ascii="仿宋" w:eastAsia="仿宋" w:hAnsi="仿宋" w:cs="仿宋"/>
          <w:b/>
          <w:bCs/>
          <w:snapToGrid/>
          <w:kern w:val="2"/>
          <w:sz w:val="28"/>
          <w:szCs w:val="28"/>
          <w:lang w:eastAsia="zh-CN"/>
        </w:rPr>
        <w:t>审议通过《关于本次交易预计构成重大资产重组但不构成重组上市的议案》，具体情况如下：</w:t>
      </w:r>
    </w:p>
    <w:p w14:paraId="3395AA41"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上市公司重大资产重组管理办法》第十二条及第十四条的规定，本次交易预计构成重大资产重组。待标的公司的审计、评估工作完成后，公司将根据标的公司经审计数据以及本次交易的最终定价情况，按《上市公司重大资产重组管理办法》规定计算，并</w:t>
      </w:r>
      <w:r>
        <w:rPr>
          <w:rFonts w:ascii="仿宋" w:eastAsia="仿宋" w:hAnsi="仿宋" w:cs="仿宋"/>
          <w:snapToGrid/>
          <w:kern w:val="2"/>
          <w:sz w:val="28"/>
          <w:szCs w:val="28"/>
          <w:lang w:eastAsia="zh-CN"/>
        </w:rPr>
        <w:lastRenderedPageBreak/>
        <w:t>在重组报告书（草案）中予以披露，预计不会改变本次交易构成重大资产重组的实质。</w:t>
      </w:r>
    </w:p>
    <w:p w14:paraId="0FB1490C"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1F4C0523"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426DD6E6"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0AD9FE77"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6803C497"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（五）</w:t>
      </w:r>
      <w:r>
        <w:rPr>
          <w:rFonts w:ascii="仿宋" w:eastAsia="仿宋" w:hAnsi="仿宋" w:cs="仿宋"/>
          <w:b/>
          <w:bCs/>
          <w:snapToGrid/>
          <w:kern w:val="2"/>
          <w:sz w:val="28"/>
          <w:szCs w:val="28"/>
          <w:lang w:eastAsia="zh-CN"/>
        </w:rPr>
        <w:t>审议通过《关于本次交易预计构成关联交易的议案》，具体情况如下：</w:t>
      </w:r>
    </w:p>
    <w:p w14:paraId="7399B8E2"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发行股份及支付现金购买资产前，交易对方与公司不存在关联关系；本次发行股份及支付现金购买资产完成后，交易对方陈耿豪及南通成为常青股权投资合伙企业（有限合伙）分别持有公司股份比例预计将超过5%。因此，根据《深圳证券交易所创业板股票上市规则》相关规定，本次交易预计将构成关联交易。</w:t>
      </w:r>
    </w:p>
    <w:p w14:paraId="6B56A2BF"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本次发行股份募集配套资金的发行对象马学沛先生为公司实际控制人，因此，根据《深圳证券交易所创业板股票上市规则》相关规定，本次募集配套资金构成关联交易。</w:t>
      </w:r>
    </w:p>
    <w:p w14:paraId="75AE61E9"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3DEF1078"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1757A9EE"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191EDD3D"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（六）</w:t>
      </w:r>
      <w:r>
        <w:rPr>
          <w:rFonts w:ascii="仿宋" w:eastAsia="仿宋" w:hAnsi="仿宋" w:cs="仿宋"/>
          <w:b/>
          <w:bCs/>
          <w:snapToGrid/>
          <w:kern w:val="2"/>
          <w:sz w:val="28"/>
          <w:szCs w:val="28"/>
          <w:lang w:eastAsia="zh-CN"/>
        </w:rPr>
        <w:t>审议通过《关于与交易对方签署附生效条件的交易文件的议案》，具体情况如下：</w:t>
      </w:r>
    </w:p>
    <w:p w14:paraId="501A3577"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为实施本次发行股份及支付现金购买资产</w:t>
      </w:r>
      <w:r>
        <w:rPr>
          <w:rFonts w:ascii="仿宋" w:eastAsia="仿宋" w:hAnsi="仿宋" w:cs="仿宋" w:hint="eastAsia"/>
          <w:snapToGrid/>
          <w:kern w:val="2"/>
          <w:sz w:val="28"/>
          <w:szCs w:val="28"/>
          <w:lang w:eastAsia="zh-CN"/>
        </w:rPr>
        <w:t>及募集配套资金</w:t>
      </w:r>
      <w:r>
        <w:rPr>
          <w:rFonts w:ascii="仿宋" w:eastAsia="仿宋" w:hAnsi="仿宋" w:cs="仿宋"/>
          <w:snapToGrid/>
          <w:kern w:val="2"/>
          <w:sz w:val="28"/>
          <w:szCs w:val="28"/>
          <w:lang w:eastAsia="zh-CN"/>
        </w:rPr>
        <w:t>事宜，公司拟与发行股份</w:t>
      </w:r>
      <w:r>
        <w:rPr>
          <w:rFonts w:ascii="仿宋" w:eastAsia="仿宋" w:hAnsi="仿宋" w:cs="仿宋" w:hint="eastAsia"/>
          <w:snapToGrid/>
          <w:kern w:val="2"/>
          <w:sz w:val="28"/>
          <w:szCs w:val="28"/>
          <w:lang w:eastAsia="zh-CN"/>
        </w:rPr>
        <w:t>及支付现金</w:t>
      </w:r>
      <w:r>
        <w:rPr>
          <w:rFonts w:ascii="仿宋" w:eastAsia="仿宋" w:hAnsi="仿宋" w:cs="仿宋"/>
          <w:snapToGrid/>
          <w:kern w:val="2"/>
          <w:sz w:val="28"/>
          <w:szCs w:val="28"/>
          <w:lang w:eastAsia="zh-CN"/>
        </w:rPr>
        <w:t>购买资产交易对方、募集配套资金交</w:t>
      </w:r>
      <w:r>
        <w:rPr>
          <w:rFonts w:ascii="仿宋" w:eastAsia="仿宋" w:hAnsi="仿宋" w:cs="仿宋"/>
          <w:snapToGrid/>
          <w:kern w:val="2"/>
          <w:sz w:val="28"/>
          <w:szCs w:val="28"/>
          <w:lang w:eastAsia="zh-CN"/>
        </w:rPr>
        <w:lastRenderedPageBreak/>
        <w:t>易对方签署附生效条件的《发行股份及支付现金购买资产协议》。</w:t>
      </w:r>
    </w:p>
    <w:p w14:paraId="1881FAF0"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待公司本次交易涉及的审计、评估完成之后，公司将与交易对方签署交易协议的补充协议或后续协议，对相关事项予以最终确定，并另行提交公司董事会、股东会审议。</w:t>
      </w:r>
    </w:p>
    <w:p w14:paraId="4D848175"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6F674F26"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6954695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665A87F8"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（七）</w:t>
      </w:r>
      <w:r>
        <w:rPr>
          <w:rFonts w:ascii="仿宋" w:eastAsia="仿宋" w:hAnsi="仿宋" w:cs="仿宋"/>
          <w:b/>
          <w:bCs/>
          <w:snapToGrid/>
          <w:kern w:val="2"/>
          <w:sz w:val="28"/>
          <w:szCs w:val="28"/>
          <w:lang w:eastAsia="zh-CN"/>
        </w:rPr>
        <w:t>审议通过《关于本次交易符合&lt;上市公司重大资产重组管理办法&gt;第十一条、第四十三条和第四十四条规定的议案》，具体情况如下：</w:t>
      </w:r>
    </w:p>
    <w:p w14:paraId="34A286F1"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经认真对照并经审慎判断，</w:t>
      </w:r>
      <w:r>
        <w:rPr>
          <w:rFonts w:ascii="仿宋" w:eastAsia="仿宋" w:hAnsi="仿宋" w:cs="仿宋" w:hint="eastAsia"/>
          <w:snapToGrid/>
          <w:kern w:val="2"/>
          <w:sz w:val="28"/>
          <w:szCs w:val="28"/>
          <w:lang w:eastAsia="zh-CN"/>
        </w:rPr>
        <w:t>监事会</w:t>
      </w:r>
      <w:r>
        <w:rPr>
          <w:rFonts w:ascii="仿宋" w:eastAsia="仿宋" w:hAnsi="仿宋" w:cs="仿宋"/>
          <w:snapToGrid/>
          <w:kern w:val="2"/>
          <w:sz w:val="28"/>
          <w:szCs w:val="28"/>
          <w:lang w:eastAsia="zh-CN"/>
        </w:rPr>
        <w:t>认为本次交易符合《上市公司重大资产重组管理办法》第十一条、第四十三条和第四十四条的规定。具体内容详见公司同日发布于巨潮资讯网（www.cninfo.com.cn）等</w:t>
      </w:r>
      <w:bookmarkStart w:id="9" w:name="OLE_LINK9"/>
      <w:r>
        <w:rPr>
          <w:rFonts w:ascii="仿宋" w:eastAsia="仿宋" w:hAnsi="仿宋" w:cs="仿宋"/>
          <w:snapToGrid/>
          <w:kern w:val="2"/>
          <w:sz w:val="28"/>
          <w:szCs w:val="28"/>
          <w:lang w:eastAsia="zh-CN"/>
        </w:rPr>
        <w:t>相关</w:t>
      </w:r>
      <w:bookmarkEnd w:id="9"/>
      <w:r>
        <w:rPr>
          <w:rFonts w:ascii="仿宋" w:eastAsia="仿宋" w:hAnsi="仿宋" w:cs="仿宋"/>
          <w:snapToGrid/>
          <w:kern w:val="2"/>
          <w:sz w:val="28"/>
          <w:szCs w:val="28"/>
          <w:lang w:eastAsia="zh-CN"/>
        </w:rPr>
        <w:t>说明。</w:t>
      </w:r>
    </w:p>
    <w:p w14:paraId="09C86E22"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6935D72E"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518CEED4"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该议案尚需提交公司股东会审议。</w:t>
      </w:r>
    </w:p>
    <w:p w14:paraId="26B3232B"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snapToGrid/>
          <w:kern w:val="2"/>
          <w:sz w:val="28"/>
          <w:szCs w:val="28"/>
          <w:lang w:eastAsia="zh-CN"/>
        </w:rPr>
        <w:t>（八）</w:t>
      </w:r>
      <w:r>
        <w:rPr>
          <w:rFonts w:ascii="仿宋" w:eastAsia="仿宋" w:hAnsi="仿宋" w:cs="仿宋"/>
          <w:b/>
          <w:bCs/>
          <w:snapToGrid/>
          <w:kern w:val="2"/>
          <w:sz w:val="28"/>
          <w:szCs w:val="28"/>
          <w:lang w:eastAsia="zh-CN"/>
        </w:rPr>
        <w:t>审议通过《关于本次交易符合&lt;上市公司证券发行注册管理办法&gt;第十一条规定的议案》，具体情况如下：</w:t>
      </w:r>
    </w:p>
    <w:p w14:paraId="4158EE88"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bookmarkStart w:id="10" w:name="OLE_LINK10"/>
      <w:r>
        <w:rPr>
          <w:rFonts w:ascii="仿宋" w:eastAsia="仿宋" w:hAnsi="仿宋" w:cs="仿宋"/>
          <w:snapToGrid/>
          <w:kern w:val="2"/>
          <w:sz w:val="28"/>
          <w:szCs w:val="28"/>
          <w:lang w:eastAsia="zh-CN"/>
        </w:rPr>
        <w:t>经认真对照并经审慎判断，监事会</w:t>
      </w:r>
      <w:r>
        <w:rPr>
          <w:rFonts w:ascii="仿宋" w:eastAsia="仿宋" w:hAnsi="仿宋" w:cs="仿宋" w:hint="eastAsia"/>
          <w:snapToGrid/>
          <w:kern w:val="2"/>
          <w:sz w:val="28"/>
          <w:szCs w:val="28"/>
          <w:lang w:eastAsia="zh-CN"/>
        </w:rPr>
        <w:t>认为</w:t>
      </w:r>
      <w:bookmarkEnd w:id="10"/>
      <w:r>
        <w:rPr>
          <w:rFonts w:ascii="仿宋" w:eastAsia="仿宋" w:hAnsi="仿宋" w:cs="仿宋"/>
          <w:snapToGrid/>
          <w:kern w:val="2"/>
          <w:sz w:val="28"/>
          <w:szCs w:val="28"/>
          <w:lang w:eastAsia="zh-CN"/>
        </w:rPr>
        <w:t>本次交易符合《上市公司证券发行注册管理办法》第十一条的规定，公司不存在《上市公司证券发行注册管理办法》第十一条规定的不得向特定对象发行股票的情形</w:t>
      </w:r>
      <w:r>
        <w:rPr>
          <w:rFonts w:ascii="仿宋" w:eastAsia="仿宋" w:hAnsi="仿宋" w:cs="仿宋" w:hint="eastAsia"/>
          <w:snapToGrid/>
          <w:kern w:val="2"/>
          <w:sz w:val="28"/>
          <w:szCs w:val="28"/>
          <w:lang w:eastAsia="zh-CN"/>
        </w:rPr>
        <w:t>。具体内容详见公司同日发布于巨潮资讯网（www.cninfo.com.cn）等相关说明。</w:t>
      </w:r>
    </w:p>
    <w:p w14:paraId="50B6290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77515685"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0671301E"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F4FB5DB"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（九）</w:t>
      </w:r>
      <w:r>
        <w:rPr>
          <w:rFonts w:ascii="仿宋" w:eastAsia="仿宋" w:hAnsi="仿宋" w:cs="仿宋"/>
          <w:b/>
          <w:bCs/>
          <w:snapToGrid/>
          <w:kern w:val="2"/>
          <w:sz w:val="28"/>
          <w:szCs w:val="28"/>
          <w:lang w:eastAsia="zh-CN"/>
        </w:rPr>
        <w:t>审议通过《关于本次交易符合&lt;上市公司监管指引第9号——上市公司筹划和实施重大资产重组的监管要求&gt;第四条规定的议案》，具体情况如下：</w:t>
      </w:r>
    </w:p>
    <w:p w14:paraId="70006CEB"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经审查，监事会认为</w:t>
      </w:r>
      <w:r>
        <w:rPr>
          <w:rFonts w:ascii="仿宋" w:eastAsia="仿宋" w:hAnsi="仿宋" w:cs="仿宋"/>
          <w:snapToGrid/>
          <w:kern w:val="2"/>
          <w:sz w:val="28"/>
          <w:szCs w:val="28"/>
          <w:lang w:eastAsia="zh-CN"/>
        </w:rPr>
        <w:t>本次交易符合《上市公司监管指引第9号—上市公司筹划和实施重大资产重组的监管要求》第四条</w:t>
      </w:r>
      <w:r>
        <w:rPr>
          <w:rFonts w:ascii="仿宋" w:eastAsia="仿宋" w:hAnsi="仿宋" w:cs="仿宋" w:hint="eastAsia"/>
          <w:snapToGrid/>
          <w:kern w:val="2"/>
          <w:sz w:val="28"/>
          <w:szCs w:val="28"/>
          <w:lang w:eastAsia="zh-CN"/>
        </w:rPr>
        <w:t>的</w:t>
      </w:r>
      <w:r>
        <w:rPr>
          <w:rFonts w:ascii="仿宋" w:eastAsia="仿宋" w:hAnsi="仿宋" w:cs="仿宋"/>
          <w:snapToGrid/>
          <w:kern w:val="2"/>
          <w:sz w:val="28"/>
          <w:szCs w:val="28"/>
          <w:lang w:eastAsia="zh-CN"/>
        </w:rPr>
        <w:t>相关规定</w:t>
      </w:r>
      <w:r>
        <w:rPr>
          <w:rFonts w:ascii="仿宋" w:eastAsia="仿宋" w:hAnsi="仿宋" w:cs="仿宋" w:hint="eastAsia"/>
          <w:snapToGrid/>
          <w:kern w:val="2"/>
          <w:sz w:val="28"/>
          <w:szCs w:val="28"/>
          <w:lang w:eastAsia="zh-CN"/>
        </w:rPr>
        <w:t>。</w:t>
      </w:r>
      <w:bookmarkStart w:id="11" w:name="OLE_LINK12"/>
      <w:bookmarkStart w:id="12" w:name="OLE_LINK11"/>
      <w:r>
        <w:rPr>
          <w:rFonts w:ascii="仿宋" w:eastAsia="仿宋" w:hAnsi="仿宋" w:cs="仿宋"/>
          <w:snapToGrid/>
          <w:kern w:val="2"/>
          <w:sz w:val="28"/>
          <w:szCs w:val="28"/>
          <w:lang w:eastAsia="zh-CN"/>
        </w:rPr>
        <w:t>具体内容详见公司同日发布于巨潮资讯网（www.cninfo.com.cn）等相关说明。</w:t>
      </w:r>
      <w:bookmarkEnd w:id="11"/>
    </w:p>
    <w:bookmarkEnd w:id="12"/>
    <w:p w14:paraId="6EC75BFB"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712096A7"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0A408938"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68DCE941"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w:t>
      </w:r>
      <w:r>
        <w:rPr>
          <w:rFonts w:ascii="仿宋" w:eastAsia="仿宋" w:hAnsi="仿宋" w:cs="仿宋"/>
          <w:b/>
          <w:bCs/>
          <w:snapToGrid/>
          <w:kern w:val="2"/>
          <w:sz w:val="28"/>
          <w:szCs w:val="28"/>
          <w:lang w:eastAsia="zh-CN"/>
        </w:rPr>
        <w:t>审议通过《关于本次交易符合&lt;创业板上市公司持续监管办法（试行）&gt;第十八条、第二十一条以及&lt;深圳证券交易所上市公司重大资产重组审核规则&gt;第八条规定的议案》，具体情况如下：</w:t>
      </w:r>
    </w:p>
    <w:p w14:paraId="7DED607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经认真对照并经审慎判断，监事会认为本次交易符合《创业板上市公司持续监管办法（试行）》第十八条、第二十一条以及《深圳证券交易所上市公司重大资产重组审核规则》第八条的相关规定。具体内容详见公司同日发布于巨潮资讯网（www.cninfo.com.cn）等相关说明。</w:t>
      </w:r>
    </w:p>
    <w:p w14:paraId="47758337" w14:textId="77777777" w:rsidR="00480A29" w:rsidRDefault="00000000">
      <w:pPr>
        <w:widowControl w:val="0"/>
        <w:kinsoku/>
        <w:autoSpaceDE/>
        <w:autoSpaceDN/>
        <w:adjustRightInd/>
        <w:snapToGrid/>
        <w:spacing w:beforeLines="50" w:before="120"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0237A1DC"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2B493656"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32B64AAD"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（十一）</w:t>
      </w:r>
      <w:r>
        <w:rPr>
          <w:rFonts w:ascii="仿宋" w:eastAsia="仿宋" w:hAnsi="仿宋" w:cs="仿宋"/>
          <w:b/>
          <w:bCs/>
          <w:snapToGrid/>
          <w:kern w:val="2"/>
          <w:sz w:val="28"/>
          <w:szCs w:val="28"/>
          <w:lang w:eastAsia="zh-CN"/>
        </w:rPr>
        <w:t>审议通过《关于本次交易相关主体不存在&lt;上市公司监管指引第7号——上市公司重大资产重组相关股票异常交易监管&gt;第十二条及&lt;深圳证券交易所上市公司自律监管指引第8号——重大资</w:t>
      </w:r>
      <w:r>
        <w:rPr>
          <w:rFonts w:ascii="仿宋" w:eastAsia="仿宋" w:hAnsi="仿宋" w:cs="仿宋"/>
          <w:b/>
          <w:bCs/>
          <w:snapToGrid/>
          <w:kern w:val="2"/>
          <w:sz w:val="28"/>
          <w:szCs w:val="28"/>
          <w:lang w:eastAsia="zh-CN"/>
        </w:rPr>
        <w:lastRenderedPageBreak/>
        <w:t>产重组&gt;第三十条规定情形的议案》，具体情况如下：</w:t>
      </w:r>
    </w:p>
    <w:p w14:paraId="165B99A1" w14:textId="77777777" w:rsidR="00480A29" w:rsidRDefault="00000000">
      <w:pPr>
        <w:spacing w:beforeLines="50" w:before="120" w:line="360" w:lineRule="auto"/>
        <w:ind w:firstLineChars="200" w:firstLine="560"/>
        <w:jc w:val="both"/>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t>经核查，截至本次监事会召开之日，本次交易相关主体均不存在《上市公司监管指引第7号—上市公司重大资产重组相关股票异常交易监管》第十二条以及《深圳证券交易所上市公司自律监管指引第8号——重大资产重组》第三十条规定的情形。具体内容详见公司同日发布于巨潮资讯网（www.cninfo.com.cn）等相关</w:t>
      </w:r>
      <w:bookmarkStart w:id="13" w:name="OLE_LINK23"/>
      <w:r>
        <w:rPr>
          <w:rFonts w:ascii="仿宋" w:eastAsia="仿宋" w:hAnsi="仿宋" w:hint="eastAsia"/>
          <w:sz w:val="28"/>
          <w:szCs w:val="28"/>
          <w:lang w:eastAsia="zh-CN"/>
        </w:rPr>
        <w:t>说明</w:t>
      </w:r>
      <w:bookmarkEnd w:id="13"/>
      <w:r>
        <w:rPr>
          <w:rFonts w:ascii="仿宋" w:eastAsia="仿宋" w:hAnsi="仿宋" w:hint="eastAsia"/>
          <w:sz w:val="28"/>
          <w:szCs w:val="28"/>
          <w:lang w:eastAsia="zh-CN"/>
        </w:rPr>
        <w:t>。</w:t>
      </w:r>
    </w:p>
    <w:p w14:paraId="5321739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455CCB0A"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13E60E49"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7BBEBD37"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（十二）</w:t>
      </w:r>
      <w:r>
        <w:rPr>
          <w:rFonts w:ascii="仿宋" w:eastAsia="仿宋" w:hAnsi="仿宋" w:cs="仿宋"/>
          <w:b/>
          <w:bCs/>
          <w:snapToGrid/>
          <w:kern w:val="2"/>
          <w:sz w:val="28"/>
          <w:szCs w:val="28"/>
          <w:lang w:eastAsia="zh-CN"/>
        </w:rPr>
        <w:t>审议通过《关于本次交易履行法定程序的完备性、合规性及提交法律文件的有效性的说明的议案》，具体情况如下：</w:t>
      </w:r>
    </w:p>
    <w:p w14:paraId="13FAA277"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公司已就本次交易相关事项履行了现阶段必需的法定程序，该等程序完整、合法、有效，公司就本次交易提交的法律文件合法有效。公司监事会及全体监事承诺就本次交易所提交的法律文件不存在任何虚假记载、误导性陈述或者重大遗漏，并承诺对前述文件的真实性、准确性、完整性承担个别及连带责任。</w:t>
      </w:r>
    </w:p>
    <w:p w14:paraId="11376E2C" w14:textId="77777777" w:rsidR="00480A29" w:rsidRDefault="00000000">
      <w:pPr>
        <w:spacing w:beforeLines="50" w:before="120" w:line="360" w:lineRule="auto"/>
        <w:ind w:firstLineChars="200" w:firstLine="560"/>
        <w:jc w:val="both"/>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t>具体内容详见公司同日发布于巨潮资讯网（www.cninfo.com.cn）等相关说明。</w:t>
      </w:r>
    </w:p>
    <w:p w14:paraId="168A57A4"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5450F742"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412A8029"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6836EED"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（十三）</w:t>
      </w:r>
      <w:r>
        <w:rPr>
          <w:rFonts w:ascii="仿宋" w:eastAsia="仿宋" w:hAnsi="仿宋" w:cs="仿宋"/>
          <w:b/>
          <w:bCs/>
          <w:snapToGrid/>
          <w:kern w:val="2"/>
          <w:sz w:val="28"/>
          <w:szCs w:val="28"/>
          <w:lang w:eastAsia="zh-CN"/>
        </w:rPr>
        <w:t>审议通过《关于本次交易前十二个月内上市公司购买、出售资产情况的议案》，具体情况如下：</w:t>
      </w:r>
    </w:p>
    <w:p w14:paraId="6DDE938D"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经公司自查，在审议本次交易方案的监事会召开日前十二个月内，公司未发生与本次交易相关的购买、出售资产的交易行为，不</w:t>
      </w:r>
      <w:r>
        <w:rPr>
          <w:rFonts w:ascii="仿宋" w:eastAsia="仿宋" w:hAnsi="仿宋" w:hint="eastAsia"/>
          <w:sz w:val="28"/>
          <w:szCs w:val="28"/>
          <w:lang w:eastAsia="zh-CN"/>
        </w:rPr>
        <w:lastRenderedPageBreak/>
        <w:t>存在需要纳入累计计算范围的情形，符合《上市公司重大资产重组管理办法》第十四条的规定。具体内容详见公司同日发布于巨潮资讯网（www.cninfo.com.cn）等相关说明。</w:t>
      </w:r>
    </w:p>
    <w:p w14:paraId="0ECF7A7E"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489AE766"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79AC13A9"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597B31E7"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（十四）</w:t>
      </w:r>
      <w:r>
        <w:rPr>
          <w:rFonts w:ascii="仿宋" w:eastAsia="仿宋" w:hAnsi="仿宋" w:cs="仿宋"/>
          <w:b/>
          <w:bCs/>
          <w:snapToGrid/>
          <w:kern w:val="2"/>
          <w:sz w:val="28"/>
          <w:szCs w:val="28"/>
          <w:lang w:eastAsia="zh-CN"/>
        </w:rPr>
        <w:t>审议通过《关于本次交易采取的保密措施及保密制度的议案》，具体情况如下：</w:t>
      </w:r>
    </w:p>
    <w:p w14:paraId="68F4422D" w14:textId="77777777" w:rsidR="00480A29" w:rsidRDefault="00000000">
      <w:pPr>
        <w:spacing w:beforeLines="50" w:before="120" w:line="360" w:lineRule="auto"/>
        <w:ind w:firstLineChars="200" w:firstLine="560"/>
        <w:jc w:val="both"/>
        <w:rPr>
          <w:rFonts w:ascii="仿宋" w:eastAsia="仿宋" w:hAnsi="仿宋" w:cs="仿宋" w:hint="eastAsia"/>
          <w:snapToGrid/>
          <w:kern w:val="2"/>
          <w:sz w:val="28"/>
          <w:szCs w:val="28"/>
          <w:lang w:eastAsia="zh-CN"/>
        </w:rPr>
      </w:pPr>
      <w:r>
        <w:rPr>
          <w:rFonts w:ascii="仿宋" w:eastAsia="仿宋" w:hAnsi="仿宋" w:hint="eastAsia"/>
          <w:sz w:val="28"/>
          <w:szCs w:val="28"/>
          <w:lang w:eastAsia="zh-CN"/>
        </w:rPr>
        <w:t>公司</w:t>
      </w:r>
      <w:bookmarkStart w:id="14" w:name="OLE_LINK13"/>
      <w:r>
        <w:rPr>
          <w:rFonts w:ascii="仿宋" w:eastAsia="仿宋" w:hAnsi="仿宋" w:hint="eastAsia"/>
          <w:sz w:val="28"/>
          <w:szCs w:val="28"/>
          <w:lang w:eastAsia="zh-CN"/>
        </w:rPr>
        <w:t>已根据相关法律、法规及规范性法律文件的规定，制定了严格有效的保密制度，</w:t>
      </w:r>
      <w:bookmarkEnd w:id="14"/>
      <w:r>
        <w:rPr>
          <w:rFonts w:ascii="仿宋" w:eastAsia="仿宋" w:hAnsi="仿宋" w:hint="eastAsia"/>
          <w:sz w:val="28"/>
          <w:szCs w:val="28"/>
          <w:lang w:eastAsia="zh-CN"/>
        </w:rPr>
        <w:t>采取了必要且充分的保密措施，限定了相关敏感信息的知悉范围，严格地履行了本次交易在依法披露前的保密义务，不存在违法违规公开或泄露本次交易相关信息的情况。</w:t>
      </w:r>
      <w:bookmarkStart w:id="15" w:name="OLE_LINK26"/>
      <w:r>
        <w:rPr>
          <w:rFonts w:ascii="仿宋" w:eastAsia="仿宋" w:hAnsi="仿宋" w:hint="eastAsia"/>
          <w:sz w:val="28"/>
          <w:szCs w:val="28"/>
          <w:lang w:eastAsia="zh-CN"/>
        </w:rPr>
        <w:t>具体内容详见公司同日发布于巨潮资讯网（www.cninfo.com.cn）等相关说明。</w:t>
      </w:r>
      <w:bookmarkEnd w:id="15"/>
    </w:p>
    <w:p w14:paraId="7D9B9807"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表决结果：同意票3票，反对票0票，弃权票数0票。</w:t>
      </w:r>
    </w:p>
    <w:p w14:paraId="55244305"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6B2C0808"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33D065B" w14:textId="77777777" w:rsidR="00480A29"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（十五）</w:t>
      </w:r>
      <w:r>
        <w:rPr>
          <w:rFonts w:ascii="仿宋" w:eastAsia="仿宋" w:hAnsi="仿宋" w:cs="仿宋"/>
          <w:b/>
          <w:bCs/>
          <w:snapToGrid/>
          <w:kern w:val="2"/>
          <w:sz w:val="28"/>
          <w:szCs w:val="28"/>
          <w:lang w:eastAsia="zh-CN"/>
        </w:rPr>
        <w:t>审议通过《关于公司股票价格在本次交易首次公告日前20个交易日是否异常波动的议案》，具体情况如下：</w:t>
      </w:r>
    </w:p>
    <w:p w14:paraId="272996D2" w14:textId="77777777" w:rsidR="00480A29" w:rsidRDefault="00000000">
      <w:pPr>
        <w:spacing w:beforeLines="50" w:before="120" w:line="360" w:lineRule="auto"/>
        <w:ind w:firstLineChars="200" w:firstLine="560"/>
        <w:jc w:val="both"/>
        <w:rPr>
          <w:rFonts w:ascii="仿宋" w:eastAsia="仿宋" w:hAnsi="仿宋" w:hint="eastAsia"/>
          <w:sz w:val="28"/>
          <w:szCs w:val="28"/>
          <w:lang w:eastAsia="zh-CN"/>
        </w:rPr>
      </w:pPr>
      <w:r>
        <w:rPr>
          <w:rFonts w:ascii="仿宋" w:eastAsia="仿宋" w:hAnsi="仿宋" w:hint="eastAsia"/>
          <w:sz w:val="28"/>
          <w:szCs w:val="28"/>
          <w:lang w:eastAsia="zh-CN"/>
        </w:rPr>
        <w:t>经公司自查，剔除大盘因素及同行业板块因素影响，公司股票在本次交易信息公布前20个交易日内累计</w:t>
      </w:r>
      <w:proofErr w:type="gramStart"/>
      <w:r>
        <w:rPr>
          <w:rFonts w:ascii="仿宋" w:eastAsia="仿宋" w:hAnsi="仿宋" w:hint="eastAsia"/>
          <w:sz w:val="28"/>
          <w:szCs w:val="28"/>
          <w:lang w:eastAsia="zh-CN"/>
        </w:rPr>
        <w:t>涨跌幅未超过</w:t>
      </w:r>
      <w:proofErr w:type="gramEnd"/>
      <w:r>
        <w:rPr>
          <w:rFonts w:ascii="仿宋" w:eastAsia="仿宋" w:hAnsi="仿宋" w:hint="eastAsia"/>
          <w:sz w:val="28"/>
          <w:szCs w:val="28"/>
          <w:lang w:eastAsia="zh-CN"/>
        </w:rPr>
        <w:t>20%，无异常波动情况。</w:t>
      </w:r>
      <w:bookmarkStart w:id="16" w:name="OLE_LINK15"/>
      <w:r>
        <w:rPr>
          <w:rFonts w:ascii="仿宋" w:eastAsia="仿宋" w:hAnsi="仿宋" w:hint="eastAsia"/>
          <w:sz w:val="28"/>
          <w:szCs w:val="28"/>
          <w:lang w:eastAsia="zh-CN"/>
        </w:rPr>
        <w:t>公司将在重组报告书披露后将内幕信息知情人名单提交证券登记结算机构查询相关单位及自然人二级市场交易情况。</w:t>
      </w:r>
      <w:bookmarkEnd w:id="16"/>
      <w:r>
        <w:rPr>
          <w:rFonts w:ascii="仿宋" w:eastAsia="仿宋" w:hAnsi="仿宋" w:hint="eastAsia"/>
          <w:sz w:val="28"/>
          <w:szCs w:val="28"/>
          <w:lang w:eastAsia="zh-CN"/>
        </w:rPr>
        <w:t>具体内容详见公司同日发布于巨潮资讯网（www.cninfo.com.cn）等相关说明。</w:t>
      </w:r>
    </w:p>
    <w:p w14:paraId="33F202F5"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lastRenderedPageBreak/>
        <w:t>表决结果：同意票3票，反对票0票，弃权票数0票。</w:t>
      </w:r>
    </w:p>
    <w:p w14:paraId="66682DD8"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回避表决情况：本议案不存在回避表决情况。</w:t>
      </w:r>
    </w:p>
    <w:p w14:paraId="45B3A431" w14:textId="77777777" w:rsidR="00480A29"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该议案尚需提交公司</w:t>
      </w:r>
      <w:r>
        <w:rPr>
          <w:rFonts w:ascii="仿宋" w:eastAsia="仿宋" w:hAnsi="仿宋" w:cs="仿宋" w:hint="eastAsia"/>
          <w:snapToGrid/>
          <w:kern w:val="2"/>
          <w:sz w:val="28"/>
          <w:szCs w:val="28"/>
          <w:lang w:eastAsia="zh-CN"/>
        </w:rPr>
        <w:t>股东会</w:t>
      </w:r>
      <w:r>
        <w:rPr>
          <w:rFonts w:ascii="仿宋" w:eastAsia="仿宋" w:hAnsi="仿宋" w:cs="仿宋"/>
          <w:snapToGrid/>
          <w:kern w:val="2"/>
          <w:sz w:val="28"/>
          <w:szCs w:val="28"/>
          <w:lang w:eastAsia="zh-CN"/>
        </w:rPr>
        <w:t>审议。</w:t>
      </w:r>
    </w:p>
    <w:p w14:paraId="17AEB4C9" w14:textId="77777777" w:rsidR="00480A29" w:rsidRDefault="00000000">
      <w:pPr>
        <w:pStyle w:val="a4"/>
        <w:numPr>
          <w:ilvl w:val="0"/>
          <w:numId w:val="1"/>
        </w:numPr>
        <w:spacing w:before="109" w:line="360" w:lineRule="auto"/>
        <w:ind w:left="29" w:right="65" w:firstLine="486"/>
        <w:jc w:val="both"/>
        <w:rPr>
          <w:rFonts w:ascii="仿宋" w:eastAsia="仿宋" w:hAnsi="仿宋" w:cs="仿宋" w:hint="eastAsia"/>
          <w:snapToGrid/>
          <w:kern w:val="2"/>
          <w:sz w:val="28"/>
          <w:szCs w:val="28"/>
          <w:lang w:eastAsia="zh-CN"/>
        </w:rPr>
      </w:pPr>
      <w:r>
        <w:rPr>
          <w:rFonts w:ascii="仿宋" w:eastAsia="仿宋" w:hAnsi="仿宋" w:cs="仿宋" w:hint="eastAsia"/>
          <w:b/>
          <w:bCs/>
          <w:snapToGrid/>
          <w:kern w:val="2"/>
          <w:sz w:val="28"/>
          <w:szCs w:val="28"/>
          <w:lang w:eastAsia="zh-CN"/>
        </w:rPr>
        <w:t>备查文件</w:t>
      </w:r>
    </w:p>
    <w:p w14:paraId="245A335A" w14:textId="77777777" w:rsidR="00480A29" w:rsidRDefault="00000000">
      <w:pPr>
        <w:pStyle w:val="a4"/>
        <w:spacing w:before="109" w:line="360" w:lineRule="auto"/>
        <w:ind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三</w:t>
      </w:r>
      <w:r>
        <w:rPr>
          <w:rFonts w:ascii="仿宋" w:eastAsia="仿宋" w:hAnsi="仿宋" w:cs="仿宋"/>
          <w:snapToGrid/>
          <w:kern w:val="2"/>
          <w:sz w:val="28"/>
          <w:szCs w:val="28"/>
          <w:lang w:eastAsia="zh-CN"/>
        </w:rPr>
        <w:t>届</w:t>
      </w:r>
      <w:r>
        <w:rPr>
          <w:rFonts w:ascii="仿宋" w:eastAsia="仿宋" w:hAnsi="仿宋" w:cs="仿宋" w:hint="eastAsia"/>
          <w:snapToGrid/>
          <w:kern w:val="2"/>
          <w:sz w:val="28"/>
          <w:szCs w:val="28"/>
          <w:lang w:eastAsia="zh-CN"/>
        </w:rPr>
        <w:t>监事会</w:t>
      </w:r>
      <w:r>
        <w:rPr>
          <w:rFonts w:ascii="仿宋" w:eastAsia="仿宋" w:hAnsi="仿宋" w:cs="仿宋"/>
          <w:snapToGrid/>
          <w:kern w:val="2"/>
          <w:sz w:val="28"/>
          <w:szCs w:val="28"/>
          <w:lang w:eastAsia="zh-CN"/>
        </w:rPr>
        <w:t>第</w:t>
      </w:r>
      <w:r>
        <w:rPr>
          <w:rFonts w:ascii="仿宋" w:eastAsia="仿宋" w:hAnsi="仿宋" w:cs="仿宋" w:hint="eastAsia"/>
          <w:snapToGrid/>
          <w:kern w:val="2"/>
          <w:sz w:val="28"/>
          <w:szCs w:val="28"/>
          <w:lang w:eastAsia="zh-CN"/>
        </w:rPr>
        <w:t>二十八</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p>
    <w:p w14:paraId="3370BD3E" w14:textId="77777777" w:rsidR="00480A29" w:rsidRDefault="00480A29">
      <w:pPr>
        <w:pStyle w:val="a4"/>
        <w:spacing w:before="1" w:line="360" w:lineRule="auto"/>
        <w:ind w:left="31" w:firstLine="482"/>
        <w:jc w:val="both"/>
        <w:rPr>
          <w:rFonts w:ascii="仿宋" w:eastAsia="仿宋" w:hAnsi="仿宋" w:cs="仿宋" w:hint="eastAsia"/>
          <w:snapToGrid/>
          <w:kern w:val="2"/>
          <w:sz w:val="28"/>
          <w:szCs w:val="28"/>
          <w:lang w:eastAsia="zh-CN"/>
        </w:rPr>
      </w:pPr>
    </w:p>
    <w:p w14:paraId="0718BA2F" w14:textId="77777777" w:rsidR="00480A29" w:rsidRDefault="00000000">
      <w:pPr>
        <w:pStyle w:val="a4"/>
        <w:spacing w:line="360" w:lineRule="auto"/>
        <w:ind w:left="509"/>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5AAB5B90" w14:textId="77777777" w:rsidR="00480A29"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7AE48FE1" w14:textId="77777777" w:rsidR="00480A29"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监事会</w:t>
      </w:r>
    </w:p>
    <w:p w14:paraId="2D70B283" w14:textId="77777777" w:rsidR="00480A29" w:rsidRDefault="00000000">
      <w:pPr>
        <w:pStyle w:val="a4"/>
        <w:spacing w:before="120" w:line="360" w:lineRule="auto"/>
        <w:ind w:left="5631"/>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2025年6月23日</w:t>
      </w:r>
    </w:p>
    <w:sectPr w:rsidR="00480A29">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51726" w14:textId="77777777" w:rsidR="006157AE" w:rsidRDefault="006157AE">
      <w:r>
        <w:separator/>
      </w:r>
    </w:p>
  </w:endnote>
  <w:endnote w:type="continuationSeparator" w:id="0">
    <w:p w14:paraId="52235CFA" w14:textId="77777777" w:rsidR="006157AE" w:rsidRDefault="0061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ingFang SC">
    <w:altName w:val="宋体"/>
    <w:charset w:val="86"/>
    <w:family w:val="auto"/>
    <w:pitch w:val="default"/>
    <w:sig w:usb0="00000000" w:usb1="00000000" w:usb2="00000017"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66642"/>
      <w:docPartObj>
        <w:docPartGallery w:val="Page Numbers (Bottom of Page)"/>
        <w:docPartUnique/>
      </w:docPartObj>
    </w:sdtPr>
    <w:sdtContent>
      <w:p w14:paraId="3B76EAF6" w14:textId="58D577FF" w:rsidR="00480A29" w:rsidRPr="000F535D" w:rsidRDefault="000F535D" w:rsidP="000F535D">
        <w:pPr>
          <w:pStyle w:val="a5"/>
          <w:jc w:val="center"/>
          <w:rPr>
            <w:rFonts w:hint="eastAsia"/>
          </w:rP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7E532" w14:textId="77777777" w:rsidR="006157AE" w:rsidRDefault="006157AE">
      <w:r>
        <w:separator/>
      </w:r>
    </w:p>
  </w:footnote>
  <w:footnote w:type="continuationSeparator" w:id="0">
    <w:p w14:paraId="563C9E34" w14:textId="77777777" w:rsidR="006157AE" w:rsidRDefault="00615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59A2A"/>
    <w:multiLevelType w:val="singleLevel"/>
    <w:tmpl w:val="27C59A2A"/>
    <w:lvl w:ilvl="0">
      <w:start w:val="1"/>
      <w:numFmt w:val="chineseCounting"/>
      <w:suff w:val="nothing"/>
      <w:lvlText w:val="%1、"/>
      <w:lvlJc w:val="left"/>
      <w:rPr>
        <w:rFonts w:hint="eastAsia"/>
      </w:rPr>
    </w:lvl>
  </w:abstractNum>
  <w:num w:numId="1" w16cid:durableId="24349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BA62EB"/>
    <w:rsid w:val="BF6B7F68"/>
    <w:rsid w:val="CC83DCB0"/>
    <w:rsid w:val="CD8BB81E"/>
    <w:rsid w:val="D164509A"/>
    <w:rsid w:val="EBAAFAD5"/>
    <w:rsid w:val="F4FBB4F7"/>
    <w:rsid w:val="FBB4F24C"/>
    <w:rsid w:val="FE9F0FD1"/>
    <w:rsid w:val="FFCF1584"/>
    <w:rsid w:val="FFDC38A0"/>
    <w:rsid w:val="FFDFCAF2"/>
    <w:rsid w:val="000A4AF3"/>
    <w:rsid w:val="000D1648"/>
    <w:rsid w:val="000F535D"/>
    <w:rsid w:val="001258C0"/>
    <w:rsid w:val="001E1541"/>
    <w:rsid w:val="001F06E1"/>
    <w:rsid w:val="00291EE6"/>
    <w:rsid w:val="00342E99"/>
    <w:rsid w:val="003C6728"/>
    <w:rsid w:val="00480A29"/>
    <w:rsid w:val="005123D1"/>
    <w:rsid w:val="00572151"/>
    <w:rsid w:val="006157AE"/>
    <w:rsid w:val="00666C22"/>
    <w:rsid w:val="0074233D"/>
    <w:rsid w:val="00810777"/>
    <w:rsid w:val="009544A5"/>
    <w:rsid w:val="009551D2"/>
    <w:rsid w:val="009B7606"/>
    <w:rsid w:val="009D727F"/>
    <w:rsid w:val="00A17317"/>
    <w:rsid w:val="00AE2F2E"/>
    <w:rsid w:val="00BA62EB"/>
    <w:rsid w:val="00C65330"/>
    <w:rsid w:val="00CD24CE"/>
    <w:rsid w:val="00D02ADC"/>
    <w:rsid w:val="00D076A9"/>
    <w:rsid w:val="00E50C55"/>
    <w:rsid w:val="00E875A7"/>
    <w:rsid w:val="00F14C97"/>
    <w:rsid w:val="00F73B09"/>
    <w:rsid w:val="00FD35A0"/>
    <w:rsid w:val="02CC2E1C"/>
    <w:rsid w:val="02DF20AA"/>
    <w:rsid w:val="07AC5AD9"/>
    <w:rsid w:val="0ED32660"/>
    <w:rsid w:val="0FF93B01"/>
    <w:rsid w:val="14EA3975"/>
    <w:rsid w:val="19D57A9F"/>
    <w:rsid w:val="1C5A5DE8"/>
    <w:rsid w:val="1D09105B"/>
    <w:rsid w:val="1E561F8D"/>
    <w:rsid w:val="1F330AE0"/>
    <w:rsid w:val="272B767E"/>
    <w:rsid w:val="28F72353"/>
    <w:rsid w:val="295A068C"/>
    <w:rsid w:val="2A6C5153"/>
    <w:rsid w:val="2B843A9E"/>
    <w:rsid w:val="2BF05093"/>
    <w:rsid w:val="2CAC02BC"/>
    <w:rsid w:val="2D530C3A"/>
    <w:rsid w:val="2E5FF25A"/>
    <w:rsid w:val="2F47DE11"/>
    <w:rsid w:val="2FCF7FE7"/>
    <w:rsid w:val="3A5A0E2B"/>
    <w:rsid w:val="3A98787A"/>
    <w:rsid w:val="3EB95146"/>
    <w:rsid w:val="40F52462"/>
    <w:rsid w:val="423E3AD5"/>
    <w:rsid w:val="429E1E9F"/>
    <w:rsid w:val="485436B2"/>
    <w:rsid w:val="4CE7FA3F"/>
    <w:rsid w:val="4D743531"/>
    <w:rsid w:val="52060B6A"/>
    <w:rsid w:val="5575A4C0"/>
    <w:rsid w:val="55FAFC49"/>
    <w:rsid w:val="567441BF"/>
    <w:rsid w:val="56CF2992"/>
    <w:rsid w:val="58851537"/>
    <w:rsid w:val="5AD70A1C"/>
    <w:rsid w:val="5F283322"/>
    <w:rsid w:val="623A2E42"/>
    <w:rsid w:val="62FB7D36"/>
    <w:rsid w:val="67B77523"/>
    <w:rsid w:val="6A3B4128"/>
    <w:rsid w:val="6AAC4537"/>
    <w:rsid w:val="73DD569F"/>
    <w:rsid w:val="76B1670A"/>
    <w:rsid w:val="77730B3A"/>
    <w:rsid w:val="785A1640"/>
    <w:rsid w:val="7AF95EF6"/>
    <w:rsid w:val="7B7F2BD6"/>
    <w:rsid w:val="7BED8E92"/>
    <w:rsid w:val="7D978A10"/>
    <w:rsid w:val="7DCBFC68"/>
    <w:rsid w:val="7FEBA1A1"/>
    <w:rsid w:val="95FFBBE4"/>
    <w:rsid w:val="96F754E9"/>
    <w:rsid w:val="977BF01B"/>
    <w:rsid w:val="97BFF8ED"/>
    <w:rsid w:val="99B78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74754C"/>
  <w15:docId w15:val="{F2E8E699-2B2F-4F71-AC6B-07EFEA6A4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a6"/>
    <w:uiPriority w:val="99"/>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styleId="a8">
    <w:name w:val="Table Grid"/>
    <w:basedOn w:val="a1"/>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eastAsia="Arial"/>
      <w:snapToGrid w:val="0"/>
      <w:color w:val="000000"/>
      <w:sz w:val="21"/>
      <w:szCs w:val="21"/>
      <w:lang w:eastAsia="en-US"/>
    </w:rPr>
  </w:style>
  <w:style w:type="character" w:customStyle="1" w:styleId="a6">
    <w:name w:val="页脚 字符"/>
    <w:basedOn w:val="a0"/>
    <w:link w:val="a5"/>
    <w:uiPriority w:val="99"/>
    <w:qFormat/>
    <w:rPr>
      <w:rFonts w:eastAsia="Arial"/>
      <w:snapToGrid w:val="0"/>
      <w:color w:val="000000"/>
      <w:sz w:val="18"/>
      <w:szCs w:val="21"/>
      <w:lang w:eastAsia="en-US"/>
    </w:rPr>
  </w:style>
  <w:style w:type="paragraph" w:customStyle="1" w:styleId="2">
    <w:name w:val="修订2"/>
    <w:hidden/>
    <w:uiPriority w:val="99"/>
    <w:unhideWhenUsed/>
    <w:rPr>
      <w:rFonts w:eastAsia="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98C23-3A60-46A4-A41E-FE508EF4D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17</Pages>
  <Words>1385</Words>
  <Characters>7896</Characters>
  <Application>Microsoft Office Word</Application>
  <DocSecurity>0</DocSecurity>
  <Lines>65</Lines>
  <Paragraphs>18</Paragraphs>
  <ScaleCrop>false</ScaleCrop>
  <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宇 吴</cp:lastModifiedBy>
  <cp:revision>29</cp:revision>
  <dcterms:created xsi:type="dcterms:W3CDTF">2025-06-10T14:36:00Z</dcterms:created>
  <dcterms:modified xsi:type="dcterms:W3CDTF">2025-06-23T06:14:00Z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2052-12.1.0.21541</vt:lpwstr>
  </property>
  <property fmtid="{D5CDD505-2E9C-101B-9397-08002B2CF9AE}" pid="5" name="ICV">
    <vt:lpwstr>8462723751178D370EE04B68E7A3C690_42</vt:lpwstr>
  </property>
  <property fmtid="{D5CDD505-2E9C-101B-9397-08002B2CF9AE}" pid="6" name="KSOTemplateDocerSaveRecord">
    <vt:lpwstr>eyJoZGlkIjoiNDBkMzZhYjg1MTA5NWQxZDBlZTkzNTdlNjQ1NThlNjAiLCJ1c2VySWQiOiIxOTk5NDQxOTYifQ==</vt:lpwstr>
  </property>
</Properties>
</file>