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B2AB9" w14:textId="081D8C3C" w:rsidR="00084DC1" w:rsidRDefault="00000000">
      <w:pPr>
        <w:spacing w:line="360" w:lineRule="auto"/>
        <w:jc w:val="center"/>
        <w:rPr>
          <w:rFonts w:ascii="仿宋" w:eastAsia="仿宋" w:hAnsi="仿宋" w:cs="Times New Roman" w:hint="eastAsia"/>
          <w:sz w:val="28"/>
          <w:szCs w:val="20"/>
          <w:lang w:eastAsia="zh-CN"/>
        </w:rPr>
      </w:pPr>
      <w:r>
        <w:rPr>
          <w:rFonts w:ascii="仿宋" w:eastAsia="仿宋" w:hAnsi="仿宋" w:cs="Times New Roman" w:hint="eastAsia"/>
          <w:sz w:val="28"/>
          <w:szCs w:val="20"/>
          <w:lang w:eastAsia="zh-CN"/>
        </w:rPr>
        <w:t>证券代码：301178    证券简称：</w:t>
      </w:r>
      <w:proofErr w:type="gramStart"/>
      <w:r>
        <w:rPr>
          <w:rFonts w:ascii="仿宋" w:eastAsia="仿宋" w:hAnsi="仿宋" w:cs="Times New Roman" w:hint="eastAsia"/>
          <w:sz w:val="28"/>
          <w:szCs w:val="20"/>
          <w:lang w:eastAsia="zh-CN"/>
        </w:rPr>
        <w:t>天亿马</w:t>
      </w:r>
      <w:proofErr w:type="gramEnd"/>
      <w:r>
        <w:rPr>
          <w:rFonts w:ascii="仿宋" w:eastAsia="仿宋" w:hAnsi="仿宋" w:cs="Times New Roman" w:hint="eastAsia"/>
          <w:sz w:val="28"/>
          <w:szCs w:val="20"/>
          <w:lang w:eastAsia="zh-CN"/>
        </w:rPr>
        <w:t xml:space="preserve">    公告编号：2025-050</w:t>
      </w:r>
    </w:p>
    <w:p w14:paraId="5502E647" w14:textId="77777777" w:rsidR="00084DC1"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6B492149" w14:textId="77777777" w:rsidR="00084DC1" w:rsidRDefault="00000000">
      <w:pPr>
        <w:widowControl w:val="0"/>
        <w:kinsoku/>
        <w:snapToGrid/>
        <w:spacing w:line="360" w:lineRule="auto"/>
        <w:jc w:val="center"/>
        <w:textAlignment w:val="auto"/>
        <w:rPr>
          <w:rFonts w:ascii="宋体" w:eastAsia="宋体" w:hAnsi="宋体" w:cs="宋体" w:hint="eastAsia"/>
          <w:sz w:val="30"/>
          <w:szCs w:val="30"/>
          <w:lang w:eastAsia="zh-CN"/>
        </w:rPr>
      </w:pPr>
      <w:r>
        <w:rPr>
          <w:rFonts w:ascii="黑体" w:eastAsia="黑体" w:hAnsi="黑体" w:cs="Times New Roman" w:hint="eastAsia"/>
          <w:snapToGrid/>
          <w:kern w:val="2"/>
          <w:sz w:val="36"/>
          <w:szCs w:val="36"/>
          <w:lang w:eastAsia="zh-CN"/>
        </w:rPr>
        <w:t>关于暂不召开股东会审议本次交易相关事项的公告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084DC1" w14:paraId="5520D38B" w14:textId="77777777">
        <w:trPr>
          <w:trHeight w:val="776"/>
        </w:trPr>
        <w:tc>
          <w:tcPr>
            <w:tcW w:w="7962" w:type="dxa"/>
          </w:tcPr>
          <w:p w14:paraId="6F8ED225" w14:textId="77777777" w:rsidR="00084DC1" w:rsidRDefault="00000000">
            <w:pPr>
              <w:kinsoku/>
              <w:autoSpaceDE/>
              <w:autoSpaceDN/>
              <w:adjustRightInd/>
              <w:snapToGrid/>
              <w:spacing w:line="440" w:lineRule="exact"/>
              <w:ind w:firstLineChars="200" w:firstLine="560"/>
              <w:jc w:val="both"/>
              <w:textAlignment w:val="auto"/>
              <w:rPr>
                <w:rFonts w:ascii="楷体" w:eastAsia="楷体" w:hAnsi="楷体" w:cs="宋体" w:hint="eastAsia"/>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6760704F" w14:textId="77777777" w:rsidR="00084DC1" w:rsidRDefault="00084DC1">
      <w:pPr>
        <w:spacing w:line="360" w:lineRule="auto"/>
        <w:rPr>
          <w:rFonts w:ascii="宋体" w:eastAsia="宋体" w:hAnsi="宋体" w:cs="宋体" w:hint="eastAsia"/>
          <w:sz w:val="24"/>
          <w:szCs w:val="24"/>
          <w:lang w:eastAsia="zh-CN"/>
        </w:rPr>
      </w:pPr>
    </w:p>
    <w:p w14:paraId="79C1675A" w14:textId="77777777" w:rsidR="00084DC1" w:rsidRDefault="00000000">
      <w:pPr>
        <w:pStyle w:val="a4"/>
        <w:spacing w:before="109" w:line="360" w:lineRule="auto"/>
        <w:ind w:left="29" w:right="65" w:firstLine="486"/>
        <w:jc w:val="both"/>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以下简称“公司”）拟通过发行股份及支付现金的方式购买陈耿豪、南通成为常青股权投资合伙企业（有限合伙）、珠海广发信德科文创业投资基金（有限合伙）、苏州市德同合心创业投资合伙企业（有限合伙）、珠海乐陶陶投资合伙企业（有限合伙）、林芝利新信息技术有限公司、杨凯然、张杰波、璀璨远见（深圳）企业管理合伙企业（有限合伙）、珠海乐熙</w:t>
      </w:r>
      <w:proofErr w:type="gramStart"/>
      <w:r>
        <w:rPr>
          <w:rFonts w:ascii="仿宋" w:eastAsia="仿宋" w:hAnsi="仿宋" w:cs="仿宋" w:hint="eastAsia"/>
          <w:snapToGrid/>
          <w:kern w:val="2"/>
          <w:sz w:val="28"/>
          <w:szCs w:val="28"/>
          <w:lang w:eastAsia="zh-CN"/>
        </w:rPr>
        <w:t>熙</w:t>
      </w:r>
      <w:proofErr w:type="gramEnd"/>
      <w:r>
        <w:rPr>
          <w:rFonts w:ascii="仿宋" w:eastAsia="仿宋" w:hAnsi="仿宋" w:cs="仿宋" w:hint="eastAsia"/>
          <w:snapToGrid/>
          <w:kern w:val="2"/>
          <w:sz w:val="28"/>
          <w:szCs w:val="28"/>
          <w:lang w:eastAsia="zh-CN"/>
        </w:rPr>
        <w:t>投资合伙企业（有限合伙）、珠海乐腾腾投资合伙企业（有限合伙）、深圳市前海千</w:t>
      </w:r>
      <w:proofErr w:type="gramStart"/>
      <w:r>
        <w:rPr>
          <w:rFonts w:ascii="仿宋" w:eastAsia="仿宋" w:hAnsi="仿宋" w:cs="仿宋" w:hint="eastAsia"/>
          <w:snapToGrid/>
          <w:kern w:val="2"/>
          <w:sz w:val="28"/>
          <w:szCs w:val="28"/>
          <w:lang w:eastAsia="zh-CN"/>
        </w:rPr>
        <w:t>意智合三期</w:t>
      </w:r>
      <w:proofErr w:type="gramEnd"/>
      <w:r>
        <w:rPr>
          <w:rFonts w:ascii="仿宋" w:eastAsia="仿宋" w:hAnsi="仿宋" w:cs="仿宋" w:hint="eastAsia"/>
          <w:snapToGrid/>
          <w:kern w:val="2"/>
          <w:sz w:val="28"/>
          <w:szCs w:val="28"/>
          <w:lang w:eastAsia="zh-CN"/>
        </w:rPr>
        <w:t>投资合伙企业（有限合伙）、胡俊、王佳、杨裕雄、珠海乐哈哈投资合伙企业（有限合伙）、广州广发信德二期创业投资合伙企业（有限合伙）、</w:t>
      </w:r>
      <w:proofErr w:type="gramStart"/>
      <w:r>
        <w:rPr>
          <w:rFonts w:ascii="仿宋" w:eastAsia="仿宋" w:hAnsi="仿宋" w:cs="仿宋" w:hint="eastAsia"/>
          <w:snapToGrid/>
          <w:kern w:val="2"/>
          <w:sz w:val="28"/>
          <w:szCs w:val="28"/>
          <w:lang w:eastAsia="zh-CN"/>
        </w:rPr>
        <w:t>璀璨德</w:t>
      </w:r>
      <w:proofErr w:type="gramEnd"/>
      <w:r>
        <w:rPr>
          <w:rFonts w:ascii="仿宋" w:eastAsia="仿宋" w:hAnsi="仿宋" w:cs="仿宋" w:hint="eastAsia"/>
          <w:snapToGrid/>
          <w:kern w:val="2"/>
          <w:sz w:val="28"/>
          <w:szCs w:val="28"/>
          <w:lang w:eastAsia="zh-CN"/>
        </w:rPr>
        <w:t>商（深圳）创业投资中心（有限合伙）、广州信</w:t>
      </w:r>
      <w:proofErr w:type="gramStart"/>
      <w:r>
        <w:rPr>
          <w:rFonts w:ascii="仿宋" w:eastAsia="仿宋" w:hAnsi="仿宋" w:cs="仿宋" w:hint="eastAsia"/>
          <w:snapToGrid/>
          <w:kern w:val="2"/>
          <w:sz w:val="28"/>
          <w:szCs w:val="28"/>
          <w:lang w:eastAsia="zh-CN"/>
        </w:rPr>
        <w:t>德创业营</w:t>
      </w:r>
      <w:proofErr w:type="gramEnd"/>
      <w:r>
        <w:rPr>
          <w:rFonts w:ascii="仿宋" w:eastAsia="仿宋" w:hAnsi="仿宋" w:cs="仿宋" w:hint="eastAsia"/>
          <w:snapToGrid/>
          <w:kern w:val="2"/>
          <w:sz w:val="28"/>
          <w:szCs w:val="28"/>
          <w:lang w:eastAsia="zh-CN"/>
        </w:rPr>
        <w:t>股权投资合伙企业（有限合伙）、珠海</w:t>
      </w:r>
      <w:proofErr w:type="gramStart"/>
      <w:r>
        <w:rPr>
          <w:rFonts w:ascii="仿宋" w:eastAsia="仿宋" w:hAnsi="仿宋" w:cs="仿宋" w:hint="eastAsia"/>
          <w:snapToGrid/>
          <w:kern w:val="2"/>
          <w:sz w:val="28"/>
          <w:szCs w:val="28"/>
          <w:lang w:eastAsia="zh-CN"/>
        </w:rPr>
        <w:t>乐摇投资</w:t>
      </w:r>
      <w:proofErr w:type="gramEnd"/>
      <w:r>
        <w:rPr>
          <w:rFonts w:ascii="仿宋" w:eastAsia="仿宋" w:hAnsi="仿宋" w:cs="仿宋" w:hint="eastAsia"/>
          <w:snapToGrid/>
          <w:kern w:val="2"/>
          <w:sz w:val="28"/>
          <w:szCs w:val="28"/>
          <w:lang w:eastAsia="zh-CN"/>
        </w:rPr>
        <w:t>合伙企业（有限合伙）、珠海康</w:t>
      </w:r>
      <w:proofErr w:type="gramStart"/>
      <w:r>
        <w:rPr>
          <w:rFonts w:ascii="仿宋" w:eastAsia="仿宋" w:hAnsi="仿宋" w:cs="仿宋" w:hint="eastAsia"/>
          <w:snapToGrid/>
          <w:kern w:val="2"/>
          <w:sz w:val="28"/>
          <w:szCs w:val="28"/>
          <w:lang w:eastAsia="zh-CN"/>
        </w:rPr>
        <w:t>远投资</w:t>
      </w:r>
      <w:proofErr w:type="gramEnd"/>
      <w:r>
        <w:rPr>
          <w:rFonts w:ascii="仿宋" w:eastAsia="仿宋" w:hAnsi="仿宋" w:cs="仿宋" w:hint="eastAsia"/>
          <w:snapToGrid/>
          <w:kern w:val="2"/>
          <w:sz w:val="28"/>
          <w:szCs w:val="28"/>
          <w:lang w:eastAsia="zh-CN"/>
        </w:rPr>
        <w:t>企业（有限合伙）、上海德盾企业管理合伙企业（有限合伙）（以下简称“交易对方”）合计持有的广东星云开物科技股份有限公司（以下简称“标的公司”）100%股权（以下简称“标的资产”），并拟向实际控制人马</w:t>
      </w:r>
      <w:proofErr w:type="gramStart"/>
      <w:r>
        <w:rPr>
          <w:rFonts w:ascii="仿宋" w:eastAsia="仿宋" w:hAnsi="仿宋" w:cs="仿宋" w:hint="eastAsia"/>
          <w:snapToGrid/>
          <w:kern w:val="2"/>
          <w:sz w:val="28"/>
          <w:szCs w:val="28"/>
          <w:lang w:eastAsia="zh-CN"/>
        </w:rPr>
        <w:t>学沛先生</w:t>
      </w:r>
      <w:proofErr w:type="gramEnd"/>
      <w:r>
        <w:rPr>
          <w:rFonts w:ascii="仿宋" w:eastAsia="仿宋" w:hAnsi="仿宋" w:cs="仿宋" w:hint="eastAsia"/>
          <w:snapToGrid/>
          <w:kern w:val="2"/>
          <w:sz w:val="28"/>
          <w:szCs w:val="28"/>
          <w:lang w:eastAsia="zh-CN"/>
        </w:rPr>
        <w:t>发行股票募集配套资金（以下简称“本次交易”）。</w:t>
      </w:r>
    </w:p>
    <w:p w14:paraId="0BA6F40A" w14:textId="5CDC803D" w:rsidR="00084DC1" w:rsidRDefault="00000000">
      <w:pPr>
        <w:pStyle w:val="a4"/>
        <w:spacing w:before="2" w:line="360" w:lineRule="auto"/>
        <w:ind w:left="26" w:right="67" w:firstLine="472"/>
        <w:jc w:val="both"/>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2025年6月23日，公司召开第三届董事会第三十二次会议、第三届监事会第二十八次会议，审议通过了《关于公司发行股份及支付现金购买资产并募集配套资金暨关联交易符合相关法律法规规定条</w:t>
      </w:r>
      <w:r>
        <w:rPr>
          <w:rFonts w:ascii="仿宋" w:eastAsia="仿宋" w:hAnsi="仿宋" w:cs="仿宋" w:hint="eastAsia"/>
          <w:snapToGrid/>
          <w:kern w:val="2"/>
          <w:sz w:val="28"/>
          <w:szCs w:val="28"/>
          <w:lang w:eastAsia="zh-CN"/>
        </w:rPr>
        <w:lastRenderedPageBreak/>
        <w:t>件的议案》等与本次交易相关的议案，具体内容详见公司在指定信息披露媒体巨潮资讯网（</w:t>
      </w:r>
      <w:hyperlink r:id="rId6" w:history="1">
        <w:r w:rsidR="00084DC1">
          <w:rPr>
            <w:rFonts w:ascii="仿宋" w:eastAsia="仿宋" w:hAnsi="仿宋" w:cs="仿宋" w:hint="eastAsia"/>
            <w:snapToGrid/>
            <w:kern w:val="2"/>
            <w:sz w:val="28"/>
            <w:szCs w:val="28"/>
            <w:lang w:eastAsia="zh-CN"/>
          </w:rPr>
          <w:t>http://www.cninfo.com.cn</w:t>
        </w:r>
      </w:hyperlink>
      <w:r>
        <w:rPr>
          <w:rFonts w:ascii="仿宋" w:eastAsia="仿宋" w:hAnsi="仿宋" w:cs="仿宋" w:hint="eastAsia"/>
          <w:snapToGrid/>
          <w:kern w:val="2"/>
          <w:sz w:val="28"/>
          <w:szCs w:val="28"/>
          <w:lang w:eastAsia="zh-CN"/>
        </w:rPr>
        <w:t>）的相关公告。</w:t>
      </w:r>
    </w:p>
    <w:p w14:paraId="1EECDF5A" w14:textId="6E57EA82" w:rsidR="00084DC1" w:rsidRDefault="00000000">
      <w:pPr>
        <w:pStyle w:val="a4"/>
        <w:spacing w:before="1" w:line="360" w:lineRule="auto"/>
        <w:ind w:left="31" w:firstLine="482"/>
        <w:jc w:val="both"/>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鉴于本次交易相关的审计、评估工作尚未完成，经公司第三届董事会第三十二次会议决议，暂不召集股东会审议本次交易相关事项。在相关审计、评估工作完成后，公司董事会将再次召开会议审议本次交易相关事项，依法定程序召集并提交股东会进行全面审议。具体安排以届时发出的股东会通知为准。</w:t>
      </w:r>
    </w:p>
    <w:p w14:paraId="0041509F" w14:textId="77777777" w:rsidR="00084DC1" w:rsidRDefault="00000000">
      <w:pPr>
        <w:pStyle w:val="a4"/>
        <w:spacing w:line="360" w:lineRule="auto"/>
        <w:ind w:left="509"/>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特此公告。</w:t>
      </w:r>
    </w:p>
    <w:p w14:paraId="64BE9DD4" w14:textId="77777777" w:rsidR="00084DC1" w:rsidRDefault="00000000">
      <w:pPr>
        <w:pStyle w:val="a4"/>
        <w:spacing w:line="360" w:lineRule="auto"/>
        <w:ind w:left="509"/>
        <w:jc w:val="right"/>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7FB9C573" w14:textId="77777777" w:rsidR="00084DC1" w:rsidRDefault="00000000">
      <w:pPr>
        <w:pStyle w:val="a4"/>
        <w:spacing w:line="360" w:lineRule="auto"/>
        <w:ind w:left="509"/>
        <w:jc w:val="right"/>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董事会</w:t>
      </w:r>
    </w:p>
    <w:p w14:paraId="14D8C989" w14:textId="22D99C38" w:rsidR="00084DC1" w:rsidRDefault="00000000" w:rsidP="00757195">
      <w:pPr>
        <w:pStyle w:val="a4"/>
        <w:spacing w:before="120" w:line="360" w:lineRule="auto"/>
        <w:ind w:left="5631"/>
        <w:jc w:val="right"/>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2025年6月2</w:t>
      </w:r>
      <w:r>
        <w:rPr>
          <w:rFonts w:ascii="仿宋" w:eastAsia="仿宋" w:hAnsi="仿宋" w:cs="仿宋"/>
          <w:snapToGrid/>
          <w:kern w:val="2"/>
          <w:sz w:val="28"/>
          <w:szCs w:val="28"/>
          <w:lang w:eastAsia="zh-CN"/>
        </w:rPr>
        <w:t>3</w:t>
      </w:r>
      <w:r>
        <w:rPr>
          <w:rFonts w:ascii="仿宋" w:eastAsia="仿宋" w:hAnsi="仿宋" w:cs="仿宋" w:hint="eastAsia"/>
          <w:snapToGrid/>
          <w:kern w:val="2"/>
          <w:sz w:val="28"/>
          <w:szCs w:val="28"/>
          <w:lang w:eastAsia="zh-CN"/>
        </w:rPr>
        <w:t>日</w:t>
      </w:r>
    </w:p>
    <w:sectPr w:rsidR="00084DC1">
      <w:footerReference w:type="default" r:id="rId7"/>
      <w:pgSz w:w="11907" w:h="16839"/>
      <w:pgMar w:top="1431" w:right="1730" w:bottom="1202" w:left="1785"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9DDB4" w14:textId="77777777" w:rsidR="00BC55E4" w:rsidRDefault="00BC55E4">
      <w:r>
        <w:separator/>
      </w:r>
    </w:p>
  </w:endnote>
  <w:endnote w:type="continuationSeparator" w:id="0">
    <w:p w14:paraId="751420BE" w14:textId="77777777" w:rsidR="00BC55E4" w:rsidRDefault="00BC5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056BE" w14:textId="77777777" w:rsidR="00084DC1" w:rsidRDefault="00000000">
    <w:pPr>
      <w:spacing w:line="215" w:lineRule="exact"/>
      <w:ind w:left="4132"/>
      <w:rPr>
        <w:sz w:val="18"/>
        <w:szCs w:val="18"/>
      </w:rPr>
    </w:pPr>
    <w:r>
      <w:rPr>
        <w:sz w:val="18"/>
        <w:szCs w:val="18"/>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BB2D5" w14:textId="77777777" w:rsidR="00BC55E4" w:rsidRDefault="00BC55E4">
      <w:r>
        <w:separator/>
      </w:r>
    </w:p>
  </w:footnote>
  <w:footnote w:type="continuationSeparator" w:id="0">
    <w:p w14:paraId="3CD58F39" w14:textId="77777777" w:rsidR="00BC55E4" w:rsidRDefault="00BC55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084DC1"/>
    <w:rsid w:val="95FFBBE4"/>
    <w:rsid w:val="EC3FAF7F"/>
    <w:rsid w:val="F5FFA014"/>
    <w:rsid w:val="00084DC1"/>
    <w:rsid w:val="005720C3"/>
    <w:rsid w:val="00633311"/>
    <w:rsid w:val="00757195"/>
    <w:rsid w:val="00860E2B"/>
    <w:rsid w:val="00AB0DA2"/>
    <w:rsid w:val="00BC55E4"/>
    <w:rsid w:val="00D80E64"/>
    <w:rsid w:val="00E63821"/>
    <w:rsid w:val="057E3544"/>
    <w:rsid w:val="3EFC2038"/>
    <w:rsid w:val="687D6BD5"/>
    <w:rsid w:val="6A9856D7"/>
    <w:rsid w:val="7448151B"/>
    <w:rsid w:val="7BED8E92"/>
    <w:rsid w:val="7F7F6208"/>
    <w:rsid w:val="7F920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E51FB1"/>
  <w15:docId w15:val="{E112AAFC-312B-4A02-A767-37B4CF4C0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styleId="a5">
    <w:name w:val="Revision"/>
    <w:hidden/>
    <w:uiPriority w:val="99"/>
    <w:unhideWhenUsed/>
    <w:rsid w:val="00633311"/>
    <w:rPr>
      <w:rFonts w:eastAsia="Arial"/>
      <w:snapToGrid w:val="0"/>
      <w:color w:val="000000"/>
      <w:sz w:val="21"/>
      <w:szCs w:val="21"/>
      <w:lang w:eastAsia="en-US"/>
    </w:rPr>
  </w:style>
  <w:style w:type="paragraph" w:styleId="a6">
    <w:name w:val="header"/>
    <w:basedOn w:val="a"/>
    <w:link w:val="a7"/>
    <w:rsid w:val="00633311"/>
    <w:pPr>
      <w:tabs>
        <w:tab w:val="center" w:pos="4153"/>
        <w:tab w:val="right" w:pos="8306"/>
      </w:tabs>
      <w:jc w:val="center"/>
    </w:pPr>
    <w:rPr>
      <w:sz w:val="18"/>
      <w:szCs w:val="18"/>
    </w:rPr>
  </w:style>
  <w:style w:type="character" w:customStyle="1" w:styleId="a7">
    <w:name w:val="页眉 字符"/>
    <w:basedOn w:val="a0"/>
    <w:link w:val="a6"/>
    <w:rsid w:val="00633311"/>
    <w:rPr>
      <w:rFonts w:eastAsia="Arial"/>
      <w:snapToGrid w:val="0"/>
      <w:color w:val="000000"/>
      <w:sz w:val="18"/>
      <w:szCs w:val="18"/>
      <w:lang w:eastAsia="en-US"/>
    </w:rPr>
  </w:style>
  <w:style w:type="paragraph" w:styleId="a8">
    <w:name w:val="footer"/>
    <w:basedOn w:val="a"/>
    <w:link w:val="a9"/>
    <w:rsid w:val="00633311"/>
    <w:pPr>
      <w:tabs>
        <w:tab w:val="center" w:pos="4153"/>
        <w:tab w:val="right" w:pos="8306"/>
      </w:tabs>
    </w:pPr>
    <w:rPr>
      <w:sz w:val="18"/>
      <w:szCs w:val="18"/>
    </w:rPr>
  </w:style>
  <w:style w:type="character" w:customStyle="1" w:styleId="a9">
    <w:name w:val="页脚 字符"/>
    <w:basedOn w:val="a0"/>
    <w:link w:val="a8"/>
    <w:rsid w:val="00633311"/>
    <w:rPr>
      <w:rFonts w:eastAsia="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ninfo.com.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145</Words>
  <Characters>833</Characters>
  <Application>Microsoft Office Word</Application>
  <DocSecurity>0</DocSecurity>
  <Lines>6</Lines>
  <Paragraphs>1</Paragraphs>
  <ScaleCrop>false</ScaleCrop>
  <Company/>
  <LinksUpToDate>false</LinksUpToDate>
  <CharactersWithSpaces>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宇 吴</cp:lastModifiedBy>
  <cp:revision>3</cp:revision>
  <dcterms:created xsi:type="dcterms:W3CDTF">2025-06-07T14:36:00Z</dcterms:created>
  <dcterms:modified xsi:type="dcterms:W3CDTF">2025-06-23T03:50:00Z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2052-12.1.0.21541</vt:lpwstr>
  </property>
  <property fmtid="{D5CDD505-2E9C-101B-9397-08002B2CF9AE}" pid="5" name="ICV">
    <vt:lpwstr>8462723751178D370EE04B68E7A3C690_42</vt:lpwstr>
  </property>
  <property fmtid="{D5CDD505-2E9C-101B-9397-08002B2CF9AE}" pid="6" name="KSOTemplateDocerSaveRecord">
    <vt:lpwstr>eyJoZGlkIjoiNmZiYjY5ZTU4NmNkMDliZGQ5ODVlZmVlNDQ3ODNhODIiLCJ1c2VySWQiOiI0Mzc4Mjk5OTMifQ==</vt:lpwstr>
  </property>
</Properties>
</file>