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8289E" w14:textId="77777777" w:rsidR="008D4853" w:rsidRDefault="00000000">
      <w:pPr>
        <w:spacing w:line="360" w:lineRule="auto"/>
        <w:jc w:val="center"/>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公告编号：2025-051</w:t>
      </w:r>
    </w:p>
    <w:p w14:paraId="178811AE" w14:textId="77777777" w:rsidR="008D4853"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06080297" w14:textId="0B873BC4" w:rsidR="008D4853"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关于本次交易停牌前一个交易日前十大股东和前十大流通股股东持股情况的公告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8D4853" w14:paraId="3C5A7912" w14:textId="77777777">
        <w:trPr>
          <w:trHeight w:val="776"/>
        </w:trPr>
        <w:tc>
          <w:tcPr>
            <w:tcW w:w="7962" w:type="dxa"/>
          </w:tcPr>
          <w:p w14:paraId="4BC3FDEB" w14:textId="77777777" w:rsidR="008D4853"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2814D096" w14:textId="77777777" w:rsidR="008D4853" w:rsidRDefault="008D4853">
      <w:pPr>
        <w:spacing w:line="360" w:lineRule="auto"/>
        <w:rPr>
          <w:rFonts w:ascii="宋体" w:eastAsia="宋体" w:hAnsi="宋体" w:cs="宋体" w:hint="eastAsia"/>
          <w:sz w:val="24"/>
          <w:szCs w:val="24"/>
          <w:lang w:eastAsia="zh-CN"/>
        </w:rPr>
      </w:pPr>
    </w:p>
    <w:p w14:paraId="78BDB7E5" w14:textId="77777777" w:rsidR="008D4853" w:rsidRDefault="00000000">
      <w:pPr>
        <w:pStyle w:val="a4"/>
        <w:spacing w:before="109" w:line="360" w:lineRule="auto"/>
        <w:ind w:right="65" w:firstLineChars="200" w:firstLine="560"/>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拟筹划发行股份及支付现金购买广东星云开物科技股份有限公司100%股权并募集配套资金暨关联交易事项。经公司向深圳证券交易所申请，公司股票（证券简称：</w:t>
      </w:r>
      <w:proofErr w:type="gramStart"/>
      <w:r>
        <w:rPr>
          <w:rFonts w:ascii="仿宋" w:eastAsia="仿宋" w:hAnsi="仿宋" w:cs="仿宋" w:hint="eastAsia"/>
          <w:snapToGrid/>
          <w:kern w:val="2"/>
          <w:sz w:val="28"/>
          <w:szCs w:val="28"/>
          <w:lang w:eastAsia="zh-CN"/>
        </w:rPr>
        <w:t>天亿马</w:t>
      </w:r>
      <w:proofErr w:type="gramEnd"/>
      <w:r>
        <w:rPr>
          <w:rFonts w:ascii="仿宋" w:eastAsia="仿宋" w:hAnsi="仿宋" w:cs="仿宋" w:hint="eastAsia"/>
          <w:snapToGrid/>
          <w:kern w:val="2"/>
          <w:sz w:val="28"/>
          <w:szCs w:val="28"/>
          <w:lang w:eastAsia="zh-CN"/>
        </w:rPr>
        <w:t>，证券代码：301178）自2025年6月10日（星期二）开市时起开始停牌，具体内容详见公司2025年6月10日刊登于巨潮资讯网（www.cninfo.com.cn）上的《广东天亿马信息产业股份有限公司关于筹划发行股份及支付现金购买资产并募集配套资金的停牌公告》。</w:t>
      </w:r>
    </w:p>
    <w:p w14:paraId="7CEA1A08" w14:textId="77777777" w:rsidR="008D4853" w:rsidRDefault="00000000">
      <w:pPr>
        <w:pStyle w:val="a4"/>
        <w:spacing w:before="109" w:line="360" w:lineRule="auto"/>
        <w:ind w:right="65" w:firstLineChars="200" w:firstLine="560"/>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根据《深圳证券交易所上市公司自律监管指引第6号——停复牌》相关规定，现将公司股票停牌前1个交易日（即2025年6月9日）的前10大股东和前10大流通股股东的名称、持股数量和所持股份类别等情况披露如下：</w:t>
      </w:r>
    </w:p>
    <w:p w14:paraId="1AFA61DA" w14:textId="77777777" w:rsidR="008D4853" w:rsidRDefault="00000000">
      <w:pPr>
        <w:pStyle w:val="a4"/>
        <w:numPr>
          <w:ilvl w:val="0"/>
          <w:numId w:val="1"/>
        </w:numPr>
        <w:spacing w:before="109" w:line="360" w:lineRule="auto"/>
        <w:ind w:right="65" w:firstLineChars="200" w:firstLine="562"/>
        <w:jc w:val="both"/>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公司股票停牌前1个交易日前10大股东</w:t>
      </w:r>
    </w:p>
    <w:p w14:paraId="41C82FE3" w14:textId="77777777" w:rsidR="008D4853" w:rsidRDefault="00000000">
      <w:pPr>
        <w:pStyle w:val="a4"/>
        <w:spacing w:before="109" w:line="360" w:lineRule="auto"/>
        <w:ind w:right="65" w:firstLineChars="200" w:firstLine="560"/>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截至公司停牌前一个交易日（2025年6月9日），公司前十大股东的持股股份类别均为人民币普通股，具体情况如下：</w:t>
      </w:r>
    </w:p>
    <w:tbl>
      <w:tblPr>
        <w:tblStyle w:val="a9"/>
        <w:tblW w:w="5000" w:type="pct"/>
        <w:tblLayout w:type="fixed"/>
        <w:tblLook w:val="04A0" w:firstRow="1" w:lastRow="0" w:firstColumn="1" w:lastColumn="0" w:noHBand="0" w:noVBand="1"/>
      </w:tblPr>
      <w:tblGrid>
        <w:gridCol w:w="578"/>
        <w:gridCol w:w="3925"/>
        <w:gridCol w:w="1558"/>
        <w:gridCol w:w="1431"/>
        <w:gridCol w:w="1116"/>
      </w:tblGrid>
      <w:tr w:rsidR="008D4853" w14:paraId="1336A10B" w14:textId="77777777" w:rsidTr="00955C15">
        <w:trPr>
          <w:tblHeader/>
        </w:trPr>
        <w:tc>
          <w:tcPr>
            <w:tcW w:w="335" w:type="pct"/>
            <w:vAlign w:val="center"/>
          </w:tcPr>
          <w:p w14:paraId="04A18E54"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序号</w:t>
            </w:r>
          </w:p>
        </w:tc>
        <w:tc>
          <w:tcPr>
            <w:tcW w:w="2280" w:type="pct"/>
            <w:vAlign w:val="center"/>
          </w:tcPr>
          <w:p w14:paraId="7F2AE262"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股东名称</w:t>
            </w:r>
          </w:p>
          <w:p w14:paraId="2F7A786E" w14:textId="77777777" w:rsidR="00DE7FC6" w:rsidRPr="00DE7FC6" w:rsidRDefault="00DE7FC6" w:rsidP="00DE7FC6">
            <w:pPr>
              <w:rPr>
                <w:rFonts w:hint="eastAsia"/>
                <w:lang w:eastAsia="zh-CN"/>
              </w:rPr>
            </w:pPr>
          </w:p>
          <w:p w14:paraId="0682A20F" w14:textId="77777777" w:rsidR="00DE7FC6" w:rsidRPr="00DE7FC6" w:rsidRDefault="00DE7FC6" w:rsidP="00DE7FC6">
            <w:pPr>
              <w:rPr>
                <w:rFonts w:hint="eastAsia"/>
                <w:lang w:eastAsia="zh-CN"/>
              </w:rPr>
            </w:pPr>
          </w:p>
          <w:p w14:paraId="11C42825" w14:textId="77777777" w:rsidR="00DE7FC6" w:rsidRDefault="00DE7FC6" w:rsidP="00DE7FC6">
            <w:pPr>
              <w:rPr>
                <w:rFonts w:ascii="仿宋" w:eastAsia="仿宋" w:hAnsi="仿宋" w:cs="仿宋" w:hint="eastAsia"/>
                <w:b/>
                <w:bCs/>
                <w:snapToGrid/>
                <w:kern w:val="2"/>
                <w:lang w:eastAsia="zh-CN"/>
              </w:rPr>
            </w:pPr>
          </w:p>
          <w:p w14:paraId="0F97EDE3" w14:textId="77777777" w:rsidR="00DE7FC6" w:rsidRPr="00DE7FC6" w:rsidRDefault="00DE7FC6" w:rsidP="00DE7FC6">
            <w:pPr>
              <w:rPr>
                <w:rFonts w:hint="eastAsia"/>
                <w:lang w:eastAsia="zh-CN"/>
              </w:rPr>
            </w:pPr>
          </w:p>
        </w:tc>
        <w:tc>
          <w:tcPr>
            <w:tcW w:w="905" w:type="pct"/>
            <w:vAlign w:val="center"/>
          </w:tcPr>
          <w:p w14:paraId="3D5A44EF"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股东类别</w:t>
            </w:r>
          </w:p>
        </w:tc>
        <w:tc>
          <w:tcPr>
            <w:tcW w:w="831" w:type="pct"/>
            <w:vAlign w:val="center"/>
          </w:tcPr>
          <w:p w14:paraId="206C412F"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股份数量</w:t>
            </w:r>
          </w:p>
          <w:p w14:paraId="67F35B29"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w:t>
            </w:r>
          </w:p>
        </w:tc>
        <w:tc>
          <w:tcPr>
            <w:tcW w:w="648" w:type="pct"/>
            <w:vAlign w:val="center"/>
          </w:tcPr>
          <w:p w14:paraId="435DBEFC"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占总股本的比例（%）</w:t>
            </w:r>
          </w:p>
        </w:tc>
      </w:tr>
      <w:tr w:rsidR="008D4853" w14:paraId="10F9CF30" w14:textId="77777777" w:rsidTr="00955C15">
        <w:tc>
          <w:tcPr>
            <w:tcW w:w="335" w:type="pct"/>
            <w:vAlign w:val="center"/>
          </w:tcPr>
          <w:p w14:paraId="393C7A26"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lastRenderedPageBreak/>
              <w:t>1</w:t>
            </w:r>
          </w:p>
        </w:tc>
        <w:tc>
          <w:tcPr>
            <w:tcW w:w="2280" w:type="pct"/>
            <w:vAlign w:val="center"/>
          </w:tcPr>
          <w:p w14:paraId="2FABB6CD" w14:textId="77777777" w:rsidR="008D4853" w:rsidRDefault="00000000">
            <w:pPr>
              <w:widowControl/>
              <w:textAlignment w:val="center"/>
              <w:rPr>
                <w:rFonts w:ascii="仿宋" w:eastAsia="仿宋" w:hAnsi="仿宋" w:cs="仿宋" w:hint="eastAsia"/>
                <w:snapToGrid/>
                <w:kern w:val="2"/>
                <w:lang w:eastAsia="zh-CN"/>
              </w:rPr>
            </w:pPr>
            <w:proofErr w:type="gramStart"/>
            <w:r>
              <w:rPr>
                <w:rFonts w:ascii="仿宋" w:eastAsia="仿宋" w:hAnsi="仿宋" w:cs="仿宋" w:hint="eastAsia"/>
                <w:lang w:eastAsia="zh-CN" w:bidi="ar"/>
              </w:rPr>
              <w:t>林明玲</w:t>
            </w:r>
            <w:proofErr w:type="gramEnd"/>
          </w:p>
        </w:tc>
        <w:tc>
          <w:tcPr>
            <w:tcW w:w="905" w:type="pct"/>
            <w:vAlign w:val="center"/>
          </w:tcPr>
          <w:p w14:paraId="4FC39D19"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境内自然人</w:t>
            </w:r>
          </w:p>
        </w:tc>
        <w:tc>
          <w:tcPr>
            <w:tcW w:w="831" w:type="pct"/>
            <w:vAlign w:val="center"/>
          </w:tcPr>
          <w:p w14:paraId="49F3967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19,327,824</w:t>
            </w:r>
          </w:p>
        </w:tc>
        <w:tc>
          <w:tcPr>
            <w:tcW w:w="648" w:type="pct"/>
            <w:vAlign w:val="center"/>
          </w:tcPr>
          <w:p w14:paraId="56C0C58C"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28.80</w:t>
            </w:r>
          </w:p>
        </w:tc>
      </w:tr>
      <w:tr w:rsidR="008D4853" w14:paraId="5EC0C537" w14:textId="77777777" w:rsidTr="00955C15">
        <w:tc>
          <w:tcPr>
            <w:tcW w:w="335" w:type="pct"/>
            <w:vAlign w:val="center"/>
          </w:tcPr>
          <w:p w14:paraId="7846B07A"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2</w:t>
            </w:r>
          </w:p>
        </w:tc>
        <w:tc>
          <w:tcPr>
            <w:tcW w:w="2280" w:type="pct"/>
            <w:vAlign w:val="center"/>
          </w:tcPr>
          <w:p w14:paraId="7053C5C5" w14:textId="77777777" w:rsidR="008D4853" w:rsidRDefault="00000000">
            <w:pPr>
              <w:widowControl/>
              <w:textAlignment w:val="center"/>
              <w:rPr>
                <w:rFonts w:ascii="仿宋" w:eastAsia="仿宋" w:hAnsi="仿宋" w:cs="仿宋" w:hint="eastAsia"/>
                <w:snapToGrid/>
                <w:kern w:val="2"/>
                <w:lang w:eastAsia="zh-CN"/>
              </w:rPr>
            </w:pPr>
            <w:proofErr w:type="gramStart"/>
            <w:r>
              <w:rPr>
                <w:rFonts w:ascii="仿宋" w:eastAsia="仿宋" w:hAnsi="仿宋" w:cs="仿宋" w:hint="eastAsia"/>
                <w:lang w:eastAsia="zh-CN" w:bidi="ar"/>
              </w:rPr>
              <w:t>马学沛</w:t>
            </w:r>
            <w:proofErr w:type="gramEnd"/>
          </w:p>
        </w:tc>
        <w:tc>
          <w:tcPr>
            <w:tcW w:w="905" w:type="pct"/>
            <w:vAlign w:val="center"/>
          </w:tcPr>
          <w:p w14:paraId="41DF8639"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境内自然人</w:t>
            </w:r>
          </w:p>
        </w:tc>
        <w:tc>
          <w:tcPr>
            <w:tcW w:w="831" w:type="pct"/>
            <w:vAlign w:val="center"/>
          </w:tcPr>
          <w:p w14:paraId="3FB40E8C"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4,182,120</w:t>
            </w:r>
          </w:p>
        </w:tc>
        <w:tc>
          <w:tcPr>
            <w:tcW w:w="648" w:type="pct"/>
            <w:vAlign w:val="center"/>
          </w:tcPr>
          <w:p w14:paraId="7EDD71BF"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6.23</w:t>
            </w:r>
          </w:p>
        </w:tc>
      </w:tr>
      <w:tr w:rsidR="008D4853" w14:paraId="60C44882" w14:textId="77777777" w:rsidTr="00955C15">
        <w:tc>
          <w:tcPr>
            <w:tcW w:w="335" w:type="pct"/>
            <w:vAlign w:val="center"/>
          </w:tcPr>
          <w:p w14:paraId="69FA9D82"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3</w:t>
            </w:r>
          </w:p>
        </w:tc>
        <w:tc>
          <w:tcPr>
            <w:tcW w:w="2280" w:type="pct"/>
            <w:vAlign w:val="center"/>
          </w:tcPr>
          <w:p w14:paraId="0B6CCB04"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共青城东兴博元投资中心（有限合伙）</w:t>
            </w:r>
          </w:p>
        </w:tc>
        <w:tc>
          <w:tcPr>
            <w:tcW w:w="905" w:type="pct"/>
            <w:vAlign w:val="center"/>
          </w:tcPr>
          <w:p w14:paraId="028C9C90"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831" w:type="pct"/>
            <w:vAlign w:val="center"/>
          </w:tcPr>
          <w:p w14:paraId="21C61B26"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2,438,401</w:t>
            </w:r>
          </w:p>
        </w:tc>
        <w:tc>
          <w:tcPr>
            <w:tcW w:w="648" w:type="pct"/>
            <w:vAlign w:val="center"/>
          </w:tcPr>
          <w:p w14:paraId="2A5F5284"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3.63</w:t>
            </w:r>
          </w:p>
        </w:tc>
      </w:tr>
      <w:tr w:rsidR="008D4853" w14:paraId="7611632D" w14:textId="77777777" w:rsidTr="00955C15">
        <w:tc>
          <w:tcPr>
            <w:tcW w:w="335" w:type="pct"/>
            <w:vAlign w:val="center"/>
          </w:tcPr>
          <w:p w14:paraId="6F7D568C"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4</w:t>
            </w:r>
          </w:p>
        </w:tc>
        <w:tc>
          <w:tcPr>
            <w:tcW w:w="2280" w:type="pct"/>
            <w:vAlign w:val="center"/>
          </w:tcPr>
          <w:p w14:paraId="6638808C"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南京</w:t>
            </w:r>
            <w:proofErr w:type="gramStart"/>
            <w:r>
              <w:rPr>
                <w:rFonts w:ascii="仿宋" w:eastAsia="仿宋" w:hAnsi="仿宋" w:cs="仿宋" w:hint="eastAsia"/>
                <w:lang w:eastAsia="zh-CN" w:bidi="ar"/>
              </w:rPr>
              <w:t>优志投资</w:t>
            </w:r>
            <w:proofErr w:type="gramEnd"/>
            <w:r>
              <w:rPr>
                <w:rFonts w:ascii="仿宋" w:eastAsia="仿宋" w:hAnsi="仿宋" w:cs="仿宋" w:hint="eastAsia"/>
                <w:lang w:eastAsia="zh-CN" w:bidi="ar"/>
              </w:rPr>
              <w:t>管理合伙企业（有限合伙）</w:t>
            </w:r>
          </w:p>
        </w:tc>
        <w:tc>
          <w:tcPr>
            <w:tcW w:w="905" w:type="pct"/>
            <w:vAlign w:val="center"/>
          </w:tcPr>
          <w:p w14:paraId="2D2A4109"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831" w:type="pct"/>
            <w:vAlign w:val="center"/>
          </w:tcPr>
          <w:p w14:paraId="5F8CB167"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2,017,000</w:t>
            </w:r>
          </w:p>
        </w:tc>
        <w:tc>
          <w:tcPr>
            <w:tcW w:w="648" w:type="pct"/>
            <w:vAlign w:val="center"/>
          </w:tcPr>
          <w:p w14:paraId="0502C748"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3.01</w:t>
            </w:r>
          </w:p>
        </w:tc>
      </w:tr>
      <w:tr w:rsidR="008D4853" w14:paraId="639527D9" w14:textId="77777777" w:rsidTr="00955C15">
        <w:tc>
          <w:tcPr>
            <w:tcW w:w="335" w:type="pct"/>
            <w:vAlign w:val="center"/>
          </w:tcPr>
          <w:p w14:paraId="6B9E53C5"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5</w:t>
            </w:r>
          </w:p>
        </w:tc>
        <w:tc>
          <w:tcPr>
            <w:tcW w:w="2280" w:type="pct"/>
            <w:vAlign w:val="center"/>
          </w:tcPr>
          <w:p w14:paraId="71A5370B"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广东天亿马信息产业股份有限公司回购专用证券账户</w:t>
            </w:r>
          </w:p>
        </w:tc>
        <w:tc>
          <w:tcPr>
            <w:tcW w:w="905" w:type="pct"/>
            <w:vAlign w:val="center"/>
          </w:tcPr>
          <w:p w14:paraId="2D8DA061"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831" w:type="pct"/>
            <w:vAlign w:val="center"/>
          </w:tcPr>
          <w:p w14:paraId="4389647D"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1,224,140</w:t>
            </w:r>
          </w:p>
        </w:tc>
        <w:tc>
          <w:tcPr>
            <w:tcW w:w="648" w:type="pct"/>
            <w:vAlign w:val="center"/>
          </w:tcPr>
          <w:p w14:paraId="0925105A"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1.82</w:t>
            </w:r>
          </w:p>
        </w:tc>
      </w:tr>
      <w:tr w:rsidR="008D4853" w14:paraId="173FA35F" w14:textId="77777777" w:rsidTr="00955C15">
        <w:tc>
          <w:tcPr>
            <w:tcW w:w="335" w:type="pct"/>
            <w:vAlign w:val="center"/>
          </w:tcPr>
          <w:p w14:paraId="78D2445E"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6</w:t>
            </w:r>
          </w:p>
        </w:tc>
        <w:tc>
          <w:tcPr>
            <w:tcW w:w="2280" w:type="pct"/>
            <w:vAlign w:val="center"/>
          </w:tcPr>
          <w:p w14:paraId="7D5D97F0" w14:textId="5E0C863F"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前海大唐英加（深圳）基金管理有限公司－英加黑马八十一号私募证券投资基金</w:t>
            </w:r>
          </w:p>
        </w:tc>
        <w:tc>
          <w:tcPr>
            <w:tcW w:w="905" w:type="pct"/>
            <w:vAlign w:val="center"/>
          </w:tcPr>
          <w:p w14:paraId="5A10C834"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基金、理财产品等</w:t>
            </w:r>
          </w:p>
        </w:tc>
        <w:tc>
          <w:tcPr>
            <w:tcW w:w="831" w:type="pct"/>
            <w:vAlign w:val="center"/>
          </w:tcPr>
          <w:p w14:paraId="575A3E5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1,202,000</w:t>
            </w:r>
          </w:p>
        </w:tc>
        <w:tc>
          <w:tcPr>
            <w:tcW w:w="648" w:type="pct"/>
            <w:vAlign w:val="center"/>
          </w:tcPr>
          <w:p w14:paraId="3BCB61C1"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1.79</w:t>
            </w:r>
          </w:p>
        </w:tc>
      </w:tr>
      <w:tr w:rsidR="008D4853" w14:paraId="52EF313F" w14:textId="77777777" w:rsidTr="00955C15">
        <w:tc>
          <w:tcPr>
            <w:tcW w:w="335" w:type="pct"/>
            <w:vAlign w:val="center"/>
          </w:tcPr>
          <w:p w14:paraId="57A4AA34"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7</w:t>
            </w:r>
          </w:p>
        </w:tc>
        <w:tc>
          <w:tcPr>
            <w:tcW w:w="2280" w:type="pct"/>
            <w:vAlign w:val="center"/>
          </w:tcPr>
          <w:p w14:paraId="76B5DDB4"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南京</w:t>
            </w:r>
            <w:proofErr w:type="gramStart"/>
            <w:r>
              <w:rPr>
                <w:rFonts w:ascii="仿宋" w:eastAsia="仿宋" w:hAnsi="仿宋" w:cs="仿宋" w:hint="eastAsia"/>
                <w:lang w:eastAsia="zh-CN" w:bidi="ar"/>
              </w:rPr>
              <w:t>乐遂信息</w:t>
            </w:r>
            <w:proofErr w:type="gramEnd"/>
            <w:r>
              <w:rPr>
                <w:rFonts w:ascii="仿宋" w:eastAsia="仿宋" w:hAnsi="仿宋" w:cs="仿宋" w:hint="eastAsia"/>
                <w:lang w:eastAsia="zh-CN" w:bidi="ar"/>
              </w:rPr>
              <w:t>咨询管理合伙企业（有限合伙）</w:t>
            </w:r>
          </w:p>
        </w:tc>
        <w:tc>
          <w:tcPr>
            <w:tcW w:w="905" w:type="pct"/>
            <w:vAlign w:val="center"/>
          </w:tcPr>
          <w:p w14:paraId="028D3A9D"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831" w:type="pct"/>
            <w:vAlign w:val="center"/>
          </w:tcPr>
          <w:p w14:paraId="17A591C2"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658,846</w:t>
            </w:r>
          </w:p>
        </w:tc>
        <w:tc>
          <w:tcPr>
            <w:tcW w:w="648" w:type="pct"/>
            <w:vAlign w:val="center"/>
          </w:tcPr>
          <w:p w14:paraId="4EE0C930"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0.98</w:t>
            </w:r>
          </w:p>
        </w:tc>
      </w:tr>
      <w:tr w:rsidR="008D4853" w14:paraId="57E40865" w14:textId="77777777" w:rsidTr="00955C15">
        <w:tc>
          <w:tcPr>
            <w:tcW w:w="335" w:type="pct"/>
            <w:vAlign w:val="center"/>
          </w:tcPr>
          <w:p w14:paraId="430F6DB9"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8</w:t>
            </w:r>
          </w:p>
        </w:tc>
        <w:tc>
          <w:tcPr>
            <w:tcW w:w="2280" w:type="pct"/>
            <w:vAlign w:val="center"/>
          </w:tcPr>
          <w:p w14:paraId="4FAEDCBE"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广东天亿马信息产业股份有限公司－2023年员工持股计划</w:t>
            </w:r>
          </w:p>
        </w:tc>
        <w:tc>
          <w:tcPr>
            <w:tcW w:w="905" w:type="pct"/>
            <w:vAlign w:val="center"/>
          </w:tcPr>
          <w:p w14:paraId="3DF59913"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基金、理财产品等</w:t>
            </w:r>
          </w:p>
        </w:tc>
        <w:tc>
          <w:tcPr>
            <w:tcW w:w="831" w:type="pct"/>
            <w:vAlign w:val="center"/>
          </w:tcPr>
          <w:p w14:paraId="6848D999"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472,400</w:t>
            </w:r>
          </w:p>
        </w:tc>
        <w:tc>
          <w:tcPr>
            <w:tcW w:w="648" w:type="pct"/>
            <w:vAlign w:val="center"/>
          </w:tcPr>
          <w:p w14:paraId="271556E9"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0.70</w:t>
            </w:r>
          </w:p>
        </w:tc>
      </w:tr>
      <w:tr w:rsidR="008D4853" w14:paraId="6FD71950" w14:textId="77777777" w:rsidTr="00955C15">
        <w:tc>
          <w:tcPr>
            <w:tcW w:w="335" w:type="pct"/>
            <w:vAlign w:val="center"/>
          </w:tcPr>
          <w:p w14:paraId="356CF583"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9</w:t>
            </w:r>
          </w:p>
        </w:tc>
        <w:tc>
          <w:tcPr>
            <w:tcW w:w="2280" w:type="pct"/>
            <w:vAlign w:val="center"/>
          </w:tcPr>
          <w:p w14:paraId="182AB4F6" w14:textId="218719FF"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张国华</w:t>
            </w:r>
          </w:p>
        </w:tc>
        <w:tc>
          <w:tcPr>
            <w:tcW w:w="905" w:type="pct"/>
            <w:vAlign w:val="center"/>
          </w:tcPr>
          <w:p w14:paraId="2CCC0095"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境内自然人</w:t>
            </w:r>
          </w:p>
        </w:tc>
        <w:tc>
          <w:tcPr>
            <w:tcW w:w="831" w:type="pct"/>
            <w:vAlign w:val="center"/>
          </w:tcPr>
          <w:p w14:paraId="185C6FF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402,000</w:t>
            </w:r>
          </w:p>
        </w:tc>
        <w:tc>
          <w:tcPr>
            <w:tcW w:w="648" w:type="pct"/>
            <w:vAlign w:val="center"/>
          </w:tcPr>
          <w:p w14:paraId="1C1B65C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0.60</w:t>
            </w:r>
          </w:p>
        </w:tc>
      </w:tr>
      <w:tr w:rsidR="008D4853" w14:paraId="679B8C8C" w14:textId="77777777" w:rsidTr="00955C15">
        <w:tc>
          <w:tcPr>
            <w:tcW w:w="335" w:type="pct"/>
            <w:vAlign w:val="center"/>
          </w:tcPr>
          <w:p w14:paraId="354B5DB7"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10</w:t>
            </w:r>
          </w:p>
        </w:tc>
        <w:tc>
          <w:tcPr>
            <w:tcW w:w="2280" w:type="pct"/>
            <w:vAlign w:val="center"/>
          </w:tcPr>
          <w:p w14:paraId="681FB4DF"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J. P. Morgan Securities PLC－自有资金</w:t>
            </w:r>
          </w:p>
        </w:tc>
        <w:tc>
          <w:tcPr>
            <w:tcW w:w="905" w:type="pct"/>
            <w:vAlign w:val="center"/>
          </w:tcPr>
          <w:p w14:paraId="6D5C3E72"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境外法人</w:t>
            </w:r>
          </w:p>
        </w:tc>
        <w:tc>
          <w:tcPr>
            <w:tcW w:w="831" w:type="pct"/>
            <w:vAlign w:val="center"/>
          </w:tcPr>
          <w:p w14:paraId="2500AD53"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399,902</w:t>
            </w:r>
          </w:p>
        </w:tc>
        <w:tc>
          <w:tcPr>
            <w:tcW w:w="648" w:type="pct"/>
            <w:vAlign w:val="center"/>
          </w:tcPr>
          <w:p w14:paraId="0989D6A0"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0.60</w:t>
            </w:r>
          </w:p>
        </w:tc>
      </w:tr>
    </w:tbl>
    <w:p w14:paraId="64B2CFB0" w14:textId="77777777" w:rsidR="008D4853" w:rsidRDefault="00000000">
      <w:pPr>
        <w:pStyle w:val="a4"/>
        <w:spacing w:before="109" w:line="360" w:lineRule="auto"/>
        <w:ind w:right="65"/>
        <w:jc w:val="both"/>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注：以上股东的持股数量为合并普通账户和融资融券信用账户后的持股数量总和。</w:t>
      </w:r>
    </w:p>
    <w:p w14:paraId="1FC7E3DA" w14:textId="77777777" w:rsidR="008D4853" w:rsidRDefault="00000000">
      <w:pPr>
        <w:pStyle w:val="a4"/>
        <w:numPr>
          <w:ilvl w:val="0"/>
          <w:numId w:val="1"/>
        </w:numPr>
        <w:spacing w:before="109" w:line="360" w:lineRule="auto"/>
        <w:ind w:right="65" w:firstLineChars="200" w:firstLine="562"/>
        <w:jc w:val="both"/>
        <w:rPr>
          <w:rFonts w:ascii="仿宋" w:eastAsia="仿宋" w:hAnsi="仿宋" w:cs="仿宋" w:hint="eastAsia"/>
          <w:b/>
          <w:bCs/>
          <w:snapToGrid/>
          <w:kern w:val="2"/>
          <w:sz w:val="28"/>
          <w:szCs w:val="28"/>
          <w:lang w:eastAsia="zh-CN"/>
        </w:rPr>
      </w:pPr>
      <w:r>
        <w:rPr>
          <w:rFonts w:ascii="仿宋" w:eastAsia="仿宋" w:hAnsi="仿宋" w:cs="仿宋"/>
          <w:b/>
          <w:bCs/>
          <w:snapToGrid/>
          <w:kern w:val="2"/>
          <w:sz w:val="28"/>
          <w:szCs w:val="28"/>
          <w:lang w:eastAsia="zh-CN"/>
        </w:rPr>
        <w:t>公司股票停牌前1个交易日前10大流通股股东</w:t>
      </w:r>
    </w:p>
    <w:p w14:paraId="5A510B39" w14:textId="77777777" w:rsidR="008D4853" w:rsidRDefault="00000000">
      <w:pPr>
        <w:pStyle w:val="a4"/>
        <w:spacing w:before="109" w:line="360" w:lineRule="auto"/>
        <w:ind w:right="65" w:firstLineChars="200" w:firstLine="560"/>
        <w:jc w:val="both"/>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截至公司停牌前一个交易日（2025年</w:t>
      </w:r>
      <w:r>
        <w:rPr>
          <w:rFonts w:ascii="仿宋" w:eastAsia="仿宋" w:hAnsi="仿宋" w:cs="仿宋" w:hint="eastAsia"/>
          <w:snapToGrid/>
          <w:kern w:val="2"/>
          <w:sz w:val="28"/>
          <w:szCs w:val="28"/>
          <w:lang w:eastAsia="zh-CN"/>
        </w:rPr>
        <w:t>6月9日</w:t>
      </w:r>
      <w:r>
        <w:rPr>
          <w:rFonts w:ascii="仿宋" w:eastAsia="仿宋" w:hAnsi="仿宋" w:cs="仿宋"/>
          <w:snapToGrid/>
          <w:kern w:val="2"/>
          <w:sz w:val="28"/>
          <w:szCs w:val="28"/>
          <w:lang w:eastAsia="zh-CN"/>
        </w:rPr>
        <w:t>），公司前十大流通股股东的持股股份类别均为人民币普通股，具体情况如下：</w:t>
      </w:r>
    </w:p>
    <w:tbl>
      <w:tblPr>
        <w:tblStyle w:val="a9"/>
        <w:tblW w:w="0" w:type="auto"/>
        <w:tblLook w:val="04A0" w:firstRow="1" w:lastRow="0" w:firstColumn="1" w:lastColumn="0" w:noHBand="0" w:noVBand="1"/>
      </w:tblPr>
      <w:tblGrid>
        <w:gridCol w:w="971"/>
        <w:gridCol w:w="2716"/>
        <w:gridCol w:w="1768"/>
        <w:gridCol w:w="1411"/>
        <w:gridCol w:w="1742"/>
      </w:tblGrid>
      <w:tr w:rsidR="008D4853" w14:paraId="17C17CC7" w14:textId="77777777">
        <w:trPr>
          <w:tblHeader/>
        </w:trPr>
        <w:tc>
          <w:tcPr>
            <w:tcW w:w="971" w:type="dxa"/>
            <w:vAlign w:val="center"/>
          </w:tcPr>
          <w:p w14:paraId="7C88A6E2"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序号</w:t>
            </w:r>
          </w:p>
        </w:tc>
        <w:tc>
          <w:tcPr>
            <w:tcW w:w="2716" w:type="dxa"/>
            <w:vAlign w:val="center"/>
          </w:tcPr>
          <w:p w14:paraId="38610030"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股东名称</w:t>
            </w:r>
          </w:p>
        </w:tc>
        <w:tc>
          <w:tcPr>
            <w:tcW w:w="1768" w:type="dxa"/>
            <w:vAlign w:val="center"/>
          </w:tcPr>
          <w:p w14:paraId="78012AEE"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股东类别</w:t>
            </w:r>
          </w:p>
        </w:tc>
        <w:tc>
          <w:tcPr>
            <w:tcW w:w="1411" w:type="dxa"/>
            <w:vAlign w:val="center"/>
          </w:tcPr>
          <w:p w14:paraId="0ACA510F"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股份数量</w:t>
            </w:r>
          </w:p>
          <w:p w14:paraId="4D481886"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（股）</w:t>
            </w:r>
          </w:p>
        </w:tc>
        <w:tc>
          <w:tcPr>
            <w:tcW w:w="1742" w:type="dxa"/>
            <w:vAlign w:val="center"/>
          </w:tcPr>
          <w:p w14:paraId="7B741195"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占无限</w:t>
            </w:r>
            <w:proofErr w:type="gramStart"/>
            <w:r>
              <w:rPr>
                <w:rFonts w:ascii="仿宋" w:eastAsia="仿宋" w:hAnsi="仿宋" w:cs="仿宋" w:hint="eastAsia"/>
                <w:b/>
                <w:bCs/>
                <w:snapToGrid/>
                <w:kern w:val="2"/>
                <w:sz w:val="21"/>
                <w:szCs w:val="21"/>
                <w:lang w:eastAsia="zh-CN"/>
              </w:rPr>
              <w:t>售流通</w:t>
            </w:r>
            <w:proofErr w:type="gramEnd"/>
            <w:r>
              <w:rPr>
                <w:rFonts w:ascii="仿宋" w:eastAsia="仿宋" w:hAnsi="仿宋" w:cs="仿宋" w:hint="eastAsia"/>
                <w:b/>
                <w:bCs/>
                <w:snapToGrid/>
                <w:kern w:val="2"/>
                <w:sz w:val="21"/>
                <w:szCs w:val="21"/>
                <w:lang w:eastAsia="zh-CN"/>
              </w:rPr>
              <w:t>股份的比例</w:t>
            </w:r>
          </w:p>
          <w:p w14:paraId="3AC483D7" w14:textId="77777777" w:rsidR="008D4853" w:rsidRDefault="00000000">
            <w:pPr>
              <w:pStyle w:val="a4"/>
              <w:widowControl/>
              <w:spacing w:before="109" w:line="360" w:lineRule="auto"/>
              <w:ind w:right="65"/>
              <w:jc w:val="center"/>
              <w:rPr>
                <w:rFonts w:ascii="仿宋" w:eastAsia="仿宋" w:hAnsi="仿宋" w:cs="仿宋" w:hint="eastAsia"/>
                <w:b/>
                <w:bCs/>
                <w:snapToGrid/>
                <w:kern w:val="2"/>
                <w:sz w:val="21"/>
                <w:szCs w:val="21"/>
                <w:lang w:eastAsia="zh-CN"/>
              </w:rPr>
            </w:pPr>
            <w:r>
              <w:rPr>
                <w:rFonts w:ascii="仿宋" w:eastAsia="仿宋" w:hAnsi="仿宋" w:cs="仿宋" w:hint="eastAsia"/>
                <w:b/>
                <w:bCs/>
                <w:snapToGrid/>
                <w:kern w:val="2"/>
                <w:sz w:val="21"/>
                <w:szCs w:val="21"/>
                <w:lang w:eastAsia="zh-CN"/>
              </w:rPr>
              <w:t>（%）</w:t>
            </w:r>
          </w:p>
        </w:tc>
      </w:tr>
      <w:tr w:rsidR="008D4853" w14:paraId="6409B70E" w14:textId="77777777">
        <w:tc>
          <w:tcPr>
            <w:tcW w:w="971" w:type="dxa"/>
            <w:vAlign w:val="center"/>
          </w:tcPr>
          <w:p w14:paraId="2422E2A9"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1</w:t>
            </w:r>
          </w:p>
        </w:tc>
        <w:tc>
          <w:tcPr>
            <w:tcW w:w="2716" w:type="dxa"/>
            <w:vAlign w:val="center"/>
          </w:tcPr>
          <w:p w14:paraId="28220AC5" w14:textId="77777777" w:rsidR="008D4853" w:rsidRDefault="00000000">
            <w:pPr>
              <w:widowControl/>
              <w:textAlignment w:val="center"/>
              <w:rPr>
                <w:rFonts w:ascii="仿宋" w:eastAsia="仿宋" w:hAnsi="仿宋" w:cs="仿宋" w:hint="eastAsia"/>
                <w:snapToGrid/>
                <w:kern w:val="2"/>
                <w:lang w:eastAsia="zh-CN"/>
              </w:rPr>
            </w:pPr>
            <w:proofErr w:type="gramStart"/>
            <w:r>
              <w:rPr>
                <w:rFonts w:ascii="仿宋" w:eastAsia="仿宋" w:hAnsi="仿宋" w:cs="仿宋" w:hint="eastAsia"/>
                <w:lang w:eastAsia="zh-CN" w:bidi="ar"/>
              </w:rPr>
              <w:t>林明玲</w:t>
            </w:r>
            <w:proofErr w:type="gramEnd"/>
          </w:p>
        </w:tc>
        <w:tc>
          <w:tcPr>
            <w:tcW w:w="1768" w:type="dxa"/>
            <w:vAlign w:val="center"/>
          </w:tcPr>
          <w:p w14:paraId="728CCCC4"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境内自然人</w:t>
            </w:r>
          </w:p>
        </w:tc>
        <w:tc>
          <w:tcPr>
            <w:tcW w:w="1411" w:type="dxa"/>
            <w:vAlign w:val="center"/>
          </w:tcPr>
          <w:p w14:paraId="2B4ABE6D"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4,831,956</w:t>
            </w:r>
          </w:p>
        </w:tc>
        <w:tc>
          <w:tcPr>
            <w:tcW w:w="1742" w:type="dxa"/>
            <w:vAlign w:val="center"/>
          </w:tcPr>
          <w:p w14:paraId="0A3F7785"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snapToGrid/>
                <w:kern w:val="2"/>
                <w:lang w:eastAsia="zh-CN"/>
              </w:rPr>
              <w:t>9.77</w:t>
            </w:r>
          </w:p>
        </w:tc>
      </w:tr>
      <w:tr w:rsidR="008D4853" w14:paraId="0923E88D" w14:textId="77777777">
        <w:tc>
          <w:tcPr>
            <w:tcW w:w="971" w:type="dxa"/>
            <w:vAlign w:val="center"/>
          </w:tcPr>
          <w:p w14:paraId="622F2163"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2</w:t>
            </w:r>
          </w:p>
        </w:tc>
        <w:tc>
          <w:tcPr>
            <w:tcW w:w="2716" w:type="dxa"/>
            <w:vAlign w:val="center"/>
          </w:tcPr>
          <w:p w14:paraId="012DFC74"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共青城东兴博元投资中心（有限合伙）</w:t>
            </w:r>
          </w:p>
        </w:tc>
        <w:tc>
          <w:tcPr>
            <w:tcW w:w="1768" w:type="dxa"/>
            <w:vAlign w:val="center"/>
          </w:tcPr>
          <w:p w14:paraId="3A57D13B"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1411" w:type="dxa"/>
            <w:vAlign w:val="center"/>
          </w:tcPr>
          <w:p w14:paraId="3B73A71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2,438,401</w:t>
            </w:r>
          </w:p>
        </w:tc>
        <w:tc>
          <w:tcPr>
            <w:tcW w:w="1742" w:type="dxa"/>
            <w:vAlign w:val="center"/>
          </w:tcPr>
          <w:p w14:paraId="654775BE"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4.93</w:t>
            </w:r>
          </w:p>
        </w:tc>
      </w:tr>
      <w:tr w:rsidR="008D4853" w14:paraId="4138E6AC" w14:textId="77777777">
        <w:tc>
          <w:tcPr>
            <w:tcW w:w="971" w:type="dxa"/>
            <w:vAlign w:val="center"/>
          </w:tcPr>
          <w:p w14:paraId="1BFF4B57"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3</w:t>
            </w:r>
          </w:p>
        </w:tc>
        <w:tc>
          <w:tcPr>
            <w:tcW w:w="2716" w:type="dxa"/>
            <w:vAlign w:val="center"/>
          </w:tcPr>
          <w:p w14:paraId="3F1AF4A2"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南京</w:t>
            </w:r>
            <w:proofErr w:type="gramStart"/>
            <w:r>
              <w:rPr>
                <w:rFonts w:ascii="仿宋" w:eastAsia="仿宋" w:hAnsi="仿宋" w:cs="仿宋" w:hint="eastAsia"/>
                <w:lang w:eastAsia="zh-CN" w:bidi="ar"/>
              </w:rPr>
              <w:t>优志投资</w:t>
            </w:r>
            <w:proofErr w:type="gramEnd"/>
            <w:r>
              <w:rPr>
                <w:rFonts w:ascii="仿宋" w:eastAsia="仿宋" w:hAnsi="仿宋" w:cs="仿宋" w:hint="eastAsia"/>
                <w:lang w:eastAsia="zh-CN" w:bidi="ar"/>
              </w:rPr>
              <w:t>管理合伙企业（有限合伙）</w:t>
            </w:r>
          </w:p>
        </w:tc>
        <w:tc>
          <w:tcPr>
            <w:tcW w:w="1768" w:type="dxa"/>
            <w:vAlign w:val="center"/>
          </w:tcPr>
          <w:p w14:paraId="08040231"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1411" w:type="dxa"/>
            <w:vAlign w:val="center"/>
          </w:tcPr>
          <w:p w14:paraId="66DC4D4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2,017,000</w:t>
            </w:r>
          </w:p>
        </w:tc>
        <w:tc>
          <w:tcPr>
            <w:tcW w:w="1742" w:type="dxa"/>
            <w:vAlign w:val="center"/>
          </w:tcPr>
          <w:p w14:paraId="1E3CFAD0"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4.08</w:t>
            </w:r>
          </w:p>
        </w:tc>
      </w:tr>
      <w:tr w:rsidR="008D4853" w14:paraId="547448C2" w14:textId="77777777">
        <w:tc>
          <w:tcPr>
            <w:tcW w:w="971" w:type="dxa"/>
            <w:vAlign w:val="center"/>
          </w:tcPr>
          <w:p w14:paraId="4571FB56"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4</w:t>
            </w:r>
          </w:p>
        </w:tc>
        <w:tc>
          <w:tcPr>
            <w:tcW w:w="2716" w:type="dxa"/>
            <w:vAlign w:val="center"/>
          </w:tcPr>
          <w:p w14:paraId="3B16430C"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广东天亿马信息产业股份有限公司回购专用证券账</w:t>
            </w:r>
            <w:r>
              <w:rPr>
                <w:rFonts w:ascii="仿宋" w:eastAsia="仿宋" w:hAnsi="仿宋" w:cs="仿宋" w:hint="eastAsia"/>
                <w:lang w:eastAsia="zh-CN" w:bidi="ar"/>
              </w:rPr>
              <w:lastRenderedPageBreak/>
              <w:t>户</w:t>
            </w:r>
          </w:p>
        </w:tc>
        <w:tc>
          <w:tcPr>
            <w:tcW w:w="1768" w:type="dxa"/>
            <w:vAlign w:val="center"/>
          </w:tcPr>
          <w:p w14:paraId="2261D2FC"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lastRenderedPageBreak/>
              <w:t>境内一般法人</w:t>
            </w:r>
          </w:p>
        </w:tc>
        <w:tc>
          <w:tcPr>
            <w:tcW w:w="1411" w:type="dxa"/>
            <w:vAlign w:val="center"/>
          </w:tcPr>
          <w:p w14:paraId="418D3DCF"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1,224,140</w:t>
            </w:r>
          </w:p>
        </w:tc>
        <w:tc>
          <w:tcPr>
            <w:tcW w:w="1742" w:type="dxa"/>
            <w:vAlign w:val="center"/>
          </w:tcPr>
          <w:p w14:paraId="4A833AFA"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2.47</w:t>
            </w:r>
          </w:p>
        </w:tc>
      </w:tr>
      <w:tr w:rsidR="008D4853" w14:paraId="38EC2255" w14:textId="77777777">
        <w:tc>
          <w:tcPr>
            <w:tcW w:w="971" w:type="dxa"/>
            <w:vAlign w:val="center"/>
          </w:tcPr>
          <w:p w14:paraId="1B92E52B"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5</w:t>
            </w:r>
          </w:p>
        </w:tc>
        <w:tc>
          <w:tcPr>
            <w:tcW w:w="2716" w:type="dxa"/>
            <w:vAlign w:val="center"/>
          </w:tcPr>
          <w:p w14:paraId="69517436"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前海大唐英加（深圳）基金管理有限公司－英加黑马八十一号私募证券投资基金</w:t>
            </w:r>
          </w:p>
        </w:tc>
        <w:tc>
          <w:tcPr>
            <w:tcW w:w="1768" w:type="dxa"/>
            <w:vAlign w:val="center"/>
          </w:tcPr>
          <w:p w14:paraId="0A9A00C4"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基金、理财产品等</w:t>
            </w:r>
          </w:p>
        </w:tc>
        <w:tc>
          <w:tcPr>
            <w:tcW w:w="1411" w:type="dxa"/>
            <w:vAlign w:val="center"/>
          </w:tcPr>
          <w:p w14:paraId="114FA164"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1,202,000</w:t>
            </w:r>
          </w:p>
        </w:tc>
        <w:tc>
          <w:tcPr>
            <w:tcW w:w="1742" w:type="dxa"/>
            <w:vAlign w:val="center"/>
          </w:tcPr>
          <w:p w14:paraId="4C941739"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snapToGrid/>
                <w:kern w:val="2"/>
                <w:lang w:eastAsia="zh-CN"/>
              </w:rPr>
              <w:t>2.43</w:t>
            </w:r>
          </w:p>
        </w:tc>
      </w:tr>
      <w:tr w:rsidR="008D4853" w14:paraId="2948F5DD" w14:textId="77777777">
        <w:tc>
          <w:tcPr>
            <w:tcW w:w="971" w:type="dxa"/>
            <w:vAlign w:val="center"/>
          </w:tcPr>
          <w:p w14:paraId="27AAEADE"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6</w:t>
            </w:r>
          </w:p>
        </w:tc>
        <w:tc>
          <w:tcPr>
            <w:tcW w:w="2716" w:type="dxa"/>
            <w:vAlign w:val="center"/>
          </w:tcPr>
          <w:p w14:paraId="106BE173" w14:textId="77777777" w:rsidR="008D4853" w:rsidRDefault="00000000">
            <w:pPr>
              <w:widowControl/>
              <w:textAlignment w:val="center"/>
              <w:rPr>
                <w:rFonts w:ascii="仿宋" w:eastAsia="仿宋" w:hAnsi="仿宋" w:cs="仿宋" w:hint="eastAsia"/>
                <w:snapToGrid/>
                <w:kern w:val="2"/>
                <w:lang w:eastAsia="zh-CN"/>
              </w:rPr>
            </w:pPr>
            <w:proofErr w:type="gramStart"/>
            <w:r>
              <w:rPr>
                <w:rFonts w:ascii="仿宋" w:eastAsia="仿宋" w:hAnsi="仿宋" w:cs="仿宋" w:hint="eastAsia"/>
                <w:lang w:eastAsia="zh-CN" w:bidi="ar"/>
              </w:rPr>
              <w:t>马学沛</w:t>
            </w:r>
            <w:proofErr w:type="gramEnd"/>
          </w:p>
        </w:tc>
        <w:tc>
          <w:tcPr>
            <w:tcW w:w="1768" w:type="dxa"/>
            <w:vAlign w:val="center"/>
          </w:tcPr>
          <w:p w14:paraId="60980EAE"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境内自然人</w:t>
            </w:r>
          </w:p>
        </w:tc>
        <w:tc>
          <w:tcPr>
            <w:tcW w:w="1411" w:type="dxa"/>
            <w:vAlign w:val="center"/>
          </w:tcPr>
          <w:p w14:paraId="32B1539E"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1,045,530</w:t>
            </w:r>
          </w:p>
        </w:tc>
        <w:tc>
          <w:tcPr>
            <w:tcW w:w="1742" w:type="dxa"/>
            <w:vAlign w:val="center"/>
          </w:tcPr>
          <w:p w14:paraId="124CBEAC"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snapToGrid/>
                <w:kern w:val="2"/>
                <w:lang w:eastAsia="zh-CN"/>
              </w:rPr>
              <w:t>2.11</w:t>
            </w:r>
          </w:p>
        </w:tc>
      </w:tr>
      <w:tr w:rsidR="008D4853" w14:paraId="18F8C8DF" w14:textId="77777777">
        <w:tc>
          <w:tcPr>
            <w:tcW w:w="971" w:type="dxa"/>
            <w:vAlign w:val="center"/>
          </w:tcPr>
          <w:p w14:paraId="7F1264EF"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7</w:t>
            </w:r>
          </w:p>
        </w:tc>
        <w:tc>
          <w:tcPr>
            <w:tcW w:w="2716" w:type="dxa"/>
            <w:vAlign w:val="center"/>
          </w:tcPr>
          <w:p w14:paraId="490A76A0"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南京</w:t>
            </w:r>
            <w:proofErr w:type="gramStart"/>
            <w:r>
              <w:rPr>
                <w:rFonts w:ascii="仿宋" w:eastAsia="仿宋" w:hAnsi="仿宋" w:cs="仿宋" w:hint="eastAsia"/>
                <w:lang w:eastAsia="zh-CN" w:bidi="ar"/>
              </w:rPr>
              <w:t>乐遂信息</w:t>
            </w:r>
            <w:proofErr w:type="gramEnd"/>
            <w:r>
              <w:rPr>
                <w:rFonts w:ascii="仿宋" w:eastAsia="仿宋" w:hAnsi="仿宋" w:cs="仿宋" w:hint="eastAsia"/>
                <w:lang w:eastAsia="zh-CN" w:bidi="ar"/>
              </w:rPr>
              <w:t>咨询管理合伙企业（有限合伙）</w:t>
            </w:r>
          </w:p>
        </w:tc>
        <w:tc>
          <w:tcPr>
            <w:tcW w:w="1768" w:type="dxa"/>
            <w:vAlign w:val="center"/>
          </w:tcPr>
          <w:p w14:paraId="6C9A7471"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境内一般法人</w:t>
            </w:r>
          </w:p>
        </w:tc>
        <w:tc>
          <w:tcPr>
            <w:tcW w:w="1411" w:type="dxa"/>
            <w:vAlign w:val="center"/>
          </w:tcPr>
          <w:p w14:paraId="0CBB2C2C"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658,846</w:t>
            </w:r>
          </w:p>
        </w:tc>
        <w:tc>
          <w:tcPr>
            <w:tcW w:w="1742" w:type="dxa"/>
            <w:vAlign w:val="center"/>
          </w:tcPr>
          <w:p w14:paraId="593867B9"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1.33</w:t>
            </w:r>
          </w:p>
        </w:tc>
      </w:tr>
      <w:tr w:rsidR="008D4853" w14:paraId="402D4798" w14:textId="77777777">
        <w:tc>
          <w:tcPr>
            <w:tcW w:w="971" w:type="dxa"/>
            <w:vAlign w:val="center"/>
          </w:tcPr>
          <w:p w14:paraId="2E70FB67"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8</w:t>
            </w:r>
          </w:p>
        </w:tc>
        <w:tc>
          <w:tcPr>
            <w:tcW w:w="2716" w:type="dxa"/>
            <w:vAlign w:val="center"/>
          </w:tcPr>
          <w:p w14:paraId="27B2FBD5"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广东天亿马信息产业股份有限公司－2023年员工持股计划</w:t>
            </w:r>
          </w:p>
        </w:tc>
        <w:tc>
          <w:tcPr>
            <w:tcW w:w="1768" w:type="dxa"/>
            <w:vAlign w:val="center"/>
          </w:tcPr>
          <w:p w14:paraId="4A85C3FE"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基金、理财产品等</w:t>
            </w:r>
          </w:p>
        </w:tc>
        <w:tc>
          <w:tcPr>
            <w:tcW w:w="1411" w:type="dxa"/>
            <w:vAlign w:val="center"/>
          </w:tcPr>
          <w:p w14:paraId="5B75DBB9"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472,400</w:t>
            </w:r>
          </w:p>
        </w:tc>
        <w:tc>
          <w:tcPr>
            <w:tcW w:w="1742" w:type="dxa"/>
            <w:vAlign w:val="center"/>
          </w:tcPr>
          <w:p w14:paraId="70C4F9CB"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snapToGrid/>
                <w:kern w:val="2"/>
                <w:lang w:eastAsia="zh-CN"/>
              </w:rPr>
              <w:t>0.95</w:t>
            </w:r>
          </w:p>
        </w:tc>
      </w:tr>
      <w:tr w:rsidR="008D4853" w14:paraId="035BF032" w14:textId="77777777">
        <w:tc>
          <w:tcPr>
            <w:tcW w:w="971" w:type="dxa"/>
            <w:vAlign w:val="center"/>
          </w:tcPr>
          <w:p w14:paraId="59066965"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9</w:t>
            </w:r>
          </w:p>
        </w:tc>
        <w:tc>
          <w:tcPr>
            <w:tcW w:w="2716" w:type="dxa"/>
            <w:vAlign w:val="center"/>
          </w:tcPr>
          <w:p w14:paraId="5BCFE0A1"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张国华</w:t>
            </w:r>
          </w:p>
        </w:tc>
        <w:tc>
          <w:tcPr>
            <w:tcW w:w="1768" w:type="dxa"/>
            <w:vAlign w:val="center"/>
          </w:tcPr>
          <w:p w14:paraId="0BD7340E"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境内自然人</w:t>
            </w:r>
          </w:p>
        </w:tc>
        <w:tc>
          <w:tcPr>
            <w:tcW w:w="1411" w:type="dxa"/>
            <w:vAlign w:val="center"/>
          </w:tcPr>
          <w:p w14:paraId="67DB808A"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402,000</w:t>
            </w:r>
          </w:p>
        </w:tc>
        <w:tc>
          <w:tcPr>
            <w:tcW w:w="1742" w:type="dxa"/>
            <w:vAlign w:val="center"/>
          </w:tcPr>
          <w:p w14:paraId="34C2EC43"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0.81</w:t>
            </w:r>
          </w:p>
        </w:tc>
      </w:tr>
      <w:tr w:rsidR="008D4853" w14:paraId="0AA2C1DC" w14:textId="77777777">
        <w:tc>
          <w:tcPr>
            <w:tcW w:w="971" w:type="dxa"/>
            <w:vAlign w:val="center"/>
          </w:tcPr>
          <w:p w14:paraId="6451F7F5" w14:textId="77777777" w:rsidR="008D4853" w:rsidRDefault="00000000">
            <w:pPr>
              <w:pStyle w:val="a4"/>
              <w:widowControl/>
              <w:spacing w:before="109" w:line="360" w:lineRule="auto"/>
              <w:ind w:right="65"/>
              <w:jc w:val="center"/>
              <w:rPr>
                <w:rFonts w:ascii="仿宋" w:eastAsia="仿宋" w:hAnsi="仿宋" w:cs="仿宋" w:hint="eastAsia"/>
                <w:snapToGrid/>
                <w:kern w:val="2"/>
                <w:sz w:val="21"/>
                <w:szCs w:val="21"/>
                <w:lang w:eastAsia="zh-CN"/>
              </w:rPr>
            </w:pPr>
            <w:r>
              <w:rPr>
                <w:rFonts w:ascii="仿宋" w:eastAsia="仿宋" w:hAnsi="仿宋" w:cs="仿宋" w:hint="eastAsia"/>
                <w:snapToGrid/>
                <w:kern w:val="2"/>
                <w:sz w:val="21"/>
                <w:szCs w:val="21"/>
                <w:lang w:eastAsia="zh-CN"/>
              </w:rPr>
              <w:t>10</w:t>
            </w:r>
          </w:p>
        </w:tc>
        <w:tc>
          <w:tcPr>
            <w:tcW w:w="2716" w:type="dxa"/>
            <w:vAlign w:val="center"/>
          </w:tcPr>
          <w:p w14:paraId="38E97D23"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J. P. Morgan Securities PLC－自有资金</w:t>
            </w:r>
          </w:p>
        </w:tc>
        <w:tc>
          <w:tcPr>
            <w:tcW w:w="1768" w:type="dxa"/>
            <w:vAlign w:val="center"/>
          </w:tcPr>
          <w:p w14:paraId="48438975" w14:textId="77777777" w:rsidR="008D4853" w:rsidRDefault="00000000">
            <w:pPr>
              <w:widowControl/>
              <w:textAlignment w:val="center"/>
              <w:rPr>
                <w:rFonts w:ascii="仿宋" w:eastAsia="仿宋" w:hAnsi="仿宋" w:cs="仿宋" w:hint="eastAsia"/>
                <w:snapToGrid/>
                <w:kern w:val="2"/>
                <w:lang w:eastAsia="zh-CN"/>
              </w:rPr>
            </w:pPr>
            <w:r>
              <w:rPr>
                <w:rFonts w:ascii="仿宋" w:eastAsia="仿宋" w:hAnsi="仿宋" w:cs="仿宋" w:hint="eastAsia"/>
                <w:lang w:eastAsia="zh-CN" w:bidi="ar"/>
              </w:rPr>
              <w:t>境外法人</w:t>
            </w:r>
          </w:p>
        </w:tc>
        <w:tc>
          <w:tcPr>
            <w:tcW w:w="1411" w:type="dxa"/>
            <w:vAlign w:val="center"/>
          </w:tcPr>
          <w:p w14:paraId="64E14BB3"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399,902</w:t>
            </w:r>
          </w:p>
        </w:tc>
        <w:tc>
          <w:tcPr>
            <w:tcW w:w="1742" w:type="dxa"/>
            <w:vAlign w:val="center"/>
          </w:tcPr>
          <w:p w14:paraId="72833749" w14:textId="77777777" w:rsidR="008D4853" w:rsidRDefault="00000000">
            <w:pPr>
              <w:widowControl/>
              <w:jc w:val="right"/>
              <w:textAlignment w:val="center"/>
              <w:rPr>
                <w:rFonts w:ascii="仿宋" w:eastAsia="仿宋" w:hAnsi="仿宋" w:cs="仿宋" w:hint="eastAsia"/>
                <w:snapToGrid/>
                <w:kern w:val="2"/>
                <w:lang w:eastAsia="zh-CN"/>
              </w:rPr>
            </w:pPr>
            <w:r>
              <w:rPr>
                <w:rFonts w:ascii="仿宋" w:eastAsia="仿宋" w:hAnsi="仿宋" w:cs="仿宋" w:hint="eastAsia"/>
                <w:lang w:eastAsia="zh-CN" w:bidi="ar"/>
              </w:rPr>
              <w:t>0.81</w:t>
            </w:r>
          </w:p>
        </w:tc>
      </w:tr>
    </w:tbl>
    <w:p w14:paraId="47B4410C" w14:textId="77777777" w:rsidR="008D4853" w:rsidRDefault="00000000">
      <w:pPr>
        <w:pStyle w:val="a4"/>
        <w:spacing w:before="109" w:line="360" w:lineRule="auto"/>
        <w:ind w:right="65"/>
        <w:jc w:val="both"/>
        <w:rPr>
          <w:rFonts w:ascii="仿宋" w:eastAsia="仿宋" w:hAnsi="仿宋" w:cs="仿宋" w:hint="eastAsia"/>
          <w:snapToGrid/>
          <w:kern w:val="2"/>
          <w:sz w:val="28"/>
          <w:szCs w:val="28"/>
          <w:lang w:eastAsia="zh-CN"/>
        </w:rPr>
      </w:pPr>
      <w:r>
        <w:rPr>
          <w:rFonts w:ascii="仿宋" w:eastAsia="仿宋" w:hAnsi="仿宋" w:cs="仿宋"/>
          <w:snapToGrid/>
          <w:kern w:val="2"/>
          <w:sz w:val="28"/>
          <w:szCs w:val="28"/>
          <w:lang w:eastAsia="zh-CN"/>
        </w:rPr>
        <w:t>注：以上股东的持股数量为合并普通账户和融资融券信用账户后的持股数量总和。</w:t>
      </w:r>
    </w:p>
    <w:p w14:paraId="1B7D6FEA" w14:textId="77777777" w:rsidR="008D4853" w:rsidRDefault="00000000">
      <w:pPr>
        <w:pStyle w:val="a4"/>
        <w:numPr>
          <w:ilvl w:val="0"/>
          <w:numId w:val="1"/>
        </w:numPr>
        <w:spacing w:before="109" w:line="360" w:lineRule="auto"/>
        <w:ind w:right="65" w:firstLineChars="200" w:firstLine="562"/>
        <w:jc w:val="both"/>
        <w:rPr>
          <w:rFonts w:ascii="仿宋" w:eastAsia="仿宋" w:hAnsi="仿宋" w:cs="仿宋" w:hint="eastAsia"/>
          <w:b/>
          <w:bCs/>
          <w:snapToGrid/>
          <w:kern w:val="2"/>
          <w:sz w:val="28"/>
          <w:szCs w:val="28"/>
          <w:lang w:eastAsia="zh-CN"/>
        </w:rPr>
      </w:pPr>
      <w:r>
        <w:rPr>
          <w:rFonts w:ascii="仿宋" w:eastAsia="仿宋" w:hAnsi="仿宋" w:cs="仿宋" w:hint="eastAsia"/>
          <w:b/>
          <w:bCs/>
          <w:snapToGrid/>
          <w:kern w:val="2"/>
          <w:sz w:val="28"/>
          <w:szCs w:val="28"/>
          <w:lang w:eastAsia="zh-CN"/>
        </w:rPr>
        <w:t>备查文件</w:t>
      </w:r>
    </w:p>
    <w:p w14:paraId="2321DED1" w14:textId="77777777" w:rsidR="008D4853" w:rsidRDefault="00000000">
      <w:pPr>
        <w:pStyle w:val="a4"/>
        <w:spacing w:before="109" w:line="360" w:lineRule="auto"/>
        <w:ind w:right="65" w:firstLineChars="200" w:firstLine="560"/>
        <w:jc w:val="both"/>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（一）</w:t>
      </w:r>
      <w:r>
        <w:rPr>
          <w:rFonts w:ascii="仿宋" w:eastAsia="仿宋" w:hAnsi="仿宋" w:cs="仿宋"/>
          <w:snapToGrid/>
          <w:kern w:val="2"/>
          <w:sz w:val="28"/>
          <w:szCs w:val="28"/>
          <w:lang w:eastAsia="zh-CN"/>
        </w:rPr>
        <w:t>中国证券登记结算有限责任公司下发的股东名册。</w:t>
      </w:r>
    </w:p>
    <w:p w14:paraId="3C5C5487" w14:textId="77777777" w:rsidR="008D4853" w:rsidRDefault="008D4853">
      <w:pPr>
        <w:pStyle w:val="a4"/>
        <w:spacing w:before="109" w:line="360" w:lineRule="auto"/>
        <w:ind w:right="65"/>
        <w:jc w:val="both"/>
        <w:rPr>
          <w:rFonts w:ascii="仿宋" w:eastAsia="仿宋" w:hAnsi="仿宋" w:cs="仿宋" w:hint="eastAsia"/>
          <w:snapToGrid/>
          <w:kern w:val="2"/>
          <w:sz w:val="28"/>
          <w:szCs w:val="28"/>
          <w:lang w:eastAsia="zh-CN"/>
        </w:rPr>
      </w:pPr>
    </w:p>
    <w:p w14:paraId="5631ADFA" w14:textId="77777777" w:rsidR="008D4853" w:rsidRDefault="00000000">
      <w:pPr>
        <w:pStyle w:val="a4"/>
        <w:spacing w:line="360" w:lineRule="auto"/>
        <w:ind w:left="509"/>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特此公告。</w:t>
      </w:r>
    </w:p>
    <w:p w14:paraId="6577DFAB" w14:textId="77777777" w:rsidR="008D4853" w:rsidRDefault="00000000">
      <w:pPr>
        <w:pStyle w:val="a4"/>
        <w:spacing w:line="360" w:lineRule="auto"/>
        <w:ind w:left="509"/>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691731C0" w14:textId="77777777" w:rsidR="008D4853" w:rsidRDefault="00000000">
      <w:pPr>
        <w:pStyle w:val="a4"/>
        <w:spacing w:line="360" w:lineRule="auto"/>
        <w:ind w:left="509"/>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董事会</w:t>
      </w:r>
    </w:p>
    <w:p w14:paraId="69255F3B" w14:textId="77777777" w:rsidR="008D4853" w:rsidRDefault="00000000">
      <w:pPr>
        <w:pStyle w:val="a4"/>
        <w:spacing w:before="120" w:line="360" w:lineRule="auto"/>
        <w:ind w:left="5631"/>
        <w:jc w:val="right"/>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2025年6月23日</w:t>
      </w:r>
    </w:p>
    <w:sectPr w:rsidR="008D4853">
      <w:footerReference w:type="default" r:id="rId7"/>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50278" w14:textId="77777777" w:rsidR="0041453A" w:rsidRDefault="0041453A">
      <w:r>
        <w:separator/>
      </w:r>
    </w:p>
  </w:endnote>
  <w:endnote w:type="continuationSeparator" w:id="0">
    <w:p w14:paraId="22E3BE22" w14:textId="77777777" w:rsidR="0041453A" w:rsidRDefault="00414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426862"/>
      <w:docPartObj>
        <w:docPartGallery w:val="Page Numbers (Bottom of Page)"/>
        <w:docPartUnique/>
      </w:docPartObj>
    </w:sdtPr>
    <w:sdtContent>
      <w:p w14:paraId="0637B3EC" w14:textId="1B3D3AEA" w:rsidR="008D4853" w:rsidRPr="00DE7FC6" w:rsidRDefault="00DE7FC6" w:rsidP="00DE7FC6">
        <w:pPr>
          <w:pStyle w:val="a5"/>
          <w:jc w:val="center"/>
          <w:rPr>
            <w:rFonts w:hint="eastAsia"/>
          </w:rP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FD75B" w14:textId="77777777" w:rsidR="0041453A" w:rsidRDefault="0041453A">
      <w:r>
        <w:separator/>
      </w:r>
    </w:p>
  </w:footnote>
  <w:footnote w:type="continuationSeparator" w:id="0">
    <w:p w14:paraId="79318A0C" w14:textId="77777777" w:rsidR="0041453A" w:rsidRDefault="004145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DBC2765"/>
    <w:multiLevelType w:val="singleLevel"/>
    <w:tmpl w:val="EDBC2765"/>
    <w:lvl w:ilvl="0">
      <w:start w:val="1"/>
      <w:numFmt w:val="chineseCounting"/>
      <w:suff w:val="nothing"/>
      <w:lvlText w:val="%1、"/>
      <w:lvlJc w:val="left"/>
      <w:rPr>
        <w:rFonts w:hint="eastAsia"/>
      </w:rPr>
    </w:lvl>
  </w:abstractNum>
  <w:num w:numId="1" w16cid:durableId="399795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bordersDoNotSurroundHeader/>
  <w:bordersDoNotSurroundFooter/>
  <w:proofState w:spelling="clean" w:grammar="clean"/>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505AB9"/>
    <w:rsid w:val="95FFBBE4"/>
    <w:rsid w:val="D6FF2521"/>
    <w:rsid w:val="F3FE7B24"/>
    <w:rsid w:val="F77F9A56"/>
    <w:rsid w:val="F7BF8FB5"/>
    <w:rsid w:val="FD7D6D55"/>
    <w:rsid w:val="0041453A"/>
    <w:rsid w:val="00437DA3"/>
    <w:rsid w:val="00475189"/>
    <w:rsid w:val="00505AB9"/>
    <w:rsid w:val="005720C3"/>
    <w:rsid w:val="007532A0"/>
    <w:rsid w:val="00896ABA"/>
    <w:rsid w:val="008D4853"/>
    <w:rsid w:val="00955C15"/>
    <w:rsid w:val="00993857"/>
    <w:rsid w:val="00AB0DA2"/>
    <w:rsid w:val="00AB20CC"/>
    <w:rsid w:val="00DE7FC6"/>
    <w:rsid w:val="00F32592"/>
    <w:rsid w:val="094464C8"/>
    <w:rsid w:val="0EF93462"/>
    <w:rsid w:val="17BD2F0C"/>
    <w:rsid w:val="1DFEF635"/>
    <w:rsid w:val="2091194B"/>
    <w:rsid w:val="351E505D"/>
    <w:rsid w:val="44742489"/>
    <w:rsid w:val="4B7347F5"/>
    <w:rsid w:val="5BFB940E"/>
    <w:rsid w:val="6D2F02A5"/>
    <w:rsid w:val="6DB43CBB"/>
    <w:rsid w:val="6FB35E10"/>
    <w:rsid w:val="777FE8C6"/>
    <w:rsid w:val="7BED8E92"/>
    <w:rsid w:val="7D8DB3DC"/>
    <w:rsid w:val="7FBF4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4155AE"/>
  <w15:docId w15:val="{98061B97-34CD-4EA1-B437-122E9ECA1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a6"/>
    <w:uiPriority w:val="99"/>
    <w:qFormat/>
    <w:pPr>
      <w:tabs>
        <w:tab w:val="center" w:pos="4153"/>
        <w:tab w:val="right" w:pos="8306"/>
      </w:tabs>
    </w:pPr>
    <w:rPr>
      <w:sz w:val="18"/>
      <w:szCs w:val="18"/>
    </w:rPr>
  </w:style>
  <w:style w:type="paragraph" w:styleId="a7">
    <w:name w:val="header"/>
    <w:basedOn w:val="a"/>
    <w:link w:val="a8"/>
    <w:qFormat/>
    <w:pPr>
      <w:tabs>
        <w:tab w:val="center" w:pos="4153"/>
        <w:tab w:val="right" w:pos="8306"/>
      </w:tabs>
      <w:jc w:val="center"/>
    </w:pPr>
    <w:rPr>
      <w:sz w:val="18"/>
      <w:szCs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a8">
    <w:name w:val="页眉 字符"/>
    <w:basedOn w:val="a0"/>
    <w:link w:val="a7"/>
    <w:qFormat/>
    <w:rPr>
      <w:rFonts w:ascii="Arial" w:eastAsia="Arial" w:hAnsi="Arial" w:cs="Arial"/>
      <w:snapToGrid w:val="0"/>
      <w:color w:val="000000"/>
      <w:sz w:val="18"/>
      <w:szCs w:val="18"/>
      <w:lang w:eastAsia="en-US"/>
    </w:rPr>
  </w:style>
  <w:style w:type="character" w:customStyle="1" w:styleId="a6">
    <w:name w:val="页脚 字符"/>
    <w:basedOn w:val="a0"/>
    <w:link w:val="a5"/>
    <w:uiPriority w:val="99"/>
    <w:qFormat/>
    <w:rPr>
      <w:rFonts w:ascii="Arial" w:eastAsia="Arial" w:hAnsi="Arial" w:cs="Arial"/>
      <w:snapToGrid w:val="0"/>
      <w:color w:val="000000"/>
      <w:sz w:val="18"/>
      <w:szCs w:val="18"/>
      <w:lang w:eastAsia="en-US"/>
    </w:rPr>
  </w:style>
  <w:style w:type="paragraph" w:styleId="ab">
    <w:name w:val="Revision"/>
    <w:hidden/>
    <w:uiPriority w:val="99"/>
    <w:unhideWhenUsed/>
    <w:rsid w:val="00955C15"/>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256</Words>
  <Characters>1465</Characters>
  <Application>Microsoft Office Word</Application>
  <DocSecurity>0</DocSecurity>
  <Lines>12</Lines>
  <Paragraphs>3</Paragraphs>
  <ScaleCrop>false</ScaleCrop>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宇 吴</cp:lastModifiedBy>
  <cp:revision>5</cp:revision>
  <dcterms:created xsi:type="dcterms:W3CDTF">2025-06-07T22:36:00Z</dcterms:created>
  <dcterms:modified xsi:type="dcterms:W3CDTF">2025-06-23T06:12:00Z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2052-12.1.0.21541</vt:lpwstr>
  </property>
  <property fmtid="{D5CDD505-2E9C-101B-9397-08002B2CF9AE}" pid="5" name="ICV">
    <vt:lpwstr>8462723751178D370EE04B68E7A3C690_42</vt:lpwstr>
  </property>
  <property fmtid="{D5CDD505-2E9C-101B-9397-08002B2CF9AE}" pid="6" name="KSOTemplateDocerSaveRecord">
    <vt:lpwstr>eyJoZGlkIjoiNmZiYjY5ZTU4NmNkMDliZGQ5ODVlZmVlNDQ3ODNhODIiLCJ1c2VySWQiOiI0Mzc4Mjk5OTMifQ==</vt:lpwstr>
  </property>
</Properties>
</file>