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ECC61" w14:textId="77777777" w:rsidR="007B6D87"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公告编号：2025-052</w:t>
      </w:r>
    </w:p>
    <w:p w14:paraId="41339C99" w14:textId="77777777" w:rsidR="007B6D87"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40B80FB" w14:textId="77777777" w:rsidR="007B6D87"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关于发行股份及支付现金购买资产并募集配套资金</w:t>
      </w:r>
    </w:p>
    <w:p w14:paraId="7860107F" w14:textId="77777777" w:rsidR="007B6D87"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暨关联交易事项的一般风险提示暨公司股票复牌的</w:t>
      </w:r>
    </w:p>
    <w:p w14:paraId="1865C6F5" w14:textId="77777777" w:rsidR="007B6D87" w:rsidRDefault="00000000">
      <w:pPr>
        <w:widowControl w:val="0"/>
        <w:kinsoku/>
        <w:snapToGrid/>
        <w:spacing w:line="360" w:lineRule="auto"/>
        <w:jc w:val="center"/>
        <w:textAlignment w:val="auto"/>
        <w:rPr>
          <w:rFonts w:ascii="宋体" w:eastAsia="宋体" w:hAnsi="宋体" w:cs="宋体" w:hint="eastAsia"/>
          <w:sz w:val="30"/>
          <w:szCs w:val="30"/>
        </w:rPr>
      </w:pPr>
      <w:r>
        <w:rPr>
          <w:rFonts w:ascii="黑体" w:eastAsia="黑体" w:hAnsi="黑体" w:cs="Times New Roman" w:hint="eastAsia"/>
          <w:snapToGrid/>
          <w:kern w:val="2"/>
          <w:sz w:val="36"/>
          <w:szCs w:val="36"/>
          <w:lang w:eastAsia="zh-CN"/>
        </w:rPr>
        <w:t>提示性公告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7B6D87" w14:paraId="5A9F8D6B" w14:textId="77777777">
        <w:trPr>
          <w:trHeight w:val="776"/>
        </w:trPr>
        <w:tc>
          <w:tcPr>
            <w:tcW w:w="7962" w:type="dxa"/>
          </w:tcPr>
          <w:p w14:paraId="138E715C" w14:textId="77777777" w:rsidR="007B6D87"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7B6D87" w:rsidRDefault="007B6D87">
      <w:pPr>
        <w:spacing w:line="360" w:lineRule="auto"/>
        <w:rPr>
          <w:rFonts w:ascii="宋体" w:eastAsia="宋体" w:hAnsi="宋体" w:cs="宋体" w:hint="eastAsia"/>
          <w:sz w:val="24"/>
          <w:szCs w:val="24"/>
          <w:lang w:eastAsia="zh-CN"/>
        </w:rPr>
      </w:pPr>
    </w:p>
    <w:p w14:paraId="656E1152" w14:textId="77777777" w:rsidR="007B6D8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特别提示：</w:t>
      </w:r>
    </w:p>
    <w:p w14:paraId="4A9B569F"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广东天亿马信息产业股份有限公司（证券简称：</w:t>
      </w:r>
      <w:proofErr w:type="gramStart"/>
      <w:r>
        <w:rPr>
          <w:rFonts w:ascii="仿宋" w:eastAsia="仿宋" w:hAnsi="仿宋" w:cs="仿宋" w:hint="eastAsia"/>
          <w:snapToGrid/>
          <w:kern w:val="2"/>
          <w:sz w:val="28"/>
          <w:szCs w:val="28"/>
          <w:lang w:eastAsia="zh-CN"/>
        </w:rPr>
        <w:t>天亿马</w:t>
      </w:r>
      <w:proofErr w:type="gramEnd"/>
      <w:r>
        <w:rPr>
          <w:rFonts w:ascii="仿宋" w:eastAsia="仿宋" w:hAnsi="仿宋" w:cs="仿宋" w:hint="eastAsia"/>
          <w:snapToGrid/>
          <w:kern w:val="2"/>
          <w:sz w:val="28"/>
          <w:szCs w:val="28"/>
          <w:lang w:eastAsia="zh-CN"/>
        </w:rPr>
        <w:t>，证券代码：301178）将于2025年6月24日（星期二）开市起复牌。</w:t>
      </w:r>
    </w:p>
    <w:p w14:paraId="4456F7D0" w14:textId="77777777" w:rsidR="007B6D8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一、公司股票停牌情况</w:t>
      </w:r>
    </w:p>
    <w:p w14:paraId="576DCF89"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公司”）正在筹划发行股份及支付现金购买资产并募集配套资金事项（以下简称“本次交易”）。因有关事项尚存在不确定性，为了维护投资者利益，避免对公司证券交易造成重大影响，根据深圳证券交易所的相关规定，经公司申请，公司证券（证券品种：A股股票，证券简称：</w:t>
      </w:r>
      <w:proofErr w:type="gramStart"/>
      <w:r>
        <w:rPr>
          <w:rFonts w:ascii="仿宋" w:eastAsia="仿宋" w:hAnsi="仿宋" w:cs="仿宋" w:hint="eastAsia"/>
          <w:snapToGrid/>
          <w:kern w:val="2"/>
          <w:sz w:val="28"/>
          <w:szCs w:val="28"/>
          <w:lang w:eastAsia="zh-CN"/>
        </w:rPr>
        <w:t>天亿马</w:t>
      </w:r>
      <w:proofErr w:type="gramEnd"/>
      <w:r>
        <w:rPr>
          <w:rFonts w:ascii="仿宋" w:eastAsia="仿宋" w:hAnsi="仿宋" w:cs="仿宋"/>
          <w:snapToGrid/>
          <w:kern w:val="2"/>
          <w:sz w:val="28"/>
          <w:szCs w:val="28"/>
          <w:lang w:eastAsia="zh-CN"/>
        </w:rPr>
        <w:t>，证券代码：301</w:t>
      </w:r>
      <w:r>
        <w:rPr>
          <w:rFonts w:ascii="仿宋" w:eastAsia="仿宋" w:hAnsi="仿宋" w:cs="仿宋" w:hint="eastAsia"/>
          <w:snapToGrid/>
          <w:kern w:val="2"/>
          <w:sz w:val="28"/>
          <w:szCs w:val="28"/>
          <w:lang w:eastAsia="zh-CN"/>
        </w:rPr>
        <w:t>178</w:t>
      </w:r>
      <w:r>
        <w:rPr>
          <w:rFonts w:ascii="仿宋" w:eastAsia="仿宋" w:hAnsi="仿宋" w:cs="仿宋"/>
          <w:snapToGrid/>
          <w:kern w:val="2"/>
          <w:sz w:val="28"/>
          <w:szCs w:val="28"/>
          <w:lang w:eastAsia="zh-CN"/>
        </w:rPr>
        <w:t>）自2025年</w:t>
      </w:r>
      <w:r>
        <w:rPr>
          <w:rFonts w:ascii="仿宋" w:eastAsia="仿宋" w:hAnsi="仿宋" w:cs="仿宋" w:hint="eastAsia"/>
          <w:snapToGrid/>
          <w:kern w:val="2"/>
          <w:sz w:val="28"/>
          <w:szCs w:val="28"/>
          <w:lang w:eastAsia="zh-CN"/>
        </w:rPr>
        <w:t>6</w:t>
      </w:r>
      <w:r>
        <w:rPr>
          <w:rFonts w:ascii="仿宋" w:eastAsia="仿宋" w:hAnsi="仿宋" w:cs="仿宋"/>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snapToGrid/>
          <w:kern w:val="2"/>
          <w:sz w:val="28"/>
          <w:szCs w:val="28"/>
          <w:lang w:eastAsia="zh-CN"/>
        </w:rPr>
        <w:t>日开市时起开始停牌。</w:t>
      </w:r>
    </w:p>
    <w:p w14:paraId="2ABFA6F8" w14:textId="2CCF615A"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公司预计在不超过10个交易日的时间内，即在2025年</w:t>
      </w:r>
      <w:r>
        <w:rPr>
          <w:rFonts w:ascii="仿宋" w:eastAsia="仿宋" w:hAnsi="仿宋" w:cs="仿宋" w:hint="eastAsia"/>
          <w:snapToGrid/>
          <w:kern w:val="2"/>
          <w:sz w:val="28"/>
          <w:szCs w:val="28"/>
          <w:lang w:eastAsia="zh-CN"/>
        </w:rPr>
        <w:t>6</w:t>
      </w:r>
      <w:r>
        <w:rPr>
          <w:rFonts w:ascii="仿宋" w:eastAsia="仿宋" w:hAnsi="仿宋" w:cs="仿宋"/>
          <w:snapToGrid/>
          <w:kern w:val="2"/>
          <w:sz w:val="28"/>
          <w:szCs w:val="28"/>
          <w:lang w:eastAsia="zh-CN"/>
        </w:rPr>
        <w:t>月2</w:t>
      </w:r>
      <w:r>
        <w:rPr>
          <w:rFonts w:ascii="仿宋" w:eastAsia="仿宋" w:hAnsi="仿宋" w:cs="仿宋" w:hint="eastAsia"/>
          <w:snapToGrid/>
          <w:kern w:val="2"/>
          <w:sz w:val="28"/>
          <w:szCs w:val="28"/>
          <w:lang w:eastAsia="zh-CN"/>
        </w:rPr>
        <w:t>4</w:t>
      </w:r>
      <w:r>
        <w:rPr>
          <w:rFonts w:ascii="仿宋" w:eastAsia="仿宋" w:hAnsi="仿宋" w:cs="仿宋"/>
          <w:snapToGrid/>
          <w:kern w:val="2"/>
          <w:sz w:val="28"/>
          <w:szCs w:val="28"/>
          <w:lang w:eastAsia="zh-CN"/>
        </w:rPr>
        <w:t>日前按照《公开发行证券的公司信息披露内容与格式准则第26号——上市公司重大资产重组》的要求披露相关信息，并申请公司股票复牌。具体内容详见公司2025年</w:t>
      </w:r>
      <w:r>
        <w:rPr>
          <w:rFonts w:ascii="仿宋" w:eastAsia="仿宋" w:hAnsi="仿宋" w:cs="仿宋" w:hint="eastAsia"/>
          <w:snapToGrid/>
          <w:kern w:val="2"/>
          <w:sz w:val="28"/>
          <w:szCs w:val="28"/>
          <w:lang w:eastAsia="zh-CN"/>
        </w:rPr>
        <w:t>6</w:t>
      </w:r>
      <w:r>
        <w:rPr>
          <w:rFonts w:ascii="仿宋" w:eastAsia="仿宋" w:hAnsi="仿宋" w:cs="仿宋"/>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snapToGrid/>
          <w:kern w:val="2"/>
          <w:sz w:val="28"/>
          <w:szCs w:val="28"/>
          <w:lang w:eastAsia="zh-CN"/>
        </w:rPr>
        <w:t>日在巨潮资讯网（http://www.cninfo.com.cn）披露的《广东天亿马信息产业股份有限公司关于筹划发行股份及支付现金购买资产并募集配套资金事项的停牌公告》（公告编号：2025-0</w:t>
      </w:r>
      <w:r>
        <w:rPr>
          <w:rFonts w:ascii="仿宋" w:eastAsia="仿宋" w:hAnsi="仿宋" w:cs="仿宋" w:hint="eastAsia"/>
          <w:snapToGrid/>
          <w:kern w:val="2"/>
          <w:sz w:val="28"/>
          <w:szCs w:val="28"/>
          <w:lang w:eastAsia="zh-CN"/>
        </w:rPr>
        <w:t>46</w:t>
      </w:r>
      <w:r>
        <w:rPr>
          <w:rFonts w:ascii="仿宋" w:eastAsia="仿宋" w:hAnsi="仿宋" w:cs="仿宋"/>
          <w:snapToGrid/>
          <w:kern w:val="2"/>
          <w:sz w:val="28"/>
          <w:szCs w:val="28"/>
          <w:lang w:eastAsia="zh-CN"/>
        </w:rPr>
        <w:t>）。</w:t>
      </w:r>
    </w:p>
    <w:p w14:paraId="157536A9" w14:textId="77777777" w:rsidR="007B6D8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lastRenderedPageBreak/>
        <w:t>二、</w:t>
      </w:r>
      <w:r>
        <w:rPr>
          <w:rFonts w:ascii="仿宋" w:eastAsia="仿宋" w:hAnsi="仿宋" w:cs="仿宋"/>
          <w:b/>
          <w:bCs/>
          <w:snapToGrid/>
          <w:kern w:val="2"/>
          <w:sz w:val="28"/>
          <w:szCs w:val="28"/>
          <w:lang w:eastAsia="zh-CN"/>
        </w:rPr>
        <w:t>公司重大资产重组进展及股票复牌安排</w:t>
      </w:r>
    </w:p>
    <w:p w14:paraId="4CBEBE92"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公司于2025年</w:t>
      </w:r>
      <w:r>
        <w:rPr>
          <w:rFonts w:ascii="仿宋" w:eastAsia="仿宋" w:hAnsi="仿宋" w:cs="仿宋" w:hint="eastAsia"/>
          <w:snapToGrid/>
          <w:kern w:val="2"/>
          <w:sz w:val="28"/>
          <w:szCs w:val="28"/>
          <w:lang w:eastAsia="zh-CN"/>
        </w:rPr>
        <w:t>6</w:t>
      </w:r>
      <w:r>
        <w:rPr>
          <w:rFonts w:ascii="仿宋" w:eastAsia="仿宋" w:hAnsi="仿宋" w:cs="仿宋"/>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snapToGrid/>
          <w:kern w:val="2"/>
          <w:sz w:val="28"/>
          <w:szCs w:val="28"/>
          <w:lang w:eastAsia="zh-CN"/>
        </w:rPr>
        <w:t>日召开第</w:t>
      </w:r>
      <w:r>
        <w:rPr>
          <w:rFonts w:ascii="仿宋" w:eastAsia="仿宋" w:hAnsi="仿宋" w:cs="仿宋" w:hint="eastAsia"/>
          <w:snapToGrid/>
          <w:kern w:val="2"/>
          <w:sz w:val="28"/>
          <w:szCs w:val="28"/>
          <w:lang w:eastAsia="zh-CN"/>
        </w:rPr>
        <w:t>三</w:t>
      </w:r>
      <w:r>
        <w:rPr>
          <w:rFonts w:ascii="仿宋" w:eastAsia="仿宋" w:hAnsi="仿宋" w:cs="仿宋"/>
          <w:snapToGrid/>
          <w:kern w:val="2"/>
          <w:sz w:val="28"/>
          <w:szCs w:val="28"/>
          <w:lang w:eastAsia="zh-CN"/>
        </w:rPr>
        <w:t>届董事会第</w:t>
      </w:r>
      <w:r>
        <w:rPr>
          <w:rFonts w:ascii="仿宋" w:eastAsia="仿宋" w:hAnsi="仿宋" w:cs="仿宋" w:hint="eastAsia"/>
          <w:snapToGrid/>
          <w:kern w:val="2"/>
          <w:sz w:val="28"/>
          <w:szCs w:val="28"/>
          <w:lang w:eastAsia="zh-CN"/>
        </w:rPr>
        <w:t>三十二</w:t>
      </w:r>
      <w:r>
        <w:rPr>
          <w:rFonts w:ascii="仿宋" w:eastAsia="仿宋" w:hAnsi="仿宋" w:cs="仿宋"/>
          <w:snapToGrid/>
          <w:kern w:val="2"/>
          <w:sz w:val="28"/>
          <w:szCs w:val="28"/>
          <w:lang w:eastAsia="zh-CN"/>
        </w:rPr>
        <w:t>次会议，审议通过了《关于&lt;</w:t>
      </w: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发行股份及支付现金购买资产并募集配套资金暨关联交易预案&gt;及其摘要的议案》等与本次交易相关的议案，具体内容详见同日在巨潮资讯网（http://www.cninfo.com.cn）上披露的相关公告及文件。</w:t>
      </w:r>
    </w:p>
    <w:p w14:paraId="4CA1C453"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根据深圳证券交易所的相关规定，经公司申请，公司股票（证券简称：</w:t>
      </w:r>
      <w:proofErr w:type="gramStart"/>
      <w:r>
        <w:rPr>
          <w:rFonts w:ascii="仿宋" w:eastAsia="仿宋" w:hAnsi="仿宋" w:cs="仿宋" w:hint="eastAsia"/>
          <w:snapToGrid/>
          <w:kern w:val="2"/>
          <w:sz w:val="28"/>
          <w:szCs w:val="28"/>
          <w:lang w:eastAsia="zh-CN"/>
        </w:rPr>
        <w:t>天亿马</w:t>
      </w:r>
      <w:proofErr w:type="gramEnd"/>
      <w:r>
        <w:rPr>
          <w:rFonts w:ascii="仿宋" w:eastAsia="仿宋" w:hAnsi="仿宋" w:cs="仿宋"/>
          <w:snapToGrid/>
          <w:kern w:val="2"/>
          <w:sz w:val="28"/>
          <w:szCs w:val="28"/>
          <w:lang w:eastAsia="zh-CN"/>
        </w:rPr>
        <w:t>，证券代码：301178）将于2025年</w:t>
      </w:r>
      <w:r>
        <w:rPr>
          <w:rFonts w:ascii="仿宋" w:eastAsia="仿宋" w:hAnsi="仿宋" w:cs="仿宋" w:hint="eastAsia"/>
          <w:snapToGrid/>
          <w:kern w:val="2"/>
          <w:sz w:val="28"/>
          <w:szCs w:val="28"/>
          <w:lang w:eastAsia="zh-CN"/>
        </w:rPr>
        <w:t>6</w:t>
      </w:r>
      <w:r>
        <w:rPr>
          <w:rFonts w:ascii="仿宋" w:eastAsia="仿宋" w:hAnsi="仿宋" w:cs="仿宋"/>
          <w:snapToGrid/>
          <w:kern w:val="2"/>
          <w:sz w:val="28"/>
          <w:szCs w:val="28"/>
          <w:lang w:eastAsia="zh-CN"/>
        </w:rPr>
        <w:t>月2</w:t>
      </w:r>
      <w:r>
        <w:rPr>
          <w:rFonts w:ascii="仿宋" w:eastAsia="仿宋" w:hAnsi="仿宋" w:cs="仿宋" w:hint="eastAsia"/>
          <w:snapToGrid/>
          <w:kern w:val="2"/>
          <w:sz w:val="28"/>
          <w:szCs w:val="28"/>
          <w:lang w:eastAsia="zh-CN"/>
        </w:rPr>
        <w:t>4</w:t>
      </w:r>
      <w:r>
        <w:rPr>
          <w:rFonts w:ascii="仿宋" w:eastAsia="仿宋" w:hAnsi="仿宋" w:cs="仿宋"/>
          <w:snapToGrid/>
          <w:kern w:val="2"/>
          <w:sz w:val="28"/>
          <w:szCs w:val="28"/>
          <w:lang w:eastAsia="zh-CN"/>
        </w:rPr>
        <w:t>日（星期</w:t>
      </w:r>
      <w:r>
        <w:rPr>
          <w:rFonts w:ascii="仿宋" w:eastAsia="仿宋" w:hAnsi="仿宋" w:cs="仿宋" w:hint="eastAsia"/>
          <w:snapToGrid/>
          <w:kern w:val="2"/>
          <w:sz w:val="28"/>
          <w:szCs w:val="28"/>
          <w:lang w:eastAsia="zh-CN"/>
        </w:rPr>
        <w:t>二</w:t>
      </w:r>
      <w:r>
        <w:rPr>
          <w:rFonts w:ascii="仿宋" w:eastAsia="仿宋" w:hAnsi="仿宋" w:cs="仿宋"/>
          <w:snapToGrid/>
          <w:kern w:val="2"/>
          <w:sz w:val="28"/>
          <w:szCs w:val="28"/>
          <w:lang w:eastAsia="zh-CN"/>
        </w:rPr>
        <w:t>）开市起复牌。</w:t>
      </w:r>
    </w:p>
    <w:p w14:paraId="74F58375"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鉴于本次交易涉及资产的审计、评估工作尚未完成，公司董事会决定暂不召开股东会审议本次交易相关事项。公司将在相关审计、评估工作完成后，再次召开董事会审议本次交易的相关事项，并由董事会召集股东会审议与本次交易相关的议案。</w:t>
      </w:r>
    </w:p>
    <w:p w14:paraId="09C12182" w14:textId="77777777" w:rsidR="007B6D87" w:rsidRDefault="00000000">
      <w:pPr>
        <w:widowControl w:val="0"/>
        <w:kinsoku/>
        <w:autoSpaceDE/>
        <w:autoSpaceDN/>
        <w:adjustRightInd/>
        <w:snapToGrid/>
        <w:spacing w:line="360" w:lineRule="auto"/>
        <w:ind w:firstLineChars="200" w:firstLine="562"/>
        <w:jc w:val="both"/>
        <w:textAlignment w:val="auto"/>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三、风险提示</w:t>
      </w:r>
    </w:p>
    <w:p w14:paraId="512F3165"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根据《深圳证券交易所上市公司自律监管指引第8号—重大资产重组》的规定，如公司在首次披露本次交易事项</w:t>
      </w:r>
      <w:proofErr w:type="gramStart"/>
      <w:r>
        <w:rPr>
          <w:rFonts w:ascii="仿宋" w:eastAsia="仿宋" w:hAnsi="仿宋" w:cs="仿宋" w:hint="eastAsia"/>
          <w:snapToGrid/>
          <w:kern w:val="2"/>
          <w:sz w:val="28"/>
          <w:szCs w:val="28"/>
          <w:lang w:eastAsia="zh-CN"/>
        </w:rPr>
        <w:t>前股票</w:t>
      </w:r>
      <w:proofErr w:type="gramEnd"/>
      <w:r>
        <w:rPr>
          <w:rFonts w:ascii="仿宋" w:eastAsia="仿宋" w:hAnsi="仿宋" w:cs="仿宋" w:hint="eastAsia"/>
          <w:snapToGrid/>
          <w:kern w:val="2"/>
          <w:sz w:val="28"/>
          <w:szCs w:val="28"/>
          <w:lang w:eastAsia="zh-CN"/>
        </w:rPr>
        <w:t>交易存在明显异常，可能存在涉嫌内幕交易被中国证监会立案调查（或者被司法机关立案侦查），导致本次交易被暂停、被终止的风险。</w:t>
      </w:r>
    </w:p>
    <w:p w14:paraId="1A86E03C"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本次交易尚需公司董事会再次审议及公司股东会审议通过，并经深圳证券交易所审核同意及中国证监会注册后方可正式实施。本次交易能否取得上述批准或注册，以及最终取得批准或注册的时间都存在不确定性。</w:t>
      </w:r>
    </w:p>
    <w:p w14:paraId="435530E4"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公司将于股票复牌后继续推进本次交易的相关工作，并严格按照相关法律法规的规定和要求履行信息披露义务，有关信息均以公司在指定信息披露媒体发布的公告为准。敬请广大投资者关注后续公告并注意投资风险。</w:t>
      </w:r>
    </w:p>
    <w:p w14:paraId="36418587" w14:textId="7B97506E" w:rsidR="007B6D87" w:rsidRDefault="007B6D87">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p>
    <w:p w14:paraId="0AAC58B3" w14:textId="77777777" w:rsidR="007B6D87" w:rsidRDefault="00000000">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7B6D8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7B6D8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77777777" w:rsidR="007B6D87" w:rsidRDefault="00000000">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2025年6月23日</w:t>
      </w:r>
    </w:p>
    <w:sectPr w:rsidR="007B6D87">
      <w:footerReference w:type="default" r:id="rId6"/>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178E1" w14:textId="77777777" w:rsidR="00A84D76" w:rsidRDefault="00A84D76">
      <w:r>
        <w:separator/>
      </w:r>
    </w:p>
  </w:endnote>
  <w:endnote w:type="continuationSeparator" w:id="0">
    <w:p w14:paraId="745299B8" w14:textId="77777777" w:rsidR="00A84D76" w:rsidRDefault="00A84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408522"/>
      <w:docPartObj>
        <w:docPartGallery w:val="Page Numbers (Bottom of Page)"/>
        <w:docPartUnique/>
      </w:docPartObj>
    </w:sdtPr>
    <w:sdtContent>
      <w:p w14:paraId="20E9BB6C" w14:textId="3C1512CC" w:rsidR="007B6D87" w:rsidRPr="00035185" w:rsidRDefault="00035185" w:rsidP="00035185">
        <w:pPr>
          <w:pStyle w:val="a8"/>
          <w:jc w:val="center"/>
          <w:rPr>
            <w:rFonts w:hint="eastAsia"/>
          </w:rP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4A84E" w14:textId="77777777" w:rsidR="00A84D76" w:rsidRDefault="00A84D76">
      <w:r>
        <w:separator/>
      </w:r>
    </w:p>
  </w:footnote>
  <w:footnote w:type="continuationSeparator" w:id="0">
    <w:p w14:paraId="3F9574C6" w14:textId="77777777" w:rsidR="00A84D76" w:rsidRDefault="00A84D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7B6D87"/>
    <w:rsid w:val="95FFBBE4"/>
    <w:rsid w:val="E7338B51"/>
    <w:rsid w:val="00035185"/>
    <w:rsid w:val="000545F9"/>
    <w:rsid w:val="00255063"/>
    <w:rsid w:val="00266E17"/>
    <w:rsid w:val="002F3A15"/>
    <w:rsid w:val="005720C3"/>
    <w:rsid w:val="00600F50"/>
    <w:rsid w:val="006D63DE"/>
    <w:rsid w:val="00777CDD"/>
    <w:rsid w:val="007B6D87"/>
    <w:rsid w:val="007C1A77"/>
    <w:rsid w:val="008640FC"/>
    <w:rsid w:val="00A84D76"/>
    <w:rsid w:val="00A97940"/>
    <w:rsid w:val="00B14C75"/>
    <w:rsid w:val="00DC4545"/>
    <w:rsid w:val="00E53B68"/>
    <w:rsid w:val="084047E3"/>
    <w:rsid w:val="1A3F5464"/>
    <w:rsid w:val="44572601"/>
    <w:rsid w:val="4DA2439C"/>
    <w:rsid w:val="64F354E7"/>
    <w:rsid w:val="70BB40F3"/>
    <w:rsid w:val="79DBC11F"/>
    <w:rsid w:val="7BED8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A26FF3"/>
  <w15:docId w15:val="{E112AAFC-312B-4A02-A767-37B4CF4C0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5">
    <w:name w:val="Revision"/>
    <w:hidden/>
    <w:uiPriority w:val="99"/>
    <w:unhideWhenUsed/>
    <w:rsid w:val="00255063"/>
    <w:rPr>
      <w:rFonts w:eastAsia="Arial"/>
      <w:snapToGrid w:val="0"/>
      <w:color w:val="000000"/>
      <w:sz w:val="21"/>
      <w:szCs w:val="21"/>
      <w:lang w:eastAsia="en-US"/>
    </w:rPr>
  </w:style>
  <w:style w:type="paragraph" w:styleId="a6">
    <w:name w:val="header"/>
    <w:basedOn w:val="a"/>
    <w:link w:val="a7"/>
    <w:rsid w:val="00035185"/>
    <w:pPr>
      <w:tabs>
        <w:tab w:val="center" w:pos="4153"/>
        <w:tab w:val="right" w:pos="8306"/>
      </w:tabs>
      <w:jc w:val="center"/>
    </w:pPr>
    <w:rPr>
      <w:sz w:val="18"/>
      <w:szCs w:val="18"/>
    </w:rPr>
  </w:style>
  <w:style w:type="character" w:customStyle="1" w:styleId="a7">
    <w:name w:val="页眉 字符"/>
    <w:basedOn w:val="a0"/>
    <w:link w:val="a6"/>
    <w:rsid w:val="00035185"/>
    <w:rPr>
      <w:rFonts w:eastAsia="Arial"/>
      <w:snapToGrid w:val="0"/>
      <w:color w:val="000000"/>
      <w:sz w:val="18"/>
      <w:szCs w:val="18"/>
      <w:lang w:eastAsia="en-US"/>
    </w:rPr>
  </w:style>
  <w:style w:type="paragraph" w:styleId="a8">
    <w:name w:val="footer"/>
    <w:basedOn w:val="a"/>
    <w:link w:val="a9"/>
    <w:uiPriority w:val="99"/>
    <w:rsid w:val="00035185"/>
    <w:pPr>
      <w:tabs>
        <w:tab w:val="center" w:pos="4153"/>
        <w:tab w:val="right" w:pos="8306"/>
      </w:tabs>
    </w:pPr>
    <w:rPr>
      <w:sz w:val="18"/>
      <w:szCs w:val="18"/>
    </w:rPr>
  </w:style>
  <w:style w:type="character" w:customStyle="1" w:styleId="a9">
    <w:name w:val="页脚 字符"/>
    <w:basedOn w:val="a0"/>
    <w:link w:val="a8"/>
    <w:uiPriority w:val="99"/>
    <w:rsid w:val="00035185"/>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198</Words>
  <Characters>1132</Characters>
  <Application>Microsoft Office Word</Application>
  <DocSecurity>0</DocSecurity>
  <Lines>9</Lines>
  <Paragraphs>2</Paragraphs>
  <ScaleCrop>false</ScaleCrop>
  <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宇 吴</cp:lastModifiedBy>
  <cp:revision>12</cp:revision>
  <dcterms:created xsi:type="dcterms:W3CDTF">2025-06-06T22:36:00Z</dcterms:created>
  <dcterms:modified xsi:type="dcterms:W3CDTF">2025-06-23T06:13:00Z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2052-12.1.0.21541</vt:lpwstr>
  </property>
  <property fmtid="{D5CDD505-2E9C-101B-9397-08002B2CF9AE}" pid="5" name="ICV">
    <vt:lpwstr>8462723751178D370EE04B68E7A3C690_42</vt:lpwstr>
  </property>
  <property fmtid="{D5CDD505-2E9C-101B-9397-08002B2CF9AE}" pid="6" name="KSOTemplateDocerSaveRecord">
    <vt:lpwstr>eyJoZGlkIjoiNmZiYjY5ZTU4NmNkMDliZGQ5ODVlZmVlNDQ3ODNhODIiLCJ1c2VySWQiOiI0Mzc4Mjk5OTMifQ==</vt:lpwstr>
  </property>
</Properties>
</file>